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July 31,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62"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654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368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93060</w:t>
            </w:r>
          </w:p>
        </w:tc>
        <w:tc>
          <w:tcPr>
            <w:tcW w:w="0" w:type="dxa"/>
            <w:vAlign w:val="bottom"/>
          </w:tcPr>
          <w:p>
            <w:pPr>
              <w:spacing w:after="0"/>
              <w:rPr>
                <w:sz w:val="1"/>
                <w:szCs w:val="1"/>
                <w:color w:val="auto"/>
              </w:rPr>
            </w:pPr>
          </w:p>
        </w:tc>
      </w:tr>
      <w:tr>
        <w:trPr>
          <w:trHeight w:val="164"/>
        </w:trPr>
        <w:tc>
          <w:tcPr>
            <w:tcW w:w="6540" w:type="dxa"/>
            <w:vAlign w:val="bottom"/>
            <w:gridSpan w:val="5"/>
          </w:tcPr>
          <w:p>
            <w:pPr>
              <w:ind w:left="150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6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389"/>
        </w:trPr>
        <w:tc>
          <w:tcPr>
            <w:tcW w:w="2920" w:type="dxa"/>
            <w:vAlign w:val="bottom"/>
          </w:tcPr>
          <w:p>
            <w:pPr>
              <w:spacing w:after="0"/>
              <w:rPr>
                <w:sz w:val="24"/>
                <w:szCs w:val="24"/>
                <w:color w:val="auto"/>
              </w:rPr>
            </w:pPr>
          </w:p>
        </w:tc>
        <w:tc>
          <w:tcPr>
            <w:tcW w:w="3460" w:type="dxa"/>
            <w:vAlign w:val="bottom"/>
            <w:gridSpan w:val="3"/>
          </w:tcPr>
          <w:p>
            <w:pPr>
              <w:jc w:val="center"/>
              <w:ind w:left="848"/>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2"/>
          </w:tcPr>
          <w:p>
            <w:pPr>
              <w:jc w:val="center"/>
              <w:ind w:left="344"/>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
          </w:tcPr>
          <w:p>
            <w:pPr>
              <w:jc w:val="center"/>
              <w:ind w:left="32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7300" w:type="dxa"/>
            <w:vAlign w:val="bottom"/>
            <w:gridSpan w:val="5"/>
          </w:tcPr>
          <w:p>
            <w:pPr>
              <w:jc w:val="center"/>
              <w:ind w:right="2864"/>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c>
          <w:tcPr>
            <w:tcW w:w="0" w:type="dxa"/>
            <w:vAlign w:val="bottom"/>
          </w:tcPr>
          <w:p>
            <w:pPr>
              <w:spacing w:after="0"/>
              <w:rPr>
                <w:sz w:val="1"/>
                <w:szCs w:val="1"/>
                <w:color w:val="auto"/>
              </w:rPr>
            </w:pPr>
          </w:p>
        </w:tc>
      </w:tr>
      <w:tr>
        <w:trPr>
          <w:trHeight w:val="320"/>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4"/>
          </w:tcPr>
          <w:p>
            <w:pPr>
              <w:jc w:val="center"/>
              <w:ind w:right="306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30"/>
        </w:trPr>
        <w:tc>
          <w:tcPr>
            <w:tcW w:w="2920" w:type="dxa"/>
            <w:vAlign w:val="bottom"/>
          </w:tcPr>
          <w:p>
            <w:pPr>
              <w:jc w:val="center"/>
              <w:ind w:left="126"/>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tcPr>
          <w:p>
            <w:pPr>
              <w:jc w:val="center"/>
              <w:ind w:left="126"/>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CVGW</w:t>
            </w:r>
          </w:p>
        </w:tc>
        <w:tc>
          <w:tcPr>
            <w:tcW w:w="160" w:type="dxa"/>
            <w:vAlign w:val="bottom"/>
            <w:vMerge w:val="continue"/>
          </w:tcPr>
          <w:p>
            <w:pPr>
              <w:spacing w:after="0"/>
              <w:rPr>
                <w:sz w:val="17"/>
                <w:szCs w:val="17"/>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spacing w:after="0" w:line="184" w:lineRule="exact"/>
        <w:tabs>
          <w:tab w:leader="none" w:pos="2940" w:val="left"/>
          <w:tab w:leader="none" w:pos="5160" w:val="left"/>
          <w:tab w:leader="none" w:pos="77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right="202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August 31, 2024 was 17,801,574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159385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73660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5" w:lineRule="exact"/>
        <w:rPr>
          <w:sz w:val="20"/>
          <w:szCs w:val="20"/>
          <w:color w:val="auto"/>
        </w:rPr>
      </w:pPr>
    </w:p>
    <w:p>
      <w:pPr>
        <w:ind w:left="40" w:right="79" w:firstLine="259"/>
        <w:spacing w:after="0" w:line="234" w:lineRule="auto"/>
        <w:rPr>
          <w:sz w:val="20"/>
          <w:szCs w:val="20"/>
          <w:color w:val="auto"/>
        </w:rPr>
      </w:pPr>
      <w:r>
        <w:rPr>
          <w:rFonts w:ascii="Times New Roman" w:cs="Times New Roman" w:eastAsia="Times New Roman" w:hAnsi="Times New Roman"/>
          <w:sz w:val="17"/>
          <w:szCs w:val="17"/>
          <w:color w:val="auto"/>
        </w:rPr>
        <w:t>This Quarterly Report on Form 10-Q, including the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 The use of words such as "anticipates," "estimates," "expects," "projects," "intends," "plans" and "believes," among others, generally identify forward-looking statements.</w:t>
      </w:r>
    </w:p>
    <w:p>
      <w:pPr>
        <w:spacing w:after="0" w:line="90" w:lineRule="exact"/>
        <w:rPr>
          <w:sz w:val="20"/>
          <w:szCs w:val="20"/>
          <w:color w:val="auto"/>
        </w:rPr>
      </w:pPr>
    </w:p>
    <w:p>
      <w:pPr>
        <w:ind w:left="40" w:right="59" w:firstLine="259"/>
        <w:spacing w:after="0" w:line="234"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resolution of pending investigations, legal claims and tax disputes, including an assessment imposed by the Mexican Tax Administrative Service (the “SAT”) and our defenses against collection activities commenced by the SAT.</w:t>
      </w:r>
    </w:p>
    <w:p>
      <w:pPr>
        <w:spacing w:after="0" w:line="90" w:lineRule="exact"/>
        <w:rPr>
          <w:sz w:val="20"/>
          <w:szCs w:val="20"/>
          <w:color w:val="auto"/>
        </w:rPr>
      </w:pPr>
    </w:p>
    <w:p>
      <w:pPr>
        <w:ind w:left="40" w:right="59" w:firstLine="259"/>
        <w:spacing w:after="0" w:line="238" w:lineRule="auto"/>
        <w:rPr>
          <w:sz w:val="20"/>
          <w:szCs w:val="20"/>
          <w:color w:val="auto"/>
        </w:rPr>
      </w:pPr>
      <w:r>
        <w:rPr>
          <w:rFonts w:ascii="Times New Roman" w:cs="Times New Roman" w:eastAsia="Times New Roman" w:hAnsi="Times New Roman"/>
          <w:sz w:val="17"/>
          <w:szCs w:val="17"/>
          <w:color w:val="auto"/>
        </w:rPr>
        <w:t>For a further discussion of these risks and uncertainties and other risks and uncertainties that we face, please see the risk factors described in our most recent Annual Report on Form 10-K for the fiscal year ended October 31, 2023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30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500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Financial Statements (unaudited):</w:t>
            </w:r>
          </w:p>
        </w:tc>
        <w:tc>
          <w:tcPr>
            <w:tcW w:w="8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Consolidated Balance Sheets –July 31, 2024 (Unaudited) and October 31, 2023</w:t>
            </w:r>
          </w:p>
        </w:tc>
        <w:tc>
          <w:tcPr>
            <w:tcW w:w="22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Consolidated Statements of Operations –Three and Nine Months Ended July 31, 2024 and 2023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Consolidated Statements of Cash Flows – July 31, 2024 and 2023 (Unaudited)</w:t>
            </w:r>
          </w:p>
        </w:tc>
        <w:tc>
          <w:tcPr>
            <w:tcW w:w="1940" w:type="dxa"/>
            <w:vAlign w:val="bottom"/>
            <w:tcBorders>
              <w:top w:val="single" w:sz="8" w:color="0000EE"/>
            </w:tcBorders>
            <w:gridSpan w:val="4"/>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Consolidated Statements of Shareholders’ Equity – Three and Nine Months Ended July 31, 2024 and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w w:val="98"/>
              </w:rPr>
              <w:t>(Unaudited)</w:t>
            </w:r>
          </w:p>
        </w:tc>
        <w:tc>
          <w:tcPr>
            <w:tcW w:w="6120" w:type="dxa"/>
            <w:vAlign w:val="bottom"/>
            <w:tcBorders>
              <w:top w:val="single" w:sz="8" w:color="0000EE"/>
            </w:tcBorders>
            <w:gridSpan w:val="12"/>
          </w:tcPr>
          <w:p>
            <w:pPr>
              <w:spacing w:after="0"/>
              <w:rPr>
                <w:sz w:val="15"/>
                <w:szCs w:val="15"/>
                <w:color w:val="auto"/>
              </w:rPr>
            </w:pPr>
          </w:p>
        </w:tc>
        <w:tc>
          <w:tcPr>
            <w:tcW w:w="50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558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20" w:type="dxa"/>
            <w:vAlign w:val="bottom"/>
            <w:tcBorders>
              <w:left w:val="single" w:sz="8" w:color="0000EE"/>
            </w:tcBorders>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9"/>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6.</w:t>
            </w:r>
          </w:p>
        </w:tc>
        <w:tc>
          <w:tcPr>
            <w:tcW w:w="200" w:type="dxa"/>
            <w:vAlign w:val="bottom"/>
            <w:gridSpan w:val="2"/>
          </w:tcPr>
          <w:p>
            <w:pPr>
              <w:spacing w:after="0"/>
              <w:rPr>
                <w:sz w:val="24"/>
                <w:szCs w:val="24"/>
                <w:color w:val="auto"/>
              </w:rPr>
            </w:pPr>
          </w:p>
        </w:tc>
        <w:tc>
          <w:tcPr>
            <w:tcW w:w="74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2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672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CALAVO GROWERS, INC.</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15"/>
        </w:trPr>
        <w:tc>
          <w:tcPr>
            <w:tcW w:w="6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r>
      <w:tr>
        <w:trPr>
          <w:trHeight w:val="199"/>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$3,253 (2024) and $3,364 (2023)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33,897</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11,739</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14,684</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128,213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37,533</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8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238,300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133,370</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60,924</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18,357</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105,424</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52,964</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52,381</w:t>
            </w:r>
          </w:p>
        </w:tc>
        <w:tc>
          <w:tcPr>
            <w:tcW w:w="280" w:type="dxa"/>
            <w:vAlign w:val="bottom"/>
            <w:shd w:val="clear" w:color="auto" w:fill="CCEEFF"/>
          </w:tcPr>
          <w:p>
            <w:pPr>
              <w:spacing w:after="0"/>
              <w:rPr>
                <w:sz w:val="17"/>
                <w:szCs w:val="17"/>
                <w:color w:val="auto"/>
              </w:rPr>
            </w:pPr>
          </w:p>
        </w:tc>
      </w:tr>
      <w:tr>
        <w:trPr>
          <w:trHeight w:val="236"/>
        </w:trPr>
        <w:tc>
          <w:tcPr>
            <w:tcW w:w="68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382,426</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386,854</w:t>
            </w:r>
          </w:p>
        </w:tc>
        <w:tc>
          <w:tcPr>
            <w:tcW w:w="280" w:type="dxa"/>
            <w:vAlign w:val="bottom"/>
            <w:tcBorders>
              <w:bottom w:val="single" w:sz="8" w:color="CCEEFF"/>
            </w:tcBorders>
          </w:tcPr>
          <w:p>
            <w:pPr>
              <w:spacing w:after="0"/>
              <w:rPr>
                <w:sz w:val="20"/>
                <w:szCs w:val="20"/>
                <w:color w:val="auto"/>
              </w:rPr>
            </w:pPr>
          </w:p>
        </w:tc>
      </w:tr>
      <w:tr>
        <w:trPr>
          <w:trHeight w:val="183"/>
        </w:trPr>
        <w:tc>
          <w:tcPr>
            <w:tcW w:w="68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14,788</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obligations and finance leases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8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81,746</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pursuant to line of credit, long-term</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35,024</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liabilities held for sale</w:t>
            </w: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29,295</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term loan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17,328</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obligations and finance leases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280" w:type="dxa"/>
            <w:vAlign w:val="bottom"/>
            <w:shd w:val="clear" w:color="auto" w:fill="CCEEFF"/>
          </w:tcPr>
          <w:p>
            <w:pPr>
              <w:spacing w:after="0"/>
              <w:rPr>
                <w:sz w:val="17"/>
                <w:szCs w:val="17"/>
                <w:color w:val="auto"/>
              </w:rPr>
            </w:pPr>
          </w:p>
        </w:tc>
      </w:tr>
      <w:tr>
        <w:trPr>
          <w:trHeight w:val="196"/>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60,657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94,879</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17,802 (2024) and 17,761 (2023)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CEEFF"/>
          </w:tcPr>
          <w:p>
            <w:pPr>
              <w:spacing w:after="0"/>
              <w:rPr>
                <w:sz w:val="18"/>
                <w:szCs w:val="18"/>
                <w:color w:val="auto"/>
              </w:rPr>
            </w:pPr>
          </w:p>
        </w:tc>
      </w:tr>
      <w:tr>
        <w:trPr>
          <w:trHeight w:val="202"/>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177,690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176,481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26,060</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32,338</w:t>
            </w:r>
          </w:p>
        </w:tc>
        <w:tc>
          <w:tcPr>
            <w:tcW w:w="28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205,177</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210,229</w:t>
            </w:r>
          </w:p>
        </w:tc>
        <w:tc>
          <w:tcPr>
            <w:tcW w:w="280" w:type="dxa"/>
            <w:vAlign w:val="bottom"/>
            <w:shd w:val="clear" w:color="auto" w:fill="CCEEFF"/>
          </w:tcPr>
          <w:p>
            <w:pPr>
              <w:spacing w:after="0"/>
              <w:rPr>
                <w:sz w:val="17"/>
                <w:szCs w:val="17"/>
                <w:color w:val="auto"/>
              </w:rPr>
            </w:pPr>
          </w:p>
        </w:tc>
      </w:tr>
      <w:tr>
        <w:trPr>
          <w:trHeight w:val="196"/>
        </w:trPr>
        <w:tc>
          <w:tcPr>
            <w:tcW w:w="68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382,426</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386,854</w:t>
            </w:r>
          </w:p>
        </w:tc>
        <w:tc>
          <w:tcPr>
            <w:tcW w:w="28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160,856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451,898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138,852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440,071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403,554</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(recovery) related to Mexican tax matters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 Net loss (income) attributable to noncontrolling interest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4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8,675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from unconsolidated entities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Divesture of Calavo Salsa Lisa</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uncollectible Mexican IVA taxes receivable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(19,198)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(10,092)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95,733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(100,838)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of debt issuance cost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term loan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(12,790)</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28,319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(1,726)</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1,126</w:t>
            </w:r>
          </w:p>
        </w:tc>
        <w:tc>
          <w:tcPr>
            <w:tcW w:w="3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2,163</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44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8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600</w:t>
            </w:r>
          </w:p>
        </w:tc>
        <w:tc>
          <w:tcPr>
            <w:tcW w:w="300" w:type="dxa"/>
            <w:vAlign w:val="bottom"/>
            <w:vMerge w:val="continue"/>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869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April 30, 2024</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17,800</w:t>
            </w:r>
          </w:p>
        </w:tc>
        <w:tc>
          <w:tcPr>
            <w:tcW w:w="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177,302</w:t>
            </w:r>
          </w:p>
        </w:tc>
        <w:tc>
          <w:tcPr>
            <w:tcW w:w="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28,572</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1,439</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207,331</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388</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w:t>
            </w:r>
          </w:p>
        </w:tc>
      </w:tr>
      <w:tr>
        <w:trPr>
          <w:trHeight w:val="129"/>
        </w:trPr>
        <w:tc>
          <w:tcPr>
            <w:tcW w:w="35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2024</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177,690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26,060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205,177</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5"/>
        </w:trPr>
        <w:tc>
          <w:tcPr>
            <w:tcW w:w="3520" w:type="dxa"/>
            <w:vAlign w:val="bottom"/>
          </w:tcPr>
          <w:p>
            <w:pPr>
              <w:spacing w:after="0"/>
              <w:rPr>
                <w:sz w:val="13"/>
                <w:szCs w:val="13"/>
                <w:color w:val="auto"/>
              </w:rPr>
            </w:pPr>
          </w:p>
        </w:tc>
        <w:tc>
          <w:tcPr>
            <w:tcW w:w="16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760" w:type="dxa"/>
            <w:vAlign w:val="bottom"/>
          </w:tcPr>
          <w:p>
            <w:pPr>
              <w:spacing w:after="0"/>
              <w:rPr>
                <w:sz w:val="13"/>
                <w:szCs w:val="13"/>
                <w:color w:val="auto"/>
              </w:rPr>
            </w:pPr>
          </w:p>
        </w:tc>
      </w:tr>
      <w:tr>
        <w:trPr>
          <w:trHeight w:val="129"/>
        </w:trPr>
        <w:tc>
          <w:tcPr>
            <w:tcW w:w="352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7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0" w:type="dxa"/>
            <w:vAlign w:val="bottom"/>
          </w:tcPr>
          <w:p>
            <w:pPr>
              <w:spacing w:after="0"/>
              <w:rPr>
                <w:sz w:val="11"/>
                <w:szCs w:val="11"/>
                <w:color w:val="auto"/>
              </w:rPr>
            </w:pPr>
          </w:p>
        </w:tc>
        <w:tc>
          <w:tcPr>
            <w:tcW w:w="9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6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April 30, 2023</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17,752</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174,674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37,176</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213,191</w:t>
            </w:r>
          </w:p>
        </w:tc>
      </w:tr>
      <w:tr>
        <w:trPr>
          <w:trHeight w:val="117"/>
        </w:trPr>
        <w:tc>
          <w:tcPr>
            <w:tcW w:w="35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53"/>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979</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(1,778)</w:t>
            </w:r>
          </w:p>
        </w:tc>
        <w:tc>
          <w:tcPr>
            <w:tcW w:w="20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(1,778)</w:t>
            </w: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6,626</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6,626</w:t>
            </w:r>
          </w:p>
        </w:tc>
      </w:tr>
      <w:tr>
        <w:trPr>
          <w:trHeight w:val="128"/>
        </w:trPr>
        <w:tc>
          <w:tcPr>
            <w:tcW w:w="3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2023</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175,653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42,024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219,100</w:t>
            </w:r>
          </w:p>
        </w:tc>
      </w:tr>
      <w:tr>
        <w:trPr>
          <w:trHeight w:val="20"/>
        </w:trPr>
        <w:tc>
          <w:tcPr>
            <w:tcW w:w="3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2023</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176,481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210,229</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1,834</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(5,341)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(5,341)</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r>
      <w:tr>
        <w:trPr>
          <w:trHeight w:val="135"/>
        </w:trPr>
        <w:tc>
          <w:tcPr>
            <w:tcW w:w="35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(937)</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(937)</w:t>
            </w:r>
          </w:p>
        </w:tc>
      </w:tr>
      <w:tr>
        <w:trPr>
          <w:trHeight w:val="128"/>
        </w:trPr>
        <w:tc>
          <w:tcPr>
            <w:tcW w:w="35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2024</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17,802</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177,690</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26,060</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1,409</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205,177</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9"/>
        </w:trPr>
        <w:tc>
          <w:tcPr>
            <w:tcW w:w="35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2022</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171,223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51,115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1,015</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223,371</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4,382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4,382</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(0.4875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(8,654)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(8,654)</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390</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390</w:t>
            </w:r>
          </w:p>
        </w:tc>
      </w:tr>
      <w:tr>
        <w:trPr>
          <w:trHeight w:val="135"/>
        </w:trPr>
        <w:tc>
          <w:tcPr>
            <w:tcW w:w="35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(437)</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(437)</w:t>
            </w:r>
          </w:p>
        </w:tc>
      </w:tr>
      <w:tr>
        <w:trPr>
          <w:trHeight w:val="128"/>
        </w:trPr>
        <w:tc>
          <w:tcPr>
            <w:tcW w:w="35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2023</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17,761</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175,653</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42,024</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1,405</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219,100</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We distribute our products both domestically and internationally and we report our operations in two different business segments: Grown and Prepared.</w:t>
      </w:r>
    </w:p>
    <w:p>
      <w:pPr>
        <w:spacing w:after="0" w:line="188"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During the nine-months period ended July 31, 2024, management concluded that the Fresh Cut business meets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divestiture, as described in Note 2. For more information, see Note 11.</w:t>
      </w:r>
    </w:p>
    <w:p>
      <w:pPr>
        <w:spacing w:after="0" w:line="183"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We completed the sale of our Fresh Cut business (formerly “RFG”) and related real estate to F&amp;S Fresh Foods of Vineland, New Jersey, on August 15, 2024 for $83 million, subject to various closing adjustments. The Fresh Cut business represents substantially all of the business of the Prepared segment other than the guacamole business, which has been retained following the Transaction. For more information, see Note 12.</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2023.</w:t>
      </w:r>
    </w:p>
    <w:p>
      <w:pPr>
        <w:spacing w:after="0" w:line="188"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Retrospective reclassifications have been made to prior period financial statements and disclosures to present the Fresh Cut business unit as discontinued operations (see Note 11, “Assets Held for Sale and Discontinued Operations”).</w:t>
      </w:r>
    </w:p>
    <w:p>
      <w:pPr>
        <w:spacing w:after="0" w:line="202" w:lineRule="exact"/>
        <w:rPr>
          <w:sz w:val="20"/>
          <w:szCs w:val="20"/>
          <w:color w:val="auto"/>
        </w:rPr>
      </w:pPr>
    </w:p>
    <w:p>
      <w:pPr>
        <w:ind w:left="40" w:right="119" w:firstLine="270"/>
        <w:spacing w:after="0" w:line="282" w:lineRule="auto"/>
        <w:rPr>
          <w:sz w:val="20"/>
          <w:szCs w:val="20"/>
          <w:color w:val="auto"/>
        </w:rPr>
      </w:pPr>
      <w:r>
        <w:rPr>
          <w:rFonts w:ascii="Times New Roman" w:cs="Times New Roman" w:eastAsia="Times New Roman" w:hAnsi="Times New Roman"/>
          <w:sz w:val="18"/>
          <w:szCs w:val="18"/>
          <w:color w:val="auto"/>
        </w:rPr>
        <w:t>Prior period amounts related to foreign currency remeasurement gains (losses) have been reclassified from cost of sales to foreign currency gain (loss) to conform to the current period presentation.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40" w:right="59" w:firstLine="315"/>
        <w:spacing w:after="0" w:line="261" w:lineRule="auto"/>
        <w:rPr>
          <w:sz w:val="20"/>
          <w:szCs w:val="20"/>
          <w:color w:val="auto"/>
        </w:rPr>
      </w:pPr>
      <w:r>
        <w:rPr>
          <w:rFonts w:ascii="Times New Roman" w:cs="Times New Roman" w:eastAsia="Times New Roman" w:hAnsi="Times New Roman"/>
          <w:sz w:val="18"/>
          <w:szCs w:val="18"/>
          <w:color w:val="auto"/>
        </w:rPr>
        <w:t>In November 2023, the Financial Standards Accounting Board issued Accounting Standards Update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after December 15, 2023, and interim periods within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82" w:lineRule="auto"/>
        <w:rPr>
          <w:sz w:val="20"/>
          <w:szCs w:val="20"/>
          <w:color w:val="auto"/>
        </w:rPr>
      </w:pPr>
      <w:r>
        <w:rPr>
          <w:rFonts w:ascii="Times New Roman" w:cs="Times New Roman" w:eastAsia="Times New Roman" w:hAnsi="Times New Roman"/>
          <w:sz w:val="18"/>
          <w:szCs w:val="18"/>
          <w:color w:val="auto"/>
        </w:rPr>
        <w:t>fiscal years beginning after December 15, 2024, with early adoption permitted. The Company is currently evaluating the potential effect that the updated standard will have on its financial statement disclosures.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Prior to the decision to divest our Fresh Cut business (formerly RFG), the Company’s Prepared reporting segment included the Fresh Cut business unit and our Guacamole business. As a result of the planned divestiture, the Fresh Cut business unit is no longer included in our Prepared business segment, and is not included in the tables below. All segment information included herein reflects these changes. See Note 11 for further information.</w:t>
      </w:r>
    </w:p>
    <w:p>
      <w:pPr>
        <w:spacing w:after="0" w:line="180"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We report our operations in two different business segments: Grown and Prepared. The Grown segment consists of fresh avocados, tomatoes and papayas. The Prepared segment comprises all our guacamole products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1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 31, 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1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July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Grown</w:t>
            </w:r>
          </w:p>
        </w:tc>
        <w:tc>
          <w:tcPr>
            <w:tcW w:w="66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6"/>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5"/>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Prepared</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$ 151,814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$ 151,814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$ 127,328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$ 127,328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15,188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15,188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18,388</w:t>
            </w:r>
          </w:p>
        </w:tc>
        <w:tc>
          <w:tcPr>
            <w:tcW w:w="4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18,721</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18,721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163,980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18,388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182,368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144,864</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18,770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163,634</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(2,010)</w:t>
            </w: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(2,772)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7"/>
                <w:szCs w:val="17"/>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(1,983)</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(2,778)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$ 163,218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$ 16,378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$ 179,596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$ 144,069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$ 16,787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$ 160,856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1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July 31, 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1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July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6"/>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5"/>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$ 387,500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$ 387,500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$ 352,858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$ 352,858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49,226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49,226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44,503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44,503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8,200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8,193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54,107</w:t>
            </w:r>
          </w:p>
        </w:tc>
        <w:tc>
          <w:tcPr>
            <w:tcW w:w="4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54,421</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54,421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2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756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4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444,998</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54,107</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499,105</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405,629</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55,177</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460,806</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(5,521)</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(3,510)</w:t>
            </w:r>
          </w:p>
        </w:tc>
        <w:tc>
          <w:tcPr>
            <w:tcW w:w="120" w:type="dxa"/>
            <w:vAlign w:val="bottom"/>
          </w:tcPr>
          <w:p>
            <w:pPr>
              <w:spacing w:after="0"/>
              <w:rPr>
                <w:sz w:val="17"/>
                <w:szCs w:val="17"/>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(5,398)</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$ 442,999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$ 48,586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$ 491,585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$ 402,119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$ 49,779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$ 451,898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gridSpan w:val="20"/>
          </w:tcPr>
          <w:p>
            <w:pPr>
              <w:jc w:val="right"/>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$ 163,218</w:t>
            </w:r>
          </w:p>
        </w:tc>
        <w:tc>
          <w:tcPr>
            <w:tcW w:w="300" w:type="dxa"/>
            <w:vAlign w:val="bottom"/>
            <w:gridSpan w:val="3"/>
          </w:tcPr>
          <w:p>
            <w:pPr>
              <w:jc w:val="cente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36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179,596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80" w:type="dxa"/>
            <w:vAlign w:val="bottom"/>
            <w:gridSpan w:val="2"/>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$ 144,069</w:t>
            </w:r>
          </w:p>
        </w:tc>
        <w:tc>
          <w:tcPr>
            <w:tcW w:w="300" w:type="dxa"/>
            <w:vAlign w:val="bottom"/>
            <w:gridSpan w:val="3"/>
          </w:tcPr>
          <w:p>
            <w:pPr>
              <w:jc w:val="cente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36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160,856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2024</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402,041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40,958</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2023</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0" w:right="339" w:firstLine="259"/>
        <w:spacing w:after="0" w:line="261" w:lineRule="auto"/>
        <w:rPr>
          <w:sz w:val="20"/>
          <w:szCs w:val="20"/>
          <w:color w:val="auto"/>
        </w:rPr>
      </w:pPr>
      <w:r>
        <w:rPr>
          <w:rFonts w:ascii="Times New Roman" w:cs="Times New Roman" w:eastAsia="Times New Roman" w:hAnsi="Times New Roman"/>
          <w:sz w:val="18"/>
          <w:szCs w:val="18"/>
          <w:color w:val="auto"/>
        </w:rPr>
        <w:t>For the three months ended July 31, 2023, intercompany sales and cost of sales of $0.5 million between Grown products and Prepared products were eliminated. For the nine months ended July 31 2024 and 2023, intercompany sales and cost of sales of $0.6 million and $1.2 million between Grown products and Prepared products were eliminated, respectively.</w:t>
      </w:r>
    </w:p>
    <w:p>
      <w:pPr>
        <w:spacing w:after="0" w:line="180"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Sales to customers outside the U.S. were approximately $11.9 million and $8.6 million for the three months ended July 31, 2024 and 2023. Sales to customers outside the U.S. were approximately $35.7 million and $24.1 million for the nine months ended July 31, 2024 and 2023.</w:t>
      </w:r>
    </w:p>
    <w:p>
      <w:pPr>
        <w:spacing w:after="0" w:line="176"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net carrying value of long-lived assets attributed to geographic areas as of July 31, 2024 and October 31, 2023,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60" w:type="dxa"/>
            <w:vAlign w:val="bottom"/>
          </w:tcPr>
          <w:p>
            <w:pPr>
              <w:spacing w:after="0"/>
              <w:rPr>
                <w:sz w:val="15"/>
                <w:szCs w:val="15"/>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2024</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34,537</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55,894</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34,938</w:t>
            </w:r>
          </w:p>
        </w:tc>
        <w:tc>
          <w:tcPr>
            <w:tcW w:w="140" w:type="dxa"/>
            <w:vAlign w:val="bottom"/>
          </w:tcPr>
          <w:p>
            <w:pPr>
              <w:spacing w:after="0"/>
              <w:rPr>
                <w:sz w:val="20"/>
                <w:szCs w:val="20"/>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60,924</w:t>
            </w:r>
          </w:p>
        </w:tc>
        <w:tc>
          <w:tcPr>
            <w:tcW w:w="0" w:type="dxa"/>
            <w:vAlign w:val="bottom"/>
          </w:tcPr>
          <w:p>
            <w:pPr>
              <w:spacing w:after="0"/>
              <w:rPr>
                <w:sz w:val="1"/>
                <w:szCs w:val="1"/>
                <w:color w:val="auto"/>
              </w:rPr>
            </w:pPr>
          </w:p>
        </w:tc>
      </w:tr>
      <w:tr>
        <w:trPr>
          <w:trHeight w:val="42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60" w:type="dxa"/>
            <w:vAlign w:val="bottom"/>
          </w:tcPr>
          <w:p>
            <w:pPr>
              <w:spacing w:after="0"/>
              <w:rPr>
                <w:sz w:val="24"/>
                <w:szCs w:val="24"/>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$ 13,967</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$ 31,822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Inventory includes reserves of $0.4 million in slow moving inventories as of July 31, 2024 and October 31, 2023.</w:t>
      </w:r>
    </w:p>
    <w:p>
      <w:pPr>
        <w:spacing w:after="0" w:line="1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and nine months ended July 31, 2024, the aggregate amount of avocados procured from entities owned or controlled by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members of our Board of Directors was $1.9 million and $2.2 million, respectively. For the three and nine months ended July 31, 2023, the aggregate amount of avocados procured from entities owned or controlled by members of our Board of Directors was $2.2 million and $2.3 million, respectively. We had $0.9 million of amounts payable to these Board members as of July 31, 2024. We did not have any amounts payable to these Board members as of October 31, 2023. For the three and nine months ended July 31, 2024, we procured $3.3 million and $4.7 million of avocados from entities affiliated with our Chief Executive Officer. For the three and nine months ended July 31, 2023, we procured $1.7 million of avocados from entities affiliated with our Chief Executive Officer.</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Calavo and Agricola Belher (“Belher”) each have an equal one-half ownership interest in Don Memo. Pursuant to a management service agreement, Belher, through its officers and employees, has day-to-day power and authority to manage the operations of Don Memo.</w:t>
      </w:r>
    </w:p>
    <w:p>
      <w:pPr>
        <w:spacing w:after="0" w:line="176" w:lineRule="exact"/>
        <w:rPr>
          <w:sz w:val="20"/>
          <w:szCs w:val="20"/>
          <w:color w:val="auto"/>
        </w:rPr>
      </w:pPr>
    </w:p>
    <w:p>
      <w:pPr>
        <w:ind w:left="40" w:right="119" w:firstLine="259"/>
        <w:spacing w:after="0" w:line="252" w:lineRule="auto"/>
        <w:rPr>
          <w:sz w:val="20"/>
          <w:szCs w:val="20"/>
          <w:color w:val="auto"/>
        </w:rPr>
      </w:pPr>
      <w:r>
        <w:rPr>
          <w:rFonts w:ascii="Times New Roman" w:cs="Times New Roman" w:eastAsia="Times New Roman" w:hAnsi="Times New Roman"/>
          <w:sz w:val="18"/>
          <w:szCs w:val="18"/>
          <w:color w:val="auto"/>
        </w:rPr>
        <w:t>As of July 31, 2024, and October 31, 2023, we had an investment of $2.5 million and $2.9 million, respectively,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July 31, 2023, we advanced $0.2 million of preseason advances to Don Memo. For the nine months ended July 31, 2024 and 2023, we advanced $4.5 million and $4.1 million of preseason advances to Don Memo. As of July 31, 2024 and October 31, 2023, we had outstanding advances of $8.5 million and $7.3 million to Don Memo. In October 2020, we entered into an infrastructure loan agreement with Don Memo for up to $2.4 million secured by certain property and equipment of Don Memo. This infrastructure loan accrues interest at 7.25%. The total outstanding infrastructure loan balance at July 31, 2024 and at October 31, 2023, was $1.6 million, respectively, which is included in prepaids and other current asssets. During the three months ended July 31, 2024 and 2023, we incurred $3.3 million and $6.9 million of cost of sales to Don Memo pursuant to our purchase consignment agreement. During the nine months ended July 31, 2024 and 2023, we incurred $10.6 million and $13.0 million of cost of sales to Don Memo pursuant to our purchase consignment agreement.</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We made preseason advances for the three and nine months ended July 31, 2024, totaling $2.5 million and $3.5 million, respectively. We had grower advances due from Belher totaling $2.5 million and $5.4 million as of July 31, 2024 and October 31, 2023, which are netted against the grower payable. In July 2021, we made a bridge loan of $3.5 million to Belher. This loan is secured by certain farmland in Mexico and accrues interest at 10%. As part of this loan agreement, we can withhold payments on both the infrastructure advances and the bridge loan through the netting against the grower payable due to Belher. The total outstanding bridge loan balance at July 31, 2024 and October 31, 2023, was $1.1 million and $1.7 million, respectively, which is included in other assets. During the three months ended July 31, 2024 and 2023, we incurred $4.1 million and $2.1 million of cost of sales to Belher pursuant to our purchase consignment agreement. During the nine months ended July 31, 2024 and 2023, we incurred $29.1 million and $16.2 million of cost of sales to Belher pursuant to our purchase consignment agreement.</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Avocados de Jalisco is a Mexican corporation created to engage in procuring, packing and selling avocados. As of July 31, 2024, this entity was approximately 83% owned by Calavo and was consolidated in our financial statements. Avocados de Jalisco built a packinghouse located in Jalisco, Mexico, which began operations in June of 2017. During the three months ended July 31, 2024 and 2023 we purchased approximately $3.5 million and $2.1 million of avocados from the partners of Avocados de Jalisco. During the nine months ended July 31, 2024 and 2023 we purchased approximately $7.1 million and $6.4 million of avocados from the partners of Avocados de Jalisco.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1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10)</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$ 51,189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49,888</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$ 52,964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vMerge w:val="continue"/>
          </w:tcPr>
          <w:p>
            <w:pPr>
              <w:spacing w:after="0"/>
              <w:rPr>
                <w:sz w:val="24"/>
                <w:szCs w:val="24"/>
                <w:color w:val="auto"/>
              </w:rPr>
            </w:pPr>
          </w:p>
        </w:tc>
        <w:tc>
          <w:tcPr>
            <w:tcW w:w="58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Awards (RSAs)</w:t>
      </w:r>
    </w:p>
    <w:p>
      <w:pPr>
        <w:spacing w:after="0" w:line="227"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awards was $0.2 million for the three months ended July 31, 2023. The total recognized stock-based compensation expense for restricted stock awards was less than $0.1 million and $1.9 million for the nine months ended July 31, 2024 and 2023, respectively. As of July 31, 2024, there was no unrecognized stock-based compensation costs related to non-vested RSAs. All RSAs are vested as of July 31, 2024.</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 Restricted Stock Units (PRSUs)</w:t>
      </w:r>
    </w:p>
    <w:p>
      <w:pPr>
        <w:spacing w:after="0" w:line="227"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On November 1, 2023, each of our eight directors were granted 4,929 RSUs (for a total of 39,432 RSUs) at a price of $24.35 that will vest November 1, 2024.</w:t>
      </w:r>
    </w:p>
    <w:p>
      <w:pPr>
        <w:spacing w:after="0" w:line="16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total recognized stock-based compensation expense for RSUs was $0.4 million for the three months ended July 31, 2024 and 2023, respectively. The total recognized stock-based compensation expense for RSUs was $1.2 million and $1.3 million for the nine months ended July 31, 2024 and 2023, respectively. As of July 31, 2024, there was $0.8 million of unrecognized stock-based compensation costs related to non-vested RSUs, which the Company expects to recognize over a weighted-average period of 0.6 years.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RSU activity, related to our 2020 Plan, is as follows (in thousands, except for per share amounts):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54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Represented</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4"/>
        </w:trPr>
        <w:tc>
          <w:tcPr>
            <w:tcW w:w="54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54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Represented</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At the end of each reporting period, the Company will adjust compensation expense for the PRSUs based on its best estimate of attainment of the specified performance targets. The cumulative effect on current and prior periods of a change in the estimated number of PRSUs that are expected to be earned will be recognized as an adjustment in the period of the adjustment. As of July 31, 2024, the Company still believes that it is not probable that any of the PRSUs for the 2023 and 2022 three-year cumulative performance grant will vest.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In June 2024, our Board of Directors approved the grant of 10,000 options of our common stock to a new member of our Board of Directors. Such grant vests in equal increments over a five-year period and has an exercise price of $25.84 per share. Vested options have an exercise period of five years from the vesting date. The market price of our common stock at the grant date was $25.84. The estimated fair market value of such option grant was approximately $0.1 million, which will be recognized over the remaining service period of 60 months. The total recognized stock-based compensation expense for these options were insignificant for the three and nine months ended July 31, 2024.</w:t>
      </w:r>
    </w:p>
    <w:p>
      <w:pPr>
        <w:spacing w:after="0" w:line="187"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 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83" w:lineRule="exact"/>
        <w:rPr>
          <w:sz w:val="20"/>
          <w:szCs w:val="20"/>
          <w:color w:val="auto"/>
        </w:rPr>
      </w:pPr>
    </w:p>
    <w:p>
      <w:pPr>
        <w:jc w:val="both"/>
        <w:ind w:left="40" w:right="219" w:firstLine="324"/>
        <w:spacing w:after="0" w:line="266" w:lineRule="auto"/>
        <w:rPr>
          <w:sz w:val="20"/>
          <w:szCs w:val="20"/>
          <w:color w:val="auto"/>
        </w:rPr>
      </w:pPr>
      <w:r>
        <w:rPr>
          <w:rFonts w:ascii="Times New Roman" w:cs="Times New Roman" w:eastAsia="Times New Roman" w:hAnsi="Times New Roman"/>
          <w:sz w:val="18"/>
          <w:szCs w:val="18"/>
          <w:color w:val="auto"/>
        </w:rPr>
        <w:t>The value of each option award is estimated using a lattice-based option valuation model. We primarily consider the following assumptions when using these models: (1) expected volatility, (2) expected dividends, (3) expected life and (4) risk-free interest rate. Such models also consider the intrinsic value in the estimation of fair value of the option award.</w:t>
      </w:r>
    </w:p>
    <w:p>
      <w:pPr>
        <w:spacing w:after="0" w:line="176"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We measure the fair value of our stock option awards on the date of grant. The following assumptions were used in the estimated grant date fair value calculations for stock options granted in the third quarter of fiscal 2024:</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20" w:type="dxa"/>
            <w:vAlign w:val="bottom"/>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rPr>
              <w:t>4.47%</w:t>
            </w:r>
          </w:p>
        </w:tc>
        <w:tc>
          <w:tcPr>
            <w:tcW w:w="880" w:type="dxa"/>
            <w:vAlign w:val="bottom"/>
          </w:tcPr>
          <w:p>
            <w:pPr>
              <w:spacing w:after="0"/>
              <w:rPr>
                <w:sz w:val="18"/>
                <w:szCs w:val="18"/>
                <w:color w:val="auto"/>
              </w:rPr>
            </w:pPr>
          </w:p>
        </w:tc>
      </w:tr>
      <w:tr>
        <w:trPr>
          <w:trHeight w:val="189"/>
        </w:trPr>
        <w:tc>
          <w:tcPr>
            <w:tcW w:w="90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Expected volatility</w:t>
            </w:r>
          </w:p>
        </w:tc>
        <w:tc>
          <w:tcPr>
            <w:tcW w:w="4620" w:type="dxa"/>
            <w:vAlign w:val="bottom"/>
          </w:tcPr>
          <w:p>
            <w:pPr>
              <w:jc w:val="center"/>
              <w:ind w:left="3330"/>
              <w:spacing w:after="0" w:line="189" w:lineRule="exact"/>
              <w:rPr>
                <w:sz w:val="20"/>
                <w:szCs w:val="20"/>
                <w:color w:val="auto"/>
              </w:rPr>
            </w:pPr>
            <w:r>
              <w:rPr>
                <w:rFonts w:ascii="Times New Roman" w:cs="Times New Roman" w:eastAsia="Times New Roman" w:hAnsi="Times New Roman"/>
                <w:sz w:val="18"/>
                <w:szCs w:val="18"/>
                <w:color w:val="auto"/>
              </w:rPr>
              <w:t>43.00%</w:t>
            </w:r>
          </w:p>
        </w:tc>
        <w:tc>
          <w:tcPr>
            <w:tcW w:w="8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Dividend yield</w:t>
            </w:r>
          </w:p>
        </w:tc>
        <w:tc>
          <w:tcPr>
            <w:tcW w:w="4620" w:type="dxa"/>
            <w:vAlign w:val="bottom"/>
            <w:shd w:val="clear" w:color="auto" w:fill="CCEEFF"/>
          </w:tcPr>
          <w:p>
            <w:pPr>
              <w:jc w:val="center"/>
              <w:ind w:left="3330"/>
              <w:spacing w:after="0" w:line="189" w:lineRule="exact"/>
              <w:rPr>
                <w:sz w:val="20"/>
                <w:szCs w:val="20"/>
                <w:color w:val="auto"/>
              </w:rPr>
            </w:pPr>
            <w:r>
              <w:rPr>
                <w:rFonts w:ascii="Times New Roman" w:cs="Times New Roman" w:eastAsia="Times New Roman" w:hAnsi="Times New Roman"/>
                <w:sz w:val="18"/>
                <w:szCs w:val="18"/>
                <w:color w:val="auto"/>
              </w:rPr>
              <w:t>1.55%</w:t>
            </w:r>
          </w:p>
        </w:tc>
        <w:tc>
          <w:tcPr>
            <w:tcW w:w="880" w:type="dxa"/>
            <w:vAlign w:val="bottom"/>
          </w:tcPr>
          <w:p>
            <w:pPr>
              <w:spacing w:after="0"/>
              <w:rPr>
                <w:sz w:val="16"/>
                <w:szCs w:val="16"/>
                <w:color w:val="auto"/>
              </w:rPr>
            </w:pPr>
          </w:p>
        </w:tc>
      </w:tr>
      <w:tr>
        <w:trPr>
          <w:trHeight w:val="234"/>
        </w:trPr>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6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tcPr>
          <w:p>
            <w:pPr>
              <w:spacing w:after="0"/>
              <w:rPr>
                <w:sz w:val="20"/>
                <w:szCs w:val="20"/>
                <w:color w:val="auto"/>
              </w:rPr>
            </w:pPr>
          </w:p>
        </w:tc>
      </w:tr>
      <w:tr>
        <w:trPr>
          <w:trHeight w:val="819"/>
        </w:trPr>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20" w:type="dxa"/>
            <w:vAlign w:val="bottom"/>
          </w:tcPr>
          <w:p>
            <w:pPr>
              <w:jc w:val="right"/>
              <w:ind w:right="339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59" w:firstLine="259"/>
        <w:spacing w:after="0" w:line="261" w:lineRule="auto"/>
        <w:rPr>
          <w:sz w:val="20"/>
          <w:szCs w:val="20"/>
          <w:color w:val="auto"/>
        </w:rPr>
      </w:pPr>
      <w:r>
        <w:rPr>
          <w:rFonts w:ascii="Times New Roman" w:cs="Times New Roman" w:eastAsia="Times New Roman" w:hAnsi="Times New Roman"/>
          <w:sz w:val="18"/>
          <w:szCs w:val="18"/>
          <w:color w:val="auto"/>
        </w:rPr>
        <w:t>A summary of stock option activity, related to our 2011 and 2020 Plans, is as follows (in thousands, except for weighted-average exercise price):</w:t>
      </w:r>
    </w:p>
    <w:tbl>
      <w:tblPr>
        <w:tblLayout w:type="fixed"/>
        <w:tblInd w:w="40" w:type="dxa"/>
        <w:tblCellMar>
          <w:top w:w="0" w:type="dxa"/>
          <w:left w:w="0" w:type="dxa"/>
          <w:bottom w:w="0" w:type="dxa"/>
          <w:right w:w="0" w:type="dxa"/>
        </w:tblCellMar>
      </w:tblPr>
      <w:tr>
        <w:trPr>
          <w:trHeight w:val="137"/>
        </w:trPr>
        <w:tc>
          <w:tcPr>
            <w:tcW w:w="5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80" w:type="dxa"/>
            <w:vAlign w:val="bottom"/>
            <w:tcBorders>
              <w:top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July 31, 2024</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1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34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26.48</w:t>
            </w: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July 31, 2024</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7"/>
                <w:szCs w:val="17"/>
                <w:color w:val="auto"/>
              </w:rPr>
            </w:pPr>
          </w:p>
        </w:tc>
        <w:tc>
          <w:tcPr>
            <w:tcW w:w="320" w:type="dxa"/>
            <w:vAlign w:val="bottom"/>
            <w:gridSpan w:val="2"/>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26.48</w:t>
            </w:r>
          </w:p>
        </w:tc>
        <w:tc>
          <w:tcPr>
            <w:tcW w:w="2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total stock-based compensation expense for options was less than $0.1 million and $0.7 million for the three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months ended July 31, 2024 and 2023, respectively. The total stock-based compensation expense for options was $0.6</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million and $0.8 million for the nine months ended July 31, 2024 and 2023, respectively. As of July 31, 2024, there was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$0.1 million of unrecognized stock-based compensation costs related to non-vested options, which the Company expects 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recognize over a weighted-average remaining period of 3.6 years.</w:t>
      </w:r>
    </w:p>
    <w:p>
      <w:pPr>
        <w:spacing w:after="0" w:line="203" w:lineRule="exact"/>
        <w:rPr>
          <w:sz w:val="20"/>
          <w:szCs w:val="20"/>
          <w:color w:val="auto"/>
        </w:rPr>
      </w:pPr>
    </w:p>
    <w:p>
      <w:pPr>
        <w:ind w:left="360" w:hanging="316"/>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payments</w:t>
      </w:r>
    </w:p>
    <w:p>
      <w:pPr>
        <w:spacing w:after="0" w:line="229"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On January 31, 2024, we paid a dividend of $0.10 per share, or an aggregate of $1.8 million, to shareholders of record on January 26, 2024. On April 29, 2024, we paid a dividend of $0.10 per share, or an aggregate of $1.8 million, to shareholders of record on April 1, 2024. On July 30, 2024, we paid a dividend of $0.10 per share, or an aggregate of $1.8 million, to shareholders of record on July 2, 2024.</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In the prior year, in connection with the refinancing of our credit facility, we temporarily posted $0.8 million of cash collateral to satisfy certain collateral requirements as we transitioned banks providing letters of credit related to our workers compensation insurance policies. In the first quarter of 2024, this restriction was released.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matters</w:t>
      </w:r>
    </w:p>
    <w:p>
      <w:pPr>
        <w:spacing w:after="0" w:line="229" w:lineRule="exact"/>
        <w:rPr>
          <w:sz w:val="20"/>
          <w:szCs w:val="20"/>
          <w:color w:val="auto"/>
        </w:rPr>
      </w:pPr>
    </w:p>
    <w:p>
      <w:pPr>
        <w:ind w:left="40" w:right="139" w:firstLine="259"/>
        <w:spacing w:after="0" w:line="254"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equitable remedies.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In January 2017, Calavo de Mexico (“CDM”)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third fiscal quarter of 2017.</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July 2018, the SAT’s local office in Uruapan issued to CDM a final tax assessment (the “2013 Assessment”) totaling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approximately $2.6 billion Mexican pesos (which includes annual adjustments for inflation, and equals approximately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$138.4 million USD at July 31, 2024) related to income tax, flat rate business tax, and value added tax, related to this fiscal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2013 tax audit. This amount has been adjusted for inflation as of July 31, 2024 to the amount of $3.08 billion Mexican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pesos (approx. $163.9 million USD). Additionally, the tax authorities have determined that we owe our employees profit-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sharing liability, totaling approximately $118 million Mexican pesos (approx. $6.3 million USD at July 31, 2024).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2018, we filed an Administrative Appeal on the 2013 Assessment, appealing our case to the SAT’s central legal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department in Michoacan.</w:t>
      </w:r>
    </w:p>
    <w:p>
      <w:pPr>
        <w:spacing w:after="0" w:line="207"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Based on legal counsel from our tax advisory firm, we and our tax advisory firm have concluded that the March notification was not legally communicated.</w:t>
      </w:r>
    </w:p>
    <w:p>
      <w:pPr>
        <w:spacing w:after="0" w:line="180"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spacing w:after="0" w:line="176" w:lineRule="exact"/>
        <w:rPr>
          <w:sz w:val="20"/>
          <w:szCs w:val="20"/>
          <w:color w:val="auto"/>
        </w:rPr>
      </w:pPr>
    </w:p>
    <w:p>
      <w:pPr>
        <w:ind w:left="660" w:hanging="333"/>
        <w:spacing w:after="0"/>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13"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SAT formally rejected our request for Reconsideration on January 3, 2022. CDM has filed an Amparo on April 22, 2024 and an Appeal on July 31, 2024 before the Circuit Court challenging the last resolution from March 25, 2024 where the tax authority considered that the filing of the administrative reconsideration was not legally viable because there was a legal remedy already filed that coexists with the administrative reconsideration, that is, the Annulment Suit.</w:t>
      </w:r>
    </w:p>
    <w:p>
      <w:pPr>
        <w:spacing w:after="0" w:line="180"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CDM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the Company filed an extension of the Annulment Suit filed on August 20, 2021, as a result of the response to the lawsuit filed by the Tax Authority, pointing out that the Tax Authority’s resolution is unlawful due to improper substantiation and motivation, because of the following:</w:t>
      </w:r>
    </w:p>
    <w:p>
      <w:pPr>
        <w:spacing w:after="0" w:line="176" w:lineRule="exact"/>
        <w:rPr>
          <w:sz w:val="20"/>
          <w:szCs w:val="20"/>
          <w:color w:val="auto"/>
        </w:rPr>
      </w:pP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document,</w:t>
      </w:r>
    </w:p>
    <w:p>
      <w:pPr>
        <w:spacing w:after="0" w:line="27" w:lineRule="exact"/>
        <w:rPr>
          <w:rFonts w:ascii="Times New Roman" w:cs="Times New Roman" w:eastAsia="Times New Roman" w:hAnsi="Times New Roman"/>
          <w:sz w:val="18"/>
          <w:szCs w:val="18"/>
          <w:color w:val="auto"/>
        </w:rPr>
      </w:pPr>
    </w:p>
    <w:p>
      <w:pPr>
        <w:ind w:left="660" w:right="239" w:hanging="333"/>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Tax Authority was obliged to do so, among others.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November 14, 2023, the Tax Court notified the admission of the extension of the lawsuit was filed.</w:t>
      </w:r>
    </w:p>
    <w:p>
      <w:pPr>
        <w:spacing w:after="0" w:line="225"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In accordance with our cumulative probability analysis on uncertain tax positions, settlements made by the SAT in other cases, the 2011 Assessment settlement reached by CDM with the Ministry of Finance and Administration of the government of the State of Michoacan, Mexico,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July 31, 2024 based on our cumulative probability analysis. We incurred $0.2 million and $0.8 million of related professional fees for the three and nine months ended July 31, 2024, respectively, which have been recorded in Expenses related to Mexican Tax matters on the consolidated statements of operations.</w:t>
      </w:r>
    </w:p>
    <w:p>
      <w:pPr>
        <w:spacing w:after="0" w:line="19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vMerge w:val="restart"/>
          </w:tcPr>
          <w:p>
            <w:pPr>
              <w:spacing w:after="0"/>
              <w:rPr>
                <w:sz w:val="15"/>
                <w:szCs w:val="15"/>
                <w:color w:val="auto"/>
              </w:rPr>
            </w:pPr>
          </w:p>
        </w:tc>
        <w:tc>
          <w:tcPr>
            <w:tcW w:w="22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 of Avocados de Jalisco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(loss) per share is calculated as follows (data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loss (income) attributable to noncontrolling interest</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Calavo Growers, Inc.</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11)</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(refer to Note 11)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864"/>
        </w:trPr>
        <w:tc>
          <w:tcPr>
            <w:tcW w:w="620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Calavo Growers, Inc.</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11)</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(refer to Note 11)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Calavo Growers, Inc:</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76" w:lineRule="exact"/>
        <w:rPr>
          <w:sz w:val="20"/>
          <w:szCs w:val="20"/>
          <w:color w:val="auto"/>
        </w:rPr>
      </w:pPr>
    </w:p>
    <w:p>
      <w:pPr>
        <w:ind w:left="40" w:right="199" w:firstLine="259"/>
        <w:spacing w:after="0" w:line="271" w:lineRule="auto"/>
        <w:rPr>
          <w:sz w:val="20"/>
          <w:szCs w:val="20"/>
          <w:color w:val="auto"/>
        </w:rPr>
      </w:pPr>
      <w:r>
        <w:rPr>
          <w:rFonts w:ascii="Times New Roman" w:cs="Times New Roman" w:eastAsia="Times New Roman" w:hAnsi="Times New Roman"/>
          <w:sz w:val="17"/>
          <w:szCs w:val="17"/>
          <w:color w:val="auto"/>
        </w:rPr>
        <w:t>As of July 31, 2024, and October 31, 2023, CDM IVA receivables, net of our estimated provision for uncollectable amounts, totaled $51.2 million (963.9 million Mexican pesos) and $49.9 million (913.6 million Mexican pesos). Historically, CDM received IVA refund payments from the Mexican tax authorities on a timely basis. Beginning in fiscal 2014 and continuing into fiscal 2024, the tax authorities began objecting to refund requests and supporting documentation that had previously been deemed acceptable to process a refund. Additionally, they are also contesting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73"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was not properly documented relative to its declared tax structure and therefore CDM could 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CDM filed a substance-over-form Annulment Suit in the Federal Tax Court to recover its full refund for IVA over the subject period.</w:t>
      </w:r>
    </w:p>
    <w:p>
      <w:pPr>
        <w:spacing w:after="0" w:line="162"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660" w:hanging="33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7" w:lineRule="exact"/>
        <w:rPr>
          <w:rFonts w:ascii="Times New Roman" w:cs="Times New Roman" w:eastAsia="Times New Roman" w:hAnsi="Times New Roman"/>
          <w:sz w:val="18"/>
          <w:szCs w:val="18"/>
          <w:color w:val="auto"/>
        </w:rPr>
      </w:pPr>
    </w:p>
    <w:p>
      <w:pPr>
        <w:jc w:val="both"/>
        <w:ind w:left="660" w:right="119" w:hanging="333"/>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 w:lineRule="exact"/>
        <w:rPr>
          <w:rFonts w:ascii="Times New Roman" w:cs="Times New Roman" w:eastAsia="Times New Roman" w:hAnsi="Times New Roman"/>
          <w:sz w:val="18"/>
          <w:szCs w:val="18"/>
          <w:color w:val="auto"/>
        </w:rPr>
      </w:pPr>
    </w:p>
    <w:p>
      <w:pPr>
        <w:ind w:left="660" w:right="399" w:hanging="333"/>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IVA is recoverable, since CDM demonstrated the existence of operations carried under the maquila services.</w:t>
      </w:r>
    </w:p>
    <w:p>
      <w:pPr>
        <w:jc w:val="both"/>
        <w:ind w:left="660" w:right="319" w:hanging="333"/>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IVA amounts attributed to the purchase of certain packing materials are not recoverable as CDM was not the buyer on record and therefore did not pay for the materials, which approximated $6.9 million pesos (approximately $0.4 million USD).</w:t>
      </w:r>
    </w:p>
    <w:p>
      <w:pPr>
        <w:spacing w:after="0" w:line="186"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July 31, 2024,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Assets Held for Sale and Discontinued Operations</w:t>
      </w:r>
    </w:p>
    <w:p>
      <w:pPr>
        <w:spacing w:after="0" w:line="229"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We completed the sale of our Fresh Cut business (formerly “RFG”) and related real estate to F&amp;S Fresh Foods of Vineland, New Jersey, on August 15, 2024 for $83 million, subject to various closing adjustments. The Fresh Cut business represents substantially all of the business of the Prepared segment other than the guacamole business, which was retained. For more information, see Note 12.</w:t>
      </w:r>
    </w:p>
    <w:p>
      <w:pPr>
        <w:spacing w:after="0" w:line="247"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During the nine-month period ended July 31, 2024, management has concluded that the Fresh Cut business meets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divestiture, as described in Note 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classes of assets and liabilities of the Fresh Cut business that are classified as held for sale in the accompanying balance sheets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 w:type="dxa"/>
            <w:vAlign w:val="bottom"/>
          </w:tcPr>
          <w:p>
            <w:pPr>
              <w:spacing w:after="0"/>
              <w:rPr>
                <w:sz w:val="13"/>
                <w:szCs w:val="13"/>
                <w:color w:val="auto"/>
              </w:rPr>
            </w:pPr>
          </w:p>
        </w:tc>
        <w:tc>
          <w:tcPr>
            <w:tcW w:w="9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5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319" w:firstLine="259"/>
        <w:spacing w:after="0" w:line="266" w:lineRule="auto"/>
        <w:rPr>
          <w:sz w:val="20"/>
          <w:szCs w:val="20"/>
          <w:color w:val="auto"/>
        </w:rPr>
      </w:pPr>
      <w:r>
        <w:rPr>
          <w:rFonts w:ascii="Times New Roman" w:cs="Times New Roman" w:eastAsia="Times New Roman" w:hAnsi="Times New Roman"/>
          <w:sz w:val="18"/>
          <w:szCs w:val="18"/>
          <w:color w:val="auto"/>
        </w:rPr>
        <w:t>Goodwill related to our Prepared segment was allocated between our Fresh Cut and Guacamole businesses based on the relative fair value of the disposal group and the portion of the reporting unit to be retained as of the date of the assets held for sale determination.</w:t>
      </w:r>
    </w:p>
    <w:p>
      <w:pPr>
        <w:spacing w:after="0" w:line="176" w:lineRule="exact"/>
        <w:rPr>
          <w:sz w:val="20"/>
          <w:szCs w:val="20"/>
          <w:color w:val="auto"/>
        </w:rPr>
      </w:pPr>
    </w:p>
    <w:p>
      <w:pPr>
        <w:ind w:left="40" w:right="8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of the Fresh Cut business that are being reported as discontinued operations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$ 88,586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$ 99,019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277,155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270"/>
        <w:spacing w:after="0" w:line="261" w:lineRule="auto"/>
        <w:rPr>
          <w:sz w:val="20"/>
          <w:szCs w:val="20"/>
          <w:color w:val="auto"/>
        </w:rPr>
      </w:pPr>
      <w:r>
        <w:rPr>
          <w:rFonts w:ascii="Times New Roman" w:cs="Times New Roman" w:eastAsia="Times New Roman" w:hAnsi="Times New Roman"/>
          <w:sz w:val="18"/>
          <w:szCs w:val="18"/>
          <w:color w:val="auto"/>
        </w:rPr>
        <w:t>Due to the sale of our Fresh Cut business on August 15, 2024,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Select cash flow information related to the Fresh Cut business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Sale of Fresh Cut Business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Asset Purchase Agreement and Purchase and Sale Agreement</w:t>
      </w:r>
    </w:p>
    <w:p>
      <w:pPr>
        <w:spacing w:after="0" w:line="227"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212529"/>
        </w:rPr>
        <w:t>On August 15, 2024, we (including various of our subsidiaries, the “Seller Parties”), F&amp;S Produce Co., Inc., a New Jersey corporation and a co-packing partner of the Company (“F&amp;S”) and F&amp;S Produce West LLC, a Delaware limited liability company and a wholly-owned subsidiary of F&amp;S (“Buyer”), entered into an Asset Purchase Agreement (the “Asset Purchase Agreement”), whereby the Buyer (i) purchased and acquired from the applicable Seller Parties certain assets of the Seller Parties related to the prepared food business of the Seller Parties and their subsidiaries relating to the processing and packaging of fresh foods, including fresh-cut fruit and vegetables, and prepared foods, including sandwiches, salads, parfaits and ready-to-eat snack items, sold at retail and food service, but excluding the guacamole or other avocado derivative product business (the “RFG Business”), (ii) purchased and acquired from the applicable Seller Parties the RFG Business as a going concern and (iii) assumed certain specified liabilities of the Seller Parties related to the RFG Business as set forth in the Asset Purchase Agreement.</w:t>
      </w:r>
    </w:p>
    <w:p>
      <w:pPr>
        <w:spacing w:after="0" w:line="194"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212529"/>
        </w:rPr>
        <w:t>Additionally, Buyer assumed leasehold interests in certain real property and related improvements leased by certain of the Seller Parties and used in the RFG Business (the “RFG Leases”), pursuant to leasehold assignment and assumption agreements and related documents between Buyer, the applicable Seller Parties who are the lessees under the RFG Leases and the applicable landlords under the RFG Leases.</w:t>
      </w:r>
    </w:p>
    <w:p>
      <w:pPr>
        <w:spacing w:after="0" w:line="180" w:lineRule="exact"/>
        <w:rPr>
          <w:sz w:val="20"/>
          <w:szCs w:val="20"/>
          <w:color w:val="auto"/>
        </w:rPr>
      </w:pPr>
    </w:p>
    <w:p>
      <w:pPr>
        <w:ind w:left="40" w:right="259"/>
        <w:spacing w:after="0" w:line="261" w:lineRule="auto"/>
        <w:rPr>
          <w:sz w:val="20"/>
          <w:szCs w:val="20"/>
          <w:color w:val="auto"/>
        </w:rPr>
      </w:pPr>
      <w:r>
        <w:rPr>
          <w:rFonts w:ascii="Times New Roman" w:cs="Times New Roman" w:eastAsia="Times New Roman" w:hAnsi="Times New Roman"/>
          <w:sz w:val="18"/>
          <w:szCs w:val="18"/>
          <w:color w:val="212529"/>
        </w:rPr>
        <w:t>Concurrently with the transaction contemplated by the Asset Purchase Agreement (the “Transaction”), Mid-Eastern West LLC, a California limited liability company and an affiliate of F&amp;S, entered into a Purchase and Sale Agreement with Force 1730 Eastridge LLC, a California limited liability company and a subsidiary of the Company, to purchase the real property located at 1730 Eastridge Ave, Riverside, CA 92507 for $30,980,000.</w:t>
      </w:r>
    </w:p>
    <w:p>
      <w:pPr>
        <w:spacing w:after="0" w:line="180" w:lineRule="exact"/>
        <w:rPr>
          <w:sz w:val="20"/>
          <w:szCs w:val="20"/>
          <w:color w:val="auto"/>
        </w:rPr>
      </w:pPr>
    </w:p>
    <w:p>
      <w:pPr>
        <w:jc w:val="both"/>
        <w:ind w:left="40" w:right="99"/>
        <w:spacing w:after="0" w:line="266" w:lineRule="auto"/>
        <w:rPr>
          <w:sz w:val="20"/>
          <w:szCs w:val="20"/>
          <w:color w:val="auto"/>
        </w:rPr>
      </w:pPr>
      <w:r>
        <w:rPr>
          <w:rFonts w:ascii="Times New Roman" w:cs="Times New Roman" w:eastAsia="Times New Roman" w:hAnsi="Times New Roman"/>
          <w:sz w:val="18"/>
          <w:szCs w:val="18"/>
          <w:color w:val="212529"/>
        </w:rPr>
        <w:t>In addition, pursuant to the Asset Purchase Agreement, the purchase price for the Purchased Assets (as defined in the Asset Purchase Agreement) was $52,020,000, subject to certain adjustments relating to working capital, severance, and approved capital expenditures.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Amendment to Credit Agreement</w:t>
      </w:r>
    </w:p>
    <w:p>
      <w:pPr>
        <w:spacing w:after="0" w:line="227"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212529"/>
        </w:rPr>
        <w:t>On August 15, 2024, we entered into a First Amendment to Credit Agreement and Consent (as amended, the “Credit Agreement”) with Wells Fargo Bank, National Association, as agent and lender (“Agent”), whereby (i) the Credit Agreement was amended to reduce the revolving commitments thereunder from $90,000,000 to $75,000,000, among other minor adjustments to align the borrowing base with our current asset base excluding the Fresh Cut business, and (ii) we obtained consent from Agent for entry into the Asset Purchase Agreement and 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239" w:firstLine="259"/>
        <w:spacing w:after="0" w:line="281" w:lineRule="auto"/>
        <w:rPr>
          <w:sz w:val="20"/>
          <w:szCs w:val="20"/>
          <w:color w:val="auto"/>
        </w:rPr>
      </w:pPr>
      <w:r>
        <w:rPr>
          <w:rFonts w:ascii="Times New Roman" w:cs="Times New Roman" w:eastAsia="Times New Roman" w:hAnsi="Times New Roman"/>
          <w:sz w:val="17"/>
          <w:szCs w:val="17"/>
          <w:color w:val="auto"/>
        </w:rPr>
        <w:t>This information should be read in conjunction with the unaudited consolidated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2023 of Calavo Growers, Inc. (“we”, “Calavo”, or the “Company”).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payments</w:t>
      </w:r>
    </w:p>
    <w:p>
      <w:pPr>
        <w:spacing w:after="0" w:line="227"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On January 31, 2024, we paid a dividend of $0.10 per share, or an aggregate of $1.8 million, to shareholders of record on January 26, 2024. On April 29, 2024, we paid a dividend of $0.10 per share, or an aggregate of $1.8 million, to shareholders of record on April 1, 2024. On July 30, 2024, we paid a dividend of $0.10 per share, or an aggregate of $1.8 million, to shareholders of record on July 2,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Sale of Fresh Cut</w:t>
      </w:r>
    </w:p>
    <w:p>
      <w:pPr>
        <w:spacing w:after="0" w:line="227"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We completed the sale of our Fresh Cut business (“Fresh Cut”, formerly “RFG”) and related real estate to F&amp;S Fresh Foods of Vineland, New Jersey, on August 15, 2024 for $83 million, subject to various closing adjustments. The Fresh Cut business represents substantially all of the business of the Prepared segment other than the guacamole business, which was retained. For more information, see Note 12 of the consolidated financial statements. See also “Discontinued Operations” below.</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Goodwill Impairment</w:t>
      </w:r>
    </w:p>
    <w:p>
      <w:pPr>
        <w:spacing w:after="0" w:line="227" w:lineRule="exact"/>
        <w:rPr>
          <w:sz w:val="20"/>
          <w:szCs w:val="20"/>
          <w:color w:val="auto"/>
        </w:rPr>
      </w:pPr>
    </w:p>
    <w:p>
      <w:pPr>
        <w:ind w:left="40" w:right="119" w:firstLine="225"/>
        <w:spacing w:after="0" w:line="261" w:lineRule="auto"/>
        <w:rPr>
          <w:sz w:val="20"/>
          <w:szCs w:val="20"/>
          <w:color w:val="auto"/>
        </w:rPr>
      </w:pPr>
      <w:r>
        <w:rPr>
          <w:rFonts w:ascii="Times New Roman" w:cs="Times New Roman" w:eastAsia="Times New Roman" w:hAnsi="Times New Roman"/>
          <w:sz w:val="18"/>
          <w:szCs w:val="18"/>
          <w:color w:val="auto"/>
        </w:rPr>
        <w:t>Due to the sale of our Fresh Cut business on August 15, 2024,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w:t>
      </w:r>
    </w:p>
    <w:p>
      <w:pPr>
        <w:spacing w:after="0" w:line="220" w:lineRule="exact"/>
        <w:rPr>
          <w:sz w:val="20"/>
          <w:szCs w:val="20"/>
          <w:color w:val="auto"/>
        </w:rPr>
      </w:pPr>
    </w:p>
    <w:p>
      <w:pPr>
        <w:ind w:left="40" w:right="399" w:firstLine="225"/>
        <w:spacing w:after="0" w:line="282" w:lineRule="auto"/>
        <w:rPr>
          <w:sz w:val="20"/>
          <w:szCs w:val="20"/>
          <w:color w:val="auto"/>
        </w:rPr>
      </w:pPr>
      <w:r>
        <w:rPr>
          <w:rFonts w:ascii="Times New Roman" w:cs="Times New Roman" w:eastAsia="Times New Roman" w:hAnsi="Times New Roman"/>
          <w:sz w:val="18"/>
          <w:szCs w:val="18"/>
          <w:color w:val="auto"/>
        </w:rPr>
        <w:t>The goodwill impairment charge of $9.3 million was recognized during the third quarter of fiscal 2024 as a result of ongoing negotiations and finalization of the sales price during this time period.</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Compliance matters</w:t>
      </w:r>
    </w:p>
    <w:p>
      <w:pPr>
        <w:spacing w:after="0" w:line="227" w:lineRule="exact"/>
        <w:rPr>
          <w:sz w:val="20"/>
          <w:szCs w:val="20"/>
          <w:color w:val="auto"/>
        </w:rPr>
      </w:pPr>
    </w:p>
    <w:p>
      <w:pPr>
        <w:ind w:left="40" w:right="79" w:firstLine="225"/>
        <w:spacing w:after="0" w:line="253" w:lineRule="auto"/>
        <w:rPr>
          <w:sz w:val="20"/>
          <w:szCs w:val="20"/>
          <w:color w:val="auto"/>
        </w:rPr>
      </w:pPr>
      <w:r>
        <w:rPr>
          <w:rFonts w:ascii="Times New Roman" w:cs="Times New Roman" w:eastAsia="Times New Roman" w:hAnsi="Times New Roman"/>
          <w:sz w:val="18"/>
          <w:szCs w:val="18"/>
          <w:color w:val="auto"/>
        </w:rPr>
        <w:t>On January 16, 2024, we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our operations in Mexico raised potential issues under the Foreign Corrupt Practices Act (“FCPA”). We have voluntarily disclosed this ongoing internal investigation to the SEC and the Department of Justice (DOJ), and we intend to fully cooperate with the SEC and the DOJ in connection with these matters. Any determination that our operations or activities were not in compliance with laws, including the FCPA, could result in the imposition of material fines and penalties and the imposition of equitable remedies. We cannot currently predict the timing of completion or the outcome of its internal investigation or of any actions that may be taken by the SEC, the DOJ or Mexican authorities in connection with the matters under investigation, and we cannot currently estimate the amount or range of loss or potential impact on its consolidated financial statements associated with these matters.</w:t>
      </w:r>
    </w:p>
    <w:p>
      <w:pPr>
        <w:spacing w:after="0" w:line="190" w:lineRule="exact"/>
        <w:rPr>
          <w:sz w:val="20"/>
          <w:szCs w:val="20"/>
          <w:color w:val="auto"/>
        </w:rPr>
      </w:pPr>
    </w:p>
    <w:p>
      <w:pPr>
        <w:ind w:left="40" w:right="559" w:firstLine="225"/>
        <w:spacing w:after="0" w:line="282" w:lineRule="auto"/>
        <w:rPr>
          <w:sz w:val="20"/>
          <w:szCs w:val="20"/>
          <w:color w:val="auto"/>
        </w:rPr>
      </w:pPr>
      <w:r>
        <w:rPr>
          <w:rFonts w:ascii="Times New Roman" w:cs="Times New Roman" w:eastAsia="Times New Roman" w:hAnsi="Times New Roman"/>
          <w:sz w:val="18"/>
          <w:szCs w:val="18"/>
          <w:color w:val="auto"/>
        </w:rPr>
        <w:t>Although unanticipated issues may arise, we currently expect the costs associated with our investigation efforts to decline beginning in the third quarter.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Tax Issues</w:t>
      </w:r>
    </w:p>
    <w:p>
      <w:pPr>
        <w:spacing w:after="0" w:line="227"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See Notes 7 and 10 of the consolidated financial statements for information on Mexican tax matters and the Mexican IVA taxes receivable.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56"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during the three months ended July 31, 2024, as compared to those disclosed in the “Management’s Discussion and Analysis of Financial Condition and Results of Operations—Critical Accounting Estimates” in our Annual Report on Form 10-K for our fiscal year ended October 31,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We completed the sale of our Fresh Cut business (formerly “RFG”) and related real estate to F&amp;S Fresh Foods of Vineland, New Jersey, on August 15, 2024 for $83 million, subject to various closing adjustments. The Fresh Cut business represents substantially all of the business of the Prepared segment other than the guacamole business, which was retained. For more information, see Note 12 of the consolidated financial statements.</w:t>
      </w:r>
    </w:p>
    <w:p>
      <w:pPr>
        <w:spacing w:after="0" w:line="180"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The financial results of the Fresh Cut business have been classified as discontinued operations in the statements of operations and its assets and liabilities have been classified as held for sale in the balance sheets included herein. Unless otherwise noted, amounts and disclosures in this section, relate to our continuing operations (except for the Liquidity and Capital Resources section).</w:t>
      </w:r>
    </w:p>
    <w:p>
      <w:pPr>
        <w:spacing w:after="0" w:line="180"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Prior to the decision to divest our Fresh Cut business, our Prepared reporting segment included the Fresh Cut business unit and our guacamole business. As a result of the divestiture, the Fresh Cut business unit is no longer included in our Prepared business segment. All segment information included herein reflect these changes. See Note 11 of the consolidated financial statements for further information.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40" w:right="439" w:firstLine="259"/>
        <w:spacing w:after="0" w:line="261" w:lineRule="auto"/>
        <w:rPr>
          <w:sz w:val="20"/>
          <w:szCs w:val="20"/>
          <w:color w:val="auto"/>
        </w:rPr>
      </w:pPr>
      <w:r>
        <w:rPr>
          <w:rFonts w:ascii="Times New Roman" w:cs="Times New Roman" w:eastAsia="Times New Roman" w:hAnsi="Times New Roman"/>
          <w:sz w:val="18"/>
          <w:szCs w:val="18"/>
          <w:color w:val="auto"/>
        </w:rPr>
        <w:t>The below tables include non-GAAP measures EBITDA from continuing operations, adjusted EBITDA from continuing operations, adjusted net income (loss) from continuing operations and adjusted net income (loss) from continuing operations per diluted share, which are not prepared in accordance with U.S. generally accepted accounting principles, or “GAAP.”</w:t>
      </w:r>
    </w:p>
    <w:p>
      <w:pPr>
        <w:spacing w:after="0" w:line="180" w:lineRule="exact"/>
        <w:rPr>
          <w:sz w:val="20"/>
          <w:szCs w:val="20"/>
          <w:color w:val="auto"/>
        </w:rPr>
      </w:pPr>
    </w:p>
    <w:p>
      <w:pPr>
        <w:ind w:left="40" w:right="79" w:firstLine="259"/>
        <w:spacing w:after="0" w:line="269" w:lineRule="auto"/>
        <w:rPr>
          <w:sz w:val="20"/>
          <w:szCs w:val="20"/>
          <w:color w:val="auto"/>
        </w:rPr>
      </w:pPr>
      <w:r>
        <w:rPr>
          <w:rFonts w:ascii="Times New Roman" w:cs="Times New Roman" w:eastAsia="Times New Roman" w:hAnsi="Times New Roman"/>
          <w:sz w:val="17"/>
          <w:szCs w:val="17"/>
          <w:color w:val="auto"/>
        </w:rPr>
        <w:t>EBITDA from continuing operations is defined as net income (loss) from continuing operations excluding (1) interest income and expense, (2) income taxes (benefit) provision, (3) depreciation and amortization and (4) stock-based compensation expense. Adjusted EBITDA from continuing operations is EBITDA from continuing operations with further adjustments for (1) non-cash net income (losses) recognized from unconsolidated entities, (2) goodwill impairment, (3) write-off of long-lived assets, (4) acquisition-related costs, (5) restructuring-related costs, including certain severance costs,</w:t>
      </w:r>
    </w:p>
    <w:p>
      <w:pPr>
        <w:spacing w:after="0" w:line="3" w:lineRule="exact"/>
        <w:rPr>
          <w:sz w:val="20"/>
          <w:szCs w:val="20"/>
          <w:color w:val="auto"/>
        </w:rPr>
      </w:pPr>
    </w:p>
    <w:p>
      <w:pPr>
        <w:ind w:left="300" w:hanging="256"/>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and other related costs, (7) foreign currency gain (loss) and (8) one-time items. Adjusted EBITDA</w:t>
      </w:r>
    </w:p>
    <w:p>
      <w:pPr>
        <w:spacing w:after="0" w:line="9" w:lineRule="exact"/>
        <w:rPr>
          <w:rFonts w:ascii="Times New Roman" w:cs="Times New Roman" w:eastAsia="Times New Roman" w:hAnsi="Times New Roman"/>
          <w:sz w:val="18"/>
          <w:szCs w:val="18"/>
          <w:color w:val="auto"/>
        </w:rPr>
      </w:pPr>
    </w:p>
    <w:p>
      <w:pPr>
        <w:ind w:left="40" w:right="1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continuing operations is a primary metric by which management evaluates the operating performance of the business, on which certain operating expenditures and internal budgets are based and by which, in addition to other factors, our senior management is compensated. The adjustments to calculate EBITDA from continuing operations and adjusted EBITDA from continuing operations are items recognized and recorded under GAAP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particular periods but might be viewed as not necessarily coinciding with the underlying business operations for the periods in which they are so recognized and recorded.</w:t>
      </w:r>
    </w:p>
    <w:p>
      <w:pPr>
        <w:spacing w:after="0" w:line="162"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Adjusted net loss from continuing operations is defined as net loss from continuing operations excluding (1) non-cash net income (losses) recognized from unconsolidated entities, (2) goodwill impairment, (3) write-off of long-lived assets, (4) acquisition-related costs, (5) restructuring-related costs, including certain severance costs, (6) certain litigation and other related costs, (7) foreign currency gain (loss) and (8) one-time items. Adjusted net income (loss) from continuing operations and the related measure of adjusted net income (loss) from continuing operations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from continuing operations affords investors a different view of our overall financial performance rather than adjusted EBITDA from continuing operations and the GAAP measure of net income (loss) attributable to us.</w:t>
      </w:r>
    </w:p>
    <w:p>
      <w:pPr>
        <w:spacing w:after="0" w:line="194"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76" w:lineRule="exact"/>
        <w:rPr>
          <w:sz w:val="20"/>
          <w:szCs w:val="20"/>
          <w:color w:val="auto"/>
        </w:rPr>
      </w:pPr>
    </w:p>
    <w:p>
      <w:pPr>
        <w:ind w:left="40" w:right="139" w:firstLine="259"/>
        <w:spacing w:after="0" w:line="25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we measure EBITDA from continuing operations, adjusted EBITDA from continuing operations, adjusted net income (loss) from continuing operations and adjusted net income (loss) from continuing operations per diluted share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from Continuing Operations (Non-GAAP, Unaudited)</w:t>
      </w:r>
    </w:p>
    <w:p>
      <w:pPr>
        <w:spacing w:after="0" w:line="229"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The following table presents adjusted income (loss) from continuing operations, net of income taxes and adjusted net income (loss) from continuing operations per diluted share, each a non-GAAP measure, and reconciles them to income (loss) from continuing operations, net of incomes taxes, and Diluted EPS from continuing operations, which are the most directly comparable GAAP measures. See “Non-GAAP Financial Measures” above (in thousands, except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 w:type="dxa"/>
            <w:vAlign w:val="bottom"/>
          </w:tcPr>
          <w:p>
            <w:pPr>
              <w:spacing w:after="0"/>
              <w:rPr>
                <w:sz w:val="15"/>
                <w:szCs w:val="15"/>
                <w:color w:val="auto"/>
              </w:rPr>
            </w:pP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08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Net loss (income) attributable to noncontrolling interest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178"/>
        </w:trPr>
        <w:tc>
          <w:tcPr>
            <w:tcW w:w="516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from continuing operations attributable to Calavo</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3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 recognized from unconsolidated entities (a)</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losses and charges related to property, plant and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(b)</w:t>
            </w:r>
          </w:p>
        </w:tc>
        <w:tc>
          <w:tcPr>
            <w:tcW w:w="1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198"/>
        </w:trPr>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management recruiting and severance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(recovery) related to Mexican tax matters (d)</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and related expenses (e)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related to internal investigation (f)</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(gain) (g)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impact of adjustments (h)</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10"/>
        </w:trPr>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w:t>
            </w:r>
          </w:p>
        </w:tc>
      </w:tr>
      <w:tr>
        <w:trPr>
          <w:trHeight w:val="20"/>
        </w:trPr>
        <w:tc>
          <w:tcPr>
            <w:tcW w:w="3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30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5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2"/>
                <w:szCs w:val="22"/>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197"/>
        </w:trPr>
        <w:tc>
          <w:tcPr>
            <w:tcW w:w="516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Adjusted net income from continuing operations per diluted share</w:t>
            </w: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r>
      <w:tr>
        <w:trPr>
          <w:trHeight w:val="20"/>
        </w:trPr>
        <w:tc>
          <w:tcPr>
            <w:tcW w:w="3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30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w:t>
            </w:r>
          </w:p>
        </w:tc>
      </w:tr>
      <w:tr>
        <w:trPr>
          <w:trHeight w:val="102"/>
        </w:trPr>
        <w:tc>
          <w:tcPr>
            <w:tcW w:w="30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72" w:lineRule="exact"/>
        <w:rPr>
          <w:sz w:val="20"/>
          <w:szCs w:val="20"/>
          <w:color w:val="auto"/>
        </w:rPr>
      </w:pPr>
    </w:p>
    <w:p>
      <w:pPr>
        <w:ind w:left="360" w:right="139" w:hanging="316"/>
        <w:spacing w:after="0" w:line="234"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July 31, 2024 and 2023, we realized losses of $0.6 million and losses of $0.5 million from Agricola Don Memo. For the nine months ended July 31, 2024 and 2023, we realized losses of $0.4 million and losses of $0.4 million from Agricola Don Memo.</w:t>
      </w:r>
    </w:p>
    <w:p>
      <w:pPr>
        <w:spacing w:after="0" w:line="68" w:lineRule="exact"/>
        <w:rPr>
          <w:rFonts w:ascii="Times New Roman" w:cs="Times New Roman" w:eastAsia="Times New Roman" w:hAnsi="Times New Roman"/>
          <w:sz w:val="16"/>
          <w:szCs w:val="16"/>
          <w:color w:val="auto"/>
        </w:rPr>
      </w:pPr>
    </w:p>
    <w:p>
      <w:pPr>
        <w:ind w:left="360" w:right="539" w:hanging="316"/>
        <w:spacing w:after="0" w:line="234"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On April 1, 2023, we completed the divesture of our salsa business in our Prepared segment and incurred $0.2 million in losses related to the disposal of property, plant and equipment.</w:t>
      </w:r>
    </w:p>
    <w:p>
      <w:pPr>
        <w:spacing w:after="0" w:line="68" w:lineRule="exact"/>
        <w:rPr>
          <w:rFonts w:ascii="Times New Roman" w:cs="Times New Roman" w:eastAsia="Times New Roman" w:hAnsi="Times New Roman"/>
          <w:sz w:val="16"/>
          <w:szCs w:val="16"/>
          <w:color w:val="auto"/>
        </w:rPr>
      </w:pPr>
    </w:p>
    <w:p>
      <w:pPr>
        <w:ind w:left="360" w:right="479" w:hanging="316"/>
        <w:spacing w:after="0" w:line="234"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nine months ended July 31, 2024, we incurred $0.9 million in severance and other costs and $0.1 million in stock-based compensation related to the departure of certain members of management.</w:t>
      </w:r>
    </w:p>
    <w:p>
      <w:pPr>
        <w:spacing w:after="0" w:line="68" w:lineRule="exact"/>
        <w:rPr>
          <w:rFonts w:ascii="Times New Roman" w:cs="Times New Roman" w:eastAsia="Times New Roman" w:hAnsi="Times New Roman"/>
          <w:sz w:val="16"/>
          <w:szCs w:val="16"/>
          <w:color w:val="auto"/>
        </w:rPr>
      </w:pPr>
    </w:p>
    <w:p>
      <w:pPr>
        <w:ind w:left="360" w:right="79"/>
        <w:spacing w:after="0" w:line="23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nine months ended July 31, 2023, we recorded $0.1 million and $0.8 million in severance costs as part of U.S. restructuring efforts, respectively. For the three and nine months ended July 31, 2023, we incurred $0.9 million in severance and other costs and $0.3 million in stock-based compensation related to the departure of certain members of management. In addition, for the nine months ended July 31, 2023, we incurred $1.2 million in severance and other costs and $1.2 million in stock-based compensation related to the departure of our former Chief Executive Officer. Additionally, for the nine months ended July 31, 2023, we incurred $0.6 million related to the divesture of Salsa Lisa.</w:t>
      </w:r>
    </w:p>
    <w:p>
      <w:pPr>
        <w:spacing w:after="0" w:line="69" w:lineRule="exact"/>
        <w:rPr>
          <w:rFonts w:ascii="Times New Roman" w:cs="Times New Roman" w:eastAsia="Times New Roman" w:hAnsi="Times New Roman"/>
          <w:sz w:val="16"/>
          <w:szCs w:val="16"/>
          <w:color w:val="auto"/>
        </w:rPr>
      </w:pPr>
    </w:p>
    <w:p>
      <w:pPr>
        <w:ind w:left="360" w:right="359" w:hanging="316"/>
        <w:spacing w:after="0" w:line="230"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nine months ended July 31, 2024, we incurred $0.2 million and $0.8 million of professional fees related to the Mexican tax matters, respectively. For the three and nine months ended July 31, 2023, we recognized a reserve of $0.5 million and $1.6 million related to the Mexican tax matters, respectively.</w:t>
      </w:r>
    </w:p>
    <w:p>
      <w:pPr>
        <w:spacing w:after="0" w:line="68" w:lineRule="exact"/>
        <w:rPr>
          <w:rFonts w:ascii="Times New Roman" w:cs="Times New Roman" w:eastAsia="Times New Roman" w:hAnsi="Times New Roman"/>
          <w:sz w:val="16"/>
          <w:szCs w:val="16"/>
          <w:color w:val="auto"/>
        </w:rPr>
      </w:pPr>
    </w:p>
    <w:p>
      <w:pPr>
        <w:ind w:left="360" w:right="119"/>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nine months ended July 31,2023, we recorded a recovery of $1.7 million related to the interest and inflationary adjustments related to an IVA repayment from Mexican Tax Authority. For the nine months ended July 31, 2023, we recognized a reserve of $1.4 million related to the collectability of IVA receivables.</w:t>
      </w:r>
    </w:p>
    <w:p>
      <w:pPr>
        <w:spacing w:after="0" w:line="68" w:lineRule="exact"/>
        <w:rPr>
          <w:rFonts w:ascii="Times New Roman" w:cs="Times New Roman" w:eastAsia="Times New Roman" w:hAnsi="Times New Roman"/>
          <w:sz w:val="16"/>
          <w:szCs w:val="16"/>
          <w:color w:val="auto"/>
        </w:rPr>
      </w:pPr>
    </w:p>
    <w:p>
      <w:pPr>
        <w:ind w:left="360" w:right="139" w:hanging="316"/>
        <w:spacing w:after="0" w:line="228"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nine months ended July 31, 2023, we accrued $0.6 million in a legal settlement from a dispute from over five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right="339" w:hanging="316"/>
        <w:spacing w:after="0" w:line="234" w:lineRule="auto"/>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nine months ended July 31, 2024, we incurred $1.4 million and $6.4 million of professional fee expenses related to the internal investigation, respectively. See further information in Note 7 to the consolidated financial statements.</w:t>
      </w:r>
    </w:p>
    <w:p>
      <w:pPr>
        <w:spacing w:after="0" w:line="68" w:lineRule="exact"/>
        <w:rPr>
          <w:rFonts w:ascii="Times New Roman" w:cs="Times New Roman" w:eastAsia="Times New Roman" w:hAnsi="Times New Roman"/>
          <w:sz w:val="16"/>
          <w:szCs w:val="16"/>
          <w:color w:val="auto"/>
        </w:rPr>
      </w:pPr>
    </w:p>
    <w:p>
      <w:pPr>
        <w:ind w:left="360" w:right="119" w:hanging="316"/>
        <w:spacing w:after="0" w:line="226" w:lineRule="auto"/>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Due to the change in the Mexican peso to the U.S. dollar exchange rates, foreign currency remeasurement losses, net of gains, for the three and nine months ended July 31, 2024 were $4.2 million and $2.8 million, respectively. Foreign currency remeasurement gains, net of losses, for the three and nine months ended July 31, 2023 were $2.0 million and $4.4 million, respectively. Foreign currency remeasurement gain and loss impacts have been included as an adjustment to non-GAAP earnings measures for the current quarter and for prior period results. We have begun adjusting our non-GAAP earnings to exclude foreign currency remeasurement gains and losses given volatility in foreign currency.</w:t>
      </w:r>
    </w:p>
    <w:p>
      <w:pPr>
        <w:spacing w:after="0" w:line="9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Tax impact of non-GAAP adjustments are based on effective year-to-date tax rates.</w:t>
      </w:r>
    </w:p>
    <w:p>
      <w:pPr>
        <w:spacing w:after="0" w:line="194"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Reconciliation of EBITDA from Continuing Operations and Adjusted EBITDA from Continuing Operations (Non-GAAP, Unaudited)</w:t>
      </w:r>
    </w:p>
    <w:p>
      <w:pPr>
        <w:spacing w:after="0" w:line="159"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presents EBITDA from continuing operations and adjusted EBITDA from continuing operations, each a non-GAAP measure, and reconciles them to net income (loss) attributable to Calavo Growers, Inc., which is the most directly comparable GAAP measure. See “Non-GAAP Financial Measures” above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9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60" w:type="dxa"/>
            <w:vAlign w:val="bottom"/>
          </w:tcPr>
          <w:p>
            <w:pPr>
              <w:spacing w:after="0"/>
              <w:rPr>
                <w:sz w:val="15"/>
                <w:szCs w:val="15"/>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Add: Net loss (income) attributable to noncontrolling interest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from continuing operations attributable to Calavo</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(income) loss recognized from unconsolidated entities (a)</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losses and charges related to property, plant and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(b)</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and management recruiting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(c)</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(recovery) related to Mexican tax matters (d)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settlement and related expenses (e)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internal investigation (f)</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loss (gain) (g)</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See prior page for footnote references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and nine months ended July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76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2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209"/>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w:t>
            </w:r>
          </w:p>
        </w:tc>
        <w:tc>
          <w:tcPr>
            <w:tcW w:w="10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$ 163,218</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13 % $ 144,069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$ 442,999</w:t>
            </w: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10 % $ 402,119</w:t>
            </w:r>
          </w:p>
        </w:tc>
        <w:tc>
          <w:tcPr>
            <w:tcW w:w="200" w:type="dxa"/>
            <w:vAlign w:val="bottom"/>
          </w:tcPr>
          <w:p>
            <w:pPr>
              <w:spacing w:after="0"/>
              <w:rPr>
                <w:sz w:val="18"/>
                <w:szCs w:val="18"/>
                <w:color w:val="auto"/>
              </w:rPr>
            </w:pPr>
          </w:p>
        </w:tc>
      </w:tr>
      <w:tr>
        <w:trPr>
          <w:trHeight w:val="216"/>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200" w:type="dxa"/>
            <w:vAlign w:val="bottom"/>
            <w:shd w:val="clear" w:color="auto" w:fill="CCEEFF"/>
          </w:tcPr>
          <w:p>
            <w:pPr>
              <w:spacing w:after="0"/>
              <w:rPr>
                <w:sz w:val="18"/>
                <w:szCs w:val="18"/>
                <w:color w:val="auto"/>
              </w:rPr>
            </w:pPr>
          </w:p>
        </w:tc>
      </w:tr>
      <w:tr>
        <w:trPr>
          <w:trHeight w:val="250"/>
        </w:trPr>
        <w:tc>
          <w:tcPr>
            <w:tcW w:w="2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0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$ 179,596</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$ 160,856</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$ 491,585</w:t>
            </w:r>
          </w:p>
        </w:tc>
        <w:tc>
          <w:tcPr>
            <w:tcW w:w="92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$ 451,898</w:t>
            </w:r>
          </w:p>
        </w:tc>
        <w:tc>
          <w:tcPr>
            <w:tcW w:w="200" w:type="dxa"/>
            <w:vAlign w:val="bottom"/>
            <w:tcBorders>
              <w:bottom w:val="single" w:sz="8" w:color="CCEEFF"/>
            </w:tcBorders>
          </w:tcPr>
          <w:p>
            <w:pPr>
              <w:spacing w:after="0"/>
              <w:rPr>
                <w:sz w:val="21"/>
                <w:szCs w:val="21"/>
                <w:color w:val="auto"/>
              </w:rPr>
            </w:pPr>
          </w:p>
        </w:tc>
      </w:tr>
      <w:tr>
        <w:trPr>
          <w:trHeight w:val="196"/>
        </w:trPr>
        <w:tc>
          <w:tcPr>
            <w:tcW w:w="2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90.9 %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90.1 %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89.0 %</w:t>
            </w: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9.1 %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9.9 %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July 31, 2024, compared to the corresponding period in fiscal 2023, increased by $18.7 million, or approximately 12%. This increase was across the Grown segment. Net sales for the nine months ended July 31, 2024, compared to the corresponding period in fiscal 2023, increased by $39.7 million, or approximately 9%. This increase was across the Grown segment.</w:t>
      </w:r>
    </w:p>
    <w:p>
      <w:pPr>
        <w:spacing w:after="0" w:line="180"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will continue to pursue grower recruitment opportunities and expand relationships with retail and foodservice customers to fuel net sales growth in each of our business segments. The Grown and Prepared segments of our business are subject to seasonal trends which can impact the volume and quality of raw materials sourced in any particular quarter.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2024 vs. Third Quarter 2023</w:t>
      </w:r>
    </w:p>
    <w:p>
      <w:pPr>
        <w:spacing w:after="0" w:line="225"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Grown products business increased by approximately $19.1 million, or 13%, for the third quarter of fiscal 2024 compared to the corresponding period in fiscal 2023. The increase in Grown product sales during the third quarter of fiscal 2024 was primarily related to an increase in sales of avocados, partially offset by a decrease in sales of tomatoes.</w:t>
      </w:r>
    </w:p>
    <w:p>
      <w:pPr>
        <w:spacing w:after="0" w:line="180" w:lineRule="exact"/>
        <w:rPr>
          <w:sz w:val="20"/>
          <w:szCs w:val="20"/>
          <w:color w:val="auto"/>
        </w:rPr>
      </w:pPr>
    </w:p>
    <w:p>
      <w:pPr>
        <w:ind w:left="40" w:right="59" w:firstLine="315"/>
        <w:spacing w:after="0" w:line="258" w:lineRule="auto"/>
        <w:rPr>
          <w:sz w:val="20"/>
          <w:szCs w:val="20"/>
          <w:color w:val="auto"/>
        </w:rPr>
      </w:pPr>
      <w:r>
        <w:rPr>
          <w:rFonts w:ascii="Times New Roman" w:cs="Times New Roman" w:eastAsia="Times New Roman" w:hAnsi="Times New Roman"/>
          <w:sz w:val="18"/>
          <w:szCs w:val="18"/>
          <w:color w:val="auto"/>
        </w:rPr>
        <w:t>Sales of avocados increased $24.7 million, or 20%, for the third quarter of 2024 compared to the prior year period. The increase in avocado sales during the third quarter of fiscal 2024 was primarily related to an increase in the sales price per carton by approximately 25%, partially offset by a decrease of cartons sold by 5%, reflecting our preference for margin over volume in sourcing and sales decisions. The increase in the sales price per carton was mainly due to strong demand for avocados.</w:t>
      </w:r>
    </w:p>
    <w:p>
      <w:pPr>
        <w:spacing w:after="0" w:line="183"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Sales of tomatoes decreased $6.0 million, or 38%, for the third quarter of 2024, when compared to the prior year period. The decrease in tomato sales was due to a decrease in volume of tomatoes sold of approximately 45% in the third quarter of 2024, compared to the same prior year period. Partially offsetting this decrease, the sales price per carton of tomatoes increased by approximately 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July 31, 2024 vs. Nine Months Ended July 31, 2023</w:t>
      </w:r>
    </w:p>
    <w:p>
      <w:pPr>
        <w:spacing w:after="0" w:line="225"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Grown products business increased by approximately $40.9 million, or 10%, for the nine months ended July 31, 2024 compared to the corresponding period in fiscal 2023. The increase in Grown product sales during the nine months ended July 31, 2024 was primarily related to an increase in sales of avocados due to an overall increase in the sales prices per carton, in addition, sales of tomatoes increased due to an increase in pounds sold and an increase in the sales prices per pound for tomatoes.</w:t>
      </w:r>
    </w:p>
    <w:p>
      <w:pPr>
        <w:spacing w:after="0" w:line="183"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increased $37.1 million, or 11%, for the nine months ended July 31, 2024 compared to the prior year period. The increase in avocado sales during the nine months ended July 31, 2024 was primarily related to an increase in sales prices per carton of approximately 26%, partially offset by a decrease in cartons sold by 12%. The increase in the sales price per carton was mainly due to strong demand for avocados.</w:t>
      </w:r>
    </w:p>
    <w:p>
      <w:pPr>
        <w:spacing w:after="0" w:line="180"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Sales of tomatoes increased $3.3 million, or 7%, for the nine months ended July 31, 2024, when compared to the prior year period. The increase in tomato sales was primarily due to an increase in the sales price per carton of tomatoes which increased by approximately 19%, partially offset by a decrease in the volume of tomatoes sold of approximately 10% during the nine months ended July 31, 2024, compared to the same prior year period.</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2024 vs. Third Quarter 2023</w:t>
      </w:r>
    </w:p>
    <w:p>
      <w:pPr>
        <w:spacing w:after="0" w:line="225"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Prepared products business decreased by approximately $0.4 million, for the three months ended July 31, 2024 compared to the corresponding period in fiscal 2023. This decrease in Prepared product sales during the three months ended July 31, 2024 was primarily related to a change in sales mix.</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July 31, 2024 vs. Nine Months Ended July 31, 2023</w:t>
      </w:r>
    </w:p>
    <w:p>
      <w:pPr>
        <w:spacing w:after="0" w:line="225"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Prepared products business decreased by approximately $1.2 million, for the nine months ended July 31, 2024 compared to the corresponding period in fiscal 2023. This decrease in Prepared product sales during the nine months ended July 31, 2024 was primarily related to the divestiture of our salsa business in June 2023.</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and nine months ended July 31, 2024 and 2023:</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5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5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82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90"/>
        </w:trPr>
        <w:tc>
          <w:tcPr>
            <w:tcW w:w="38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$ 18,175</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 $ 19,335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$ 40,958</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 $ 38,999</w:t>
            </w:r>
          </w:p>
        </w:tc>
        <w:tc>
          <w:tcPr>
            <w:tcW w:w="18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80" w:type="dxa"/>
            <w:vAlign w:val="bottom"/>
            <w:shd w:val="clear" w:color="auto" w:fill="CCEEFF"/>
          </w:tcPr>
          <w:p>
            <w:pPr>
              <w:spacing w:after="0"/>
              <w:rPr>
                <w:sz w:val="18"/>
                <w:szCs w:val="18"/>
                <w:color w:val="auto"/>
              </w:rPr>
            </w:pPr>
          </w:p>
        </w:tc>
      </w:tr>
      <w:tr>
        <w:trPr>
          <w:trHeight w:val="250"/>
        </w:trPr>
        <w:tc>
          <w:tcPr>
            <w:tcW w:w="3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$ 20,093</w:t>
            </w:r>
          </w:p>
        </w:tc>
        <w:tc>
          <w:tcPr>
            <w:tcW w:w="94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$ 22,004</w:t>
            </w:r>
          </w:p>
        </w:tc>
        <w:tc>
          <w:tcPr>
            <w:tcW w:w="2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$ 51,514</w:t>
            </w:r>
          </w:p>
        </w:tc>
        <w:tc>
          <w:tcPr>
            <w:tcW w:w="96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$ 48,344</w:t>
            </w:r>
          </w:p>
        </w:tc>
        <w:tc>
          <w:tcPr>
            <w:tcW w:w="180" w:type="dxa"/>
            <w:vAlign w:val="bottom"/>
            <w:tcBorders>
              <w:bottom w:val="single" w:sz="8" w:color="CCEEFF"/>
            </w:tcBorders>
          </w:tcPr>
          <w:p>
            <w:pPr>
              <w:spacing w:after="0"/>
              <w:rPr>
                <w:sz w:val="21"/>
                <w:szCs w:val="21"/>
                <w:color w:val="auto"/>
              </w:rPr>
            </w:pPr>
          </w:p>
        </w:tc>
      </w:tr>
      <w:tr>
        <w:trPr>
          <w:trHeight w:val="197"/>
        </w:trPr>
        <w:tc>
          <w:tcPr>
            <w:tcW w:w="3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Grown</w:t>
            </w:r>
          </w:p>
        </w:tc>
        <w:tc>
          <w:tcPr>
            <w:tcW w:w="21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11.1 %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13.4 %</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9.2 %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Prepared</w:t>
            </w:r>
          </w:p>
        </w:tc>
        <w:tc>
          <w:tcPr>
            <w:tcW w:w="2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11.7 %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15.9 %</w:t>
            </w: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21.7 %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Consolidated</w:t>
            </w:r>
          </w:p>
        </w:tc>
        <w:tc>
          <w:tcPr>
            <w:tcW w:w="21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11.2 %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13.7 %</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20" w:type="dxa"/>
            <w:vAlign w:val="bottom"/>
          </w:tcPr>
          <w:p>
            <w:pPr>
              <w:spacing w:after="0"/>
              <w:rPr>
                <w:sz w:val="18"/>
                <w:szCs w:val="18"/>
                <w:color w:val="auto"/>
              </w:rPr>
            </w:pPr>
          </w:p>
        </w:tc>
      </w:tr>
      <w:tr>
        <w:trPr>
          <w:trHeight w:val="86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(fruit and other food products), packing materials, freight and handling, labor and overhead (including depreciation) associated with packing, distributing and/or preparing food products, and other direct expenses pertaining to products sold.</w:t>
      </w:r>
    </w:p>
    <w:p>
      <w:pPr>
        <w:spacing w:after="0" w:line="176"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Gross profit decreased by approximately $1.9 million, or 9%, for the third quarter of fiscal 2024 compared to the corresponding period in fiscal 2023. The decrease in gross profit was across both segments. Gross profit increased by approximately $3.2 million, or 7%, for the nine months ended July 31, 2024 compared to the corresponding period in fiscal 2023. The increase in gross profit was across both segments.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40" w:right="219" w:firstLine="259"/>
        <w:spacing w:after="0" w:line="256" w:lineRule="auto"/>
        <w:rPr>
          <w:sz w:val="20"/>
          <w:szCs w:val="20"/>
          <w:color w:val="auto"/>
        </w:rPr>
      </w:pPr>
      <w:r>
        <w:rPr>
          <w:rFonts w:ascii="Times New Roman" w:cs="Times New Roman" w:eastAsia="Times New Roman" w:hAnsi="Times New Roman"/>
          <w:sz w:val="18"/>
          <w:szCs w:val="18"/>
          <w:color w:val="auto"/>
        </w:rPr>
        <w:t>The decrease in our Grown products gross profit for the quarter ended July 31, 2024 was primarily the result of decreased gross profit for tomatoes and avocados. For the third quarter of fiscal 2024, the gross profit for tomatoes decreased by approximately $0.8 million or 58%. This decrease is mainly due to lower volumes of tomatoes of 45% and partially offset by an increase in the sale price per carton of 13%. For the third quarter of fiscal 2024, the gross profit for avocados decreased by approximately $0.2 million or 1%. For the third quarter of fiscal 2024, the gross profit percentage for avocados was 11.6% compared to 14.0% for the third quarter of 2023.</w:t>
      </w:r>
    </w:p>
    <w:p>
      <w:pPr>
        <w:spacing w:after="0" w:line="187"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The increase in our Grown products gross profit for the nine months ended July 31, 2024 was primarily the result of increased gross profit for avocados. For the nine months ended July 31, 2024, the gross profit for avocados increased by approximately $2.5 million or 7%. For the nine months ended July 31, 2024, the gross profit percentage for avocados was 9.6% compared to 9.9% for the nine months ended July 31, 2023.</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Guacamole products gross profit percentage for the three months ended July 31, 2024 was 11.6%, compared to a gross profit of 16.7% for the prior year period. Guacamole products gross profit percentage for the nine months ended July 31, 2024 was 21.6%, compared to a gross profit of 21.3% for the prior year period. The decrease in gross profit percentage for the three months ended July 31, 2024 in guacamole products was primarily due to higher raw product fruit costs. The increase in gross profit percentage for the nine months ended July 31, 2024 in guacamole products was primarily due to lower raw product fruit costs and operating improvements at the beginning of the fiscal year.</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5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80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20"/>
        </w:trPr>
        <w:tc>
          <w:tcPr>
            <w:tcW w:w="3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8"/>
        </w:trPr>
        <w:tc>
          <w:tcPr>
            <w:tcW w:w="3800" w:type="dxa"/>
            <w:vAlign w:val="bottom"/>
          </w:tcPr>
          <w:p>
            <w:pPr>
              <w:spacing w:after="0"/>
              <w:rPr>
                <w:sz w:val="11"/>
                <w:szCs w:val="11"/>
                <w:color w:val="auto"/>
              </w:rPr>
            </w:pPr>
          </w:p>
        </w:tc>
        <w:tc>
          <w:tcPr>
            <w:tcW w:w="2340" w:type="dxa"/>
            <w:vAlign w:val="bottom"/>
            <w:gridSpan w:val="5"/>
          </w:tcPr>
          <w:p>
            <w:pPr>
              <w:jc w:val="right"/>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2340" w:type="dxa"/>
            <w:vAlign w:val="bottom"/>
            <w:gridSpan w:val="5"/>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$ 10,510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$ 12,994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$ 36,993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$ 37,997</w:t>
            </w:r>
          </w:p>
        </w:tc>
        <w:tc>
          <w:tcPr>
            <w:tcW w:w="200" w:type="dxa"/>
            <w:vAlign w:val="bottom"/>
            <w:shd w:val="clear" w:color="auto" w:fill="CCEEFF"/>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bl>
    <w:p>
      <w:pPr>
        <w:spacing w:after="0" w:line="17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of $10.5 million for the three months ended July 31, 2024 include costs of marketing and advertising, sales expenses (including broker commissions) and other general and administrative costs. Selling, general and administrative expenses decreased by $2.5 million, or 19%, for the three months ended July 31, 2024 compared to the prior year period. This decrease was primarily due to a decrease of $0.9 million in the management incentive bonus which was accrued in the prior year. In addition, we had a decline of $0.9 million in severance and other costs and $0.3 million in stock-based compensation, in the prior year, related to executive departures. Additionally, we had declines of stock based compensation of $0.3 million due to less stock being granted, and declines in travel of $0.2 million and other other admin fees of $0.2 million. Partially offsetting these declines, is an increase of $1.4 million in professional fees related to our internal investigation.</w:t>
      </w:r>
    </w:p>
    <w:p>
      <w:pPr>
        <w:spacing w:after="0" w:line="188"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of $37.0 million for the nine months ended July 31, 2024 include costs of marketing and advertising, sales expenses (including broker commissions) and other general and administrative costs. Selling, general and administrative expenses decreased by $1.0 million, or 3%, for the nine months ended July 31,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compared to the prior year period. This decrease is primarily due to decreases of $2.1 million in severance and other costs and $1.5 million in stock-based compensation, in the prior year, related to the departure of our former Chief Executive Officer and other executive departures. In addition, we had a decrease of $0.9 million in the management incentive bonus which was accrued in the prior year. Additionally, in the prior year, we incurred $0.7 million in a legal settlement and associated legal costs. We also had an increase of $6.4 million in professional fees related to our internal investigation.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2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5"/>
                <w:szCs w:val="15"/>
                <w:color w:val="auto"/>
              </w:rPr>
            </w:pPr>
          </w:p>
        </w:tc>
        <w:tc>
          <w:tcPr>
            <w:tcW w:w="220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8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(Dollars</w:t>
            </w:r>
          </w:p>
        </w:tc>
        <w:tc>
          <w:tcPr>
            <w:tcW w:w="7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w w:val="79"/>
              </w:rPr>
              <w:t>in thousands)</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43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(4,203)</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(2,799)</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$ 4,435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remeasured into U.S. dollars at exchange rates as of the balance sheet date and non-monetary assets, liabilities and equity are remeasured at historical rates. Sales and expenses are remeasured using a weighted-average exchange rate for the period.</w:t>
      </w:r>
    </w:p>
    <w:p>
      <w:pPr>
        <w:spacing w:after="0" w:line="183"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Due to the change in the Mexican peso to the U.S. dollar exchange rates, foreign currency remeasurement losses, net of gains, for the three and nine months ended July 31, 2024 were $4.2 million and $2.8 million, respectively. Foreign currency remeasurement gains, net of losses, for the three and nine months ended July 31, 2023 were $2.0 million and $4.4 million, respectively.</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entities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5"/>
                <w:szCs w:val="15"/>
                <w:color w:val="auto"/>
              </w:rPr>
            </w:pPr>
          </w:p>
        </w:tc>
        <w:tc>
          <w:tcPr>
            <w:tcW w:w="21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62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
        </w:trPr>
        <w:tc>
          <w:tcPr>
            <w:tcW w:w="3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8"/>
        </w:trPr>
        <w:tc>
          <w:tcPr>
            <w:tcW w:w="3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2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2020" w:type="dxa"/>
            <w:vAlign w:val="bottom"/>
            <w:gridSpan w:val="6"/>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1"/>
                <w:szCs w:val="1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unconsolidated entities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(398)</w:t>
            </w:r>
          </w:p>
        </w:tc>
      </w:tr>
    </w:tbl>
    <w:p>
      <w:pPr>
        <w:spacing w:after="0" w:line="198"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Loss from unconsolidated entities includes our participation in earnings or losses from our investments in Don Memo. For the three months ended July 31, 2024 and 2023 we realized a loss of $0.6 million and a loss of $0.5 million from Agricola Don Memo, respectively. For the nine months ended July 31, 2024 and 2023 we realized a loss of $0.4 million from Agricola Don Memo, respectively.</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5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26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4160" w:type="dxa"/>
            <w:vAlign w:val="bottom"/>
          </w:tcPr>
          <w:p>
            <w:pPr>
              <w:spacing w:after="0"/>
              <w:rPr>
                <w:sz w:val="12"/>
                <w:szCs w:val="12"/>
                <w:color w:val="auto"/>
              </w:rPr>
            </w:pPr>
          </w:p>
        </w:tc>
        <w:tc>
          <w:tcPr>
            <w:tcW w:w="62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210"/>
        </w:trPr>
        <w:tc>
          <w:tcPr>
            <w:tcW w:w="4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$ 1,441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(2,408)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$ 478</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(2,851)</w:t>
            </w:r>
          </w:p>
        </w:tc>
      </w:tr>
      <w:tr>
        <w:trPr>
          <w:trHeight w:val="234"/>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22.6 %</w:t>
            </w:r>
          </w:p>
        </w:tc>
      </w:tr>
    </w:tbl>
    <w:p>
      <w:pPr>
        <w:spacing w:after="0" w:line="179" w:lineRule="exact"/>
        <w:rPr>
          <w:sz w:val="20"/>
          <w:szCs w:val="20"/>
          <w:color w:val="auto"/>
        </w:rPr>
      </w:pPr>
    </w:p>
    <w:p>
      <w:pPr>
        <w:jc w:val="both"/>
        <w:ind w:left="40" w:right="199" w:firstLine="270"/>
        <w:spacing w:after="0" w:line="261"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is adjusted for discrete taxable events that may occur during the quarter. The effective tax rate for the three and nine-months ended July 31, 2024, is lower than the effective tax rate for the three and nine-months ended July 31, 2023, primarily due to losses from our Mexican entities due to foreign currency losses for the three and nine months ended July 31,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$13.5 million for the nine months ended July 31, 2024, compared to cash used by operating activities of $19.2 million for the corresponding period in fiscal 2023. Cash provided by operating activities for the nine months ended July 31, 2024 reflects primarily our net loss of $0.9 million, non-cash activities (depreciation and amortization, stock-based compensation expense, provision for losses on accounts receivable, losses from unconsolidated entities, loss on disposal of property, plant and equipment, and gain on the sale of the Temecula packinghouse) of $18.5 million and a net effect of changes in operating assets and liabilities of $4.0 million.</w:t>
      </w:r>
    </w:p>
    <w:p>
      <w:pPr>
        <w:spacing w:after="0" w:line="187"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Changes in operating assets and liabilities included an increase in accounts receivable of $17.2 million, an increase in income taxes receivable of $2.5 million, a net decrease in accounts payable, accrued expenses and other liabilities of $1.3 million, and an increase in other assets of $0.7 million offset by an increase in payable to growers of $11.6 million, a decrease in prepaid expenses and other current assets of $3.5 million, a decrease in advances to suppliers of $2.5 million, and a decrease in inventory of $0.3 million.</w:t>
      </w:r>
    </w:p>
    <w:p>
      <w:pPr>
        <w:spacing w:after="0" w:line="183"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The increase in our accounts receivable is due to an increase in sales for the month of July 2024 compared to October 2023. The decrease in accounts payable, accrued expenses and other liabilities is primarily related to the timing of payments in July 2024. The increase in other assets as of July 31, 2024, when compared to October 31, 2023, is primarily due to an increase in Mexican IVA taxes receivable. The increase in payable to growers is mostly due to higher volume of California avocados and tomatoes in July 2024 compared to October 2023. The decrease in our prepaid and other current assets is primarily due to a deposit as of October 31, 2023 for collateral in connection with our workers compensation insurance policies while we were in the process of obtaining a letter of credit, which has since been repaid. The decrease in advances to suppliers is mainly due to preseason advances being repaid through settlement to our tomato consignment growers. The decrease in our inventory as of July 31, 2024, when compared to October 31, 2023, is primarily due to higher inventory of California avocados.</w:t>
      </w:r>
    </w:p>
    <w:p>
      <w:pPr>
        <w:spacing w:after="0" w:line="194"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$2.5 million for the nine months ended July 31, 2024, which related to purchases of property, plant, and equipment.</w:t>
      </w:r>
    </w:p>
    <w:p>
      <w:pPr>
        <w:spacing w:after="0" w:line="162" w:lineRule="exact"/>
        <w:rPr>
          <w:sz w:val="20"/>
          <w:szCs w:val="20"/>
          <w:color w:val="auto"/>
        </w:rPr>
      </w:pPr>
    </w:p>
    <w:p>
      <w:pPr>
        <w:jc w:val="both"/>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$12.8 million for the nine months ended July 31, 2024, which related principally to net payments on our credit facility totaling $5.1 million, payments of $5.3 million in dividends, payments on long-term obligations of $1.3 million, the payment of minimum withholding of taxes on the net settling of shares of $0.6 million and payments on the term loan $0.4 million.</w:t>
      </w:r>
    </w:p>
    <w:p>
      <w:pPr>
        <w:spacing w:after="0" w:line="180"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credit facility. Cash and cash equivalents as of July 31, 2024 and October 31, 2023 totaled $1.1 million and $2.9 million, respectively. Our working capital at July 31, 2024 was $55.3 million, compared to $51.6 million at October 31, 2023.</w:t>
      </w:r>
    </w:p>
    <w:p>
      <w:pPr>
        <w:spacing w:after="0" w:line="180"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We completed the sale of our Fresh Cut business (formerly “RFG”) and related real estate to F&amp;S Fresh Foods of Vineland, New Jersey, on August 15, 2024 for $83 million, subject to various closing adjustments. The Fresh Cut business represents substantially all of the business of the Prepared segment other than the guacamole business, which was retained. We used the net proceeds from the to retire the outstanding balance of our credit facility, and we expect other uses of proceeds to include returning cash to shareholders and investing in growing our core business.</w:t>
      </w:r>
    </w:p>
    <w:p>
      <w:pPr>
        <w:spacing w:after="0" w:line="183"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We believe that our cash balance, cash flows from operations, availability under our credit facility, and other sources will be sufficient to satisfy our future capital expenditures, grower recruitment efforts, working capital and other financing requirements for the foreseeable future.</w:t>
      </w:r>
    </w:p>
    <w:p>
      <w:pPr>
        <w:spacing w:after="0" w:line="176" w:lineRule="exact"/>
        <w:rPr>
          <w:sz w:val="20"/>
          <w:szCs w:val="20"/>
          <w:color w:val="auto"/>
        </w:rPr>
      </w:pPr>
    </w:p>
    <w:p>
      <w:pPr>
        <w:ind w:left="40" w:right="79" w:firstLine="259"/>
        <w:spacing w:after="0" w:line="289" w:lineRule="auto"/>
        <w:rPr>
          <w:sz w:val="20"/>
          <w:szCs w:val="20"/>
          <w:color w:val="auto"/>
        </w:rPr>
      </w:pPr>
      <w:r>
        <w:rPr>
          <w:rFonts w:ascii="Times New Roman" w:cs="Times New Roman" w:eastAsia="Times New Roman" w:hAnsi="Times New Roman"/>
          <w:sz w:val="17"/>
          <w:szCs w:val="17"/>
          <w:color w:val="auto"/>
        </w:rPr>
        <w:t>On June 26, 2023, we entered into a credit agreement (the “Credit Agreement”) with Wells Fargo Bank, National Association, as agent and lender (“Agent” or “Wells Fargo”). The Credit Agreement provided for a revolving credit facility (the “Revolving Loans”) of up to $90.0 million, along with a capex credit facility of up to $10.0 million (the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August 15, 2024, we entered into a First Amendment to Credit Agreement and Consent with Wells Fargo whereby</w:t>
      </w:r>
    </w:p>
    <w:p>
      <w:pPr>
        <w:spacing w:after="0" w:line="27" w:lineRule="exact"/>
        <w:rPr>
          <w:sz w:val="20"/>
          <w:szCs w:val="20"/>
          <w:color w:val="auto"/>
        </w:rPr>
      </w:pPr>
    </w:p>
    <w:p>
      <w:pPr>
        <w:ind w:left="40" w:right="199" w:firstLine="4"/>
        <w:spacing w:after="0" w:line="277" w:lineRule="auto"/>
        <w:tabs>
          <w:tab w:leader="none" w:pos="2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Agreement was amended to reduce the revolving commitments thereunder from $90.0 million to $75.0 million, among other minor adjustments to align the borrowing base with our asset base excluding the Fresh Cut segment; and (ii) we obtained consent from Agent for entry into the Asset Purchase Agreement and Purchase and Sale Agreement.</w:t>
      </w:r>
    </w:p>
    <w:p>
      <w:pPr>
        <w:spacing w:after="0" w:line="169"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 based and are subject to a borrowing base calculation that includes a certain percentage of eligible accounts receivable, inventory and equipment, less any reserves implemented by Agent in its permitted discretion; provided that the equipment based portion of such borrowing base calculation reduces monthly according to scheduled amortization.</w:t>
      </w:r>
    </w:p>
    <w:p>
      <w:pPr>
        <w:spacing w:after="0" w:line="180"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our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w:t>
      </w:r>
    </w:p>
    <w:p>
      <w:pPr>
        <w:spacing w:after="0" w:line="183"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As of July 31, 2024, we were in compliance with the financial covenants. As of July 31, 2024, approximately $56.1 million was available for borrowing, based on our borrowing base calculation discussed above.</w:t>
      </w:r>
    </w:p>
    <w:p>
      <w:pPr>
        <w:spacing w:after="0" w:line="162"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7.0% at July 31, 2024. Under the credit facility, we had $29.9 million and $3.6 million outstanding related to the Revolving Loans and Term Loan, respectively, as of July 31, 2024.</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419" w:firstLine="259"/>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advances to suppliers,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2024.</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color w:val="auto"/>
              </w:rPr>
              <w:t>Expected maturity date July 31,</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2029</w:t>
            </w:r>
          </w:p>
        </w:tc>
        <w:tc>
          <w:tcPr>
            <w:tcW w:w="16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Thereafter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20" w:type="dxa"/>
            <w:vAlign w:val="bottom"/>
          </w:tcPr>
          <w:p>
            <w:pPr>
              <w:spacing w:after="0"/>
              <w:rPr>
                <w:sz w:val="12"/>
                <w:szCs w:val="12"/>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 —</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51,845</w:t>
            </w:r>
          </w:p>
        </w:tc>
        <w:tc>
          <w:tcPr>
            <w:tcW w:w="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 (1)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26,377</w:t>
            </w:r>
          </w:p>
        </w:tc>
        <w:tc>
          <w:tcPr>
            <w:tcW w:w="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20" w:type="dxa"/>
            <w:vAlign w:val="bottom"/>
          </w:tcPr>
          <w:p>
            <w:pPr>
              <w:spacing w:after="0"/>
              <w:rPr>
                <w:sz w:val="18"/>
                <w:szCs w:val="18"/>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pursuant to credit facility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29,919</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29,919</w:t>
            </w:r>
          </w:p>
        </w:tc>
        <w:tc>
          <w:tcPr>
            <w:tcW w:w="20" w:type="dxa"/>
            <w:vAlign w:val="bottom"/>
            <w:shd w:val="clear" w:color="auto" w:fill="CCEEFF"/>
          </w:tcPr>
          <w:p>
            <w:pPr>
              <w:spacing w:after="0"/>
              <w:rPr>
                <w:sz w:val="20"/>
                <w:szCs w:val="20"/>
                <w:color w:val="auto"/>
              </w:rPr>
            </w:pP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Term loan (1)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692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3" w:lineRule="exact"/>
        <w:rPr>
          <w:sz w:val="20"/>
          <w:szCs w:val="20"/>
          <w:color w:val="auto"/>
        </w:rPr>
      </w:pPr>
    </w:p>
    <w:p>
      <w:pPr>
        <w:ind w:left="360" w:right="119" w:hanging="316"/>
        <w:spacing w:after="0" w:line="236" w:lineRule="auto"/>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our credit facility approximates fair market value due to the variable rate of interest. With the sale of our Fresh Cut business, we repaid the borrowings pursuant to our credit facility in August 2024.</w:t>
      </w:r>
    </w:p>
    <w:p>
      <w:pPr>
        <w:spacing w:after="0" w:line="181"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quarter. It is currently our practice not to use derivative instruments for speculative or trading purposes. Additionally, we do not use any hedging or forward contracts to offset market volatility.</w:t>
      </w:r>
    </w:p>
    <w:p>
      <w:pPr>
        <w:spacing w:after="0" w:line="176"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Mexican cash needs. We do not currently use derivative instruments to hedge fluctuations in the Mexican peso to U.S. dollar exchange rates. Management does, however, evaluate this opportunity from time to time. Foreign currency remeasurement losses, net of gains, for the three and nine months ended July 31, 2024 were $4.2 million and $2.8 million, respectively. Foreign currency remeasurement gains, net of losses, for the three and nine months ended July 31, 2023 were $2.0 million and $4.4 million, respectively.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183"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July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refer to Note 7 to the consolidated financial statements included in this Quarterly Report for further information.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Part I, Item 1A “Risk Factors” of our Annual Report on Form 10-K for the year ended October 31, 2023. There have been no material changes from the risk factors set forth in such Annual Report on Form 10-K. However, the risks and uncertainties that we face are not limited to those set forth in such Annual Report on Form 10-K. Additional risks and uncertainties not presently known to us or that we currently believe to be immaterial may also adversely affect our business and the trading price of our common stock.</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29"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During the quarter ended July 31, 2024, no director or Section 16 officer adopted or terminated any contract, instruction or written plan for the purchase or sale of Company securities that was intended to satisfy the affirmation defense conditions of Rule 10b5-1(c) or any “non-Rule 10b5-1 trading arrangements.”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p>
      <w:pPr>
        <w:ind w:left="1360" w:right="299" w:hanging="431"/>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Rule 13a-14(a)/15d-14(a0, as adopted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302 of the Sarbanes-Oxley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60" w:right="399" w:hanging="431"/>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Rule 13a-14(a)/15d-14(a), as adopted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302 of the Sarbanes-Oxley Act of 2002. *</w:t>
      </w:r>
    </w:p>
    <w:p>
      <w:pPr>
        <w:spacing w:after="0" w:line="162" w:lineRule="exact"/>
        <w:rPr>
          <w:sz w:val="20"/>
          <w:szCs w:val="20"/>
          <w:color w:val="auto"/>
        </w:rPr>
      </w:pPr>
    </w:p>
    <w:p>
      <w:pPr>
        <w:ind w:left="1360" w:right="279" w:hanging="431"/>
        <w:spacing w:after="0" w:line="28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by Chief Executive Officer and Chief Financial Officer of Periodic Report Pursuant to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U.S.C. Section 1350, as adopted pursuant to Section 906 of the Sarbanes-Ocley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60" w:right="159" w:hanging="434"/>
        <w:spacing w:after="0" w:line="255"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July 31, 2024, formatted in Inline XBRL (Extensible Business Reporting Language) includes: (1) Consolidated Balance Sheets as of July 31, 2024 and October 31, 2023; (2) Consolidated Statements of Operations for the three and nine months ended July 31, 2024 and 2023; (3) Consolidated Statements of Cash Flows for the nine months ended July 31, 2024 and 2023; (4) Consolidated Statements of Shareholders’ Equity for the three and nine months ended July 31, 2024 and 2023; and (5) Notes to Consolidated Financial Statements.</w:t>
      </w:r>
    </w:p>
    <w:p>
      <w:pPr>
        <w:spacing w:after="0" w:line="189" w:lineRule="exact"/>
        <w:rPr>
          <w:sz w:val="20"/>
          <w:szCs w:val="20"/>
          <w:color w:val="auto"/>
        </w:rPr>
      </w:pPr>
    </w:p>
    <w:p>
      <w:pPr>
        <w:ind w:left="1360" w:hanging="434"/>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0" w:lineRule="exact"/>
        <w:rPr>
          <w:rFonts w:ascii="Times New Roman" w:cs="Times New Roman" w:eastAsia="Times New Roman" w:hAnsi="Times New Roman"/>
          <w:sz w:val="18"/>
          <w:szCs w:val="18"/>
          <w:color w:val="auto"/>
        </w:rPr>
      </w:pPr>
    </w:p>
    <w:p>
      <w:pPr>
        <w:ind w:left="360" w:right="179"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-275590</wp:posOffset>
            </wp:positionV>
            <wp:extent cx="141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2024</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E. Cole</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2024</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Munsell</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Munsell</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94"/>
        </w:trPr>
        <w:tc>
          <w:tcPr>
            <w:tcW w:w="47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35</w:t>
            </w:r>
          </w:p>
        </w:tc>
        <w:tc>
          <w:tcPr>
            <w:tcW w:w="4160" w:type="dxa"/>
            <w:vAlign w:val="bottom"/>
          </w:tcPr>
          <w:p>
            <w:pPr>
              <w:spacing w:after="0"/>
              <w:rPr>
                <w:sz w:val="24"/>
                <w:szCs w:val="24"/>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Lecil E. Cole, certify that:</w:t>
      </w:r>
    </w:p>
    <w:p>
      <w:pPr>
        <w:spacing w:after="0" w:line="235" w:lineRule="exact"/>
        <w:rPr>
          <w:sz w:val="20"/>
          <w:szCs w:val="20"/>
          <w:color w:val="auto"/>
        </w:rPr>
      </w:pPr>
    </w:p>
    <w:p>
      <w:pPr>
        <w:ind w:left="700" w:hanging="656"/>
        <w:spacing w:after="0"/>
        <w:tabs>
          <w:tab w:leader="none" w:pos="7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9, 2024</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Lecil E. Cole</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Lecil E. Cole</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Shawn Munsell, certify that:</w:t>
      </w:r>
    </w:p>
    <w:p>
      <w:pPr>
        <w:spacing w:after="0" w:line="235" w:lineRule="exact"/>
        <w:rPr>
          <w:sz w:val="20"/>
          <w:szCs w:val="20"/>
          <w:color w:val="auto"/>
        </w:rPr>
      </w:pPr>
    </w:p>
    <w:p>
      <w:pPr>
        <w:ind w:left="700" w:hanging="656"/>
        <w:spacing w:after="0"/>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9, 2024</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Shawn Munsell</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Shawn Munsell</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w:t>
      </w:r>
    </w:p>
    <w:p>
      <w:pPr>
        <w:spacing w:after="0" w:line="212" w:lineRule="exact"/>
        <w:rPr>
          <w:sz w:val="20"/>
          <w:szCs w:val="20"/>
          <w:color w:val="auto"/>
        </w:rPr>
      </w:pPr>
    </w:p>
    <w:p>
      <w:pPr>
        <w:ind w:left="40" w:right="239" w:firstLine="648"/>
        <w:spacing w:after="0" w:line="274" w:lineRule="auto"/>
        <w:rPr>
          <w:sz w:val="20"/>
          <w:szCs w:val="20"/>
          <w:color w:val="auto"/>
        </w:rPr>
      </w:pPr>
      <w:r>
        <w:rPr>
          <w:rFonts w:ascii="Times New Roman" w:cs="Times New Roman" w:eastAsia="Times New Roman" w:hAnsi="Times New Roman"/>
          <w:sz w:val="17"/>
          <w:szCs w:val="17"/>
          <w:color w:val="auto"/>
        </w:rPr>
        <w:t>The undersigned, the Chief Executive Officer, and our Interim Chief Financial Officer of Calavo Growers, Inc. (the Company), hereby certifies, pursuant to 18 U.S.C. Section 1350, as adopted pursuant to Section 906 of the Sarbanes-Oxley Act of 2002, that, to his knowledge, the Company’s Quarterly Report on Form 10-Q for the quarter ended July 31, 2024,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September 9, 2024</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Lecil E. Cole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Shawn Munsell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7"/>
    </w:lvl>
  </w:abstractNum>
  <w:abstractNum w:abstractNumId="3">
    <w:nsid w:val="12200854"/>
    <w:multiLevelType w:val="hybridMultilevel"/>
    <w:lvl w:ilvl="0">
      <w:lvlJc w:val="left"/>
      <w:lvlText w:val="o"/>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6"/>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
      <w:numFmt w:val="bullet"/>
      <w:start w:val="1"/>
    </w:lvl>
    <w:lvl w:ilvl="1">
      <w:lvlJc w:val="left"/>
      <w:lvlText w:val="%2"/>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2024-09-09T16:06:02Z</dcterms:created>
  <dcterms:modified xsi:type="dcterms:W3CDTF">2024-09-09T16:06:02Z</dcterms:modified>
</cp:coreProperties>
</file>