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00"/>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97" w:lineRule="exact"/>
        <w:rPr>
          <w:sz w:val="24"/>
          <w:szCs w:val="24"/>
          <w:color w:val="auto"/>
        </w:rPr>
      </w:pPr>
    </w:p>
    <w:p>
      <w:pPr>
        <w:ind w:left="3760" w:right="2580" w:hanging="3757"/>
        <w:spacing w:after="0" w:line="269" w:lineRule="auto"/>
        <w:tabs>
          <w:tab w:leader="none" w:pos="298" w:val="left"/>
        </w:tabs>
        <w:numPr>
          <w:ilvl w:val="0"/>
          <w:numId w:val="1"/>
        </w:numPr>
        <w:rPr>
          <w:rFonts w:ascii="MS PGothic" w:cs="MS PGothic" w:eastAsia="MS PGothic" w:hAnsi="MS PGothic"/>
          <w:sz w:val="27"/>
          <w:szCs w:val="27"/>
          <w:color w:val="auto"/>
          <w:highlight w:val="black"/>
          <w:vertAlign w:val="superscript"/>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October 31, 2024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72" w:lineRule="exact"/>
        <w:rPr>
          <w:sz w:val="24"/>
          <w:szCs w:val="24"/>
          <w:color w:val="auto"/>
        </w:rPr>
      </w:pPr>
    </w:p>
    <w:p>
      <w:pPr>
        <w:ind w:left="3960" w:right="2280" w:hanging="3957"/>
        <w:spacing w:after="0" w:line="269" w:lineRule="auto"/>
        <w:tabs>
          <w:tab w:leader="none" w:pos="300" w:val="left"/>
        </w:tabs>
        <w:numPr>
          <w:ilvl w:val="0"/>
          <w:numId w:val="2"/>
        </w:numPr>
        <w:rPr>
          <w:rFonts w:ascii="MS PGothic" w:cs="MS PGothic" w:eastAsia="MS PGothic" w:hAnsi="MS PGothic"/>
          <w:sz w:val="27"/>
          <w:szCs w:val="27"/>
          <w:color w:val="auto"/>
          <w:highlight w:val="black"/>
          <w:vertAlign w:val="superscript"/>
        </w:rPr>
      </w:pPr>
      <w:r>
        <w:rPr>
          <w:rFonts w:ascii="Times New Roman" w:cs="Times New Roman" w:eastAsia="Times New Roman" w:hAnsi="Times New Roman"/>
          <w:sz w:val="15"/>
          <w:szCs w:val="15"/>
          <w:b w:val="1"/>
          <w:bCs w:val="1"/>
          <w:color w:val="auto"/>
        </w:rPr>
        <w:t>TRANSITION REPORT PURSUANT TO SECTION 13 OR 15(d) OF THE SECURITIES EXCHANGE ACT OF 1934 Commission file number: 000-33385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79"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4480" w:type="dxa"/>
            <w:vAlign w:val="bottom"/>
          </w:tcPr>
          <w:p>
            <w:pPr>
              <w:jc w:val="center"/>
              <w:ind w:right="1189"/>
              <w:spacing w:after="0"/>
              <w:rPr>
                <w:sz w:val="20"/>
                <w:szCs w:val="20"/>
                <w:color w:val="auto"/>
              </w:rPr>
            </w:pPr>
            <w:r>
              <w:rPr>
                <w:rFonts w:ascii="Times New Roman" w:cs="Times New Roman" w:eastAsia="Times New Roman" w:hAnsi="Times New Roman"/>
                <w:sz w:val="15"/>
                <w:szCs w:val="15"/>
                <w:b w:val="1"/>
                <w:bCs w:val="1"/>
                <w:color w:val="auto"/>
              </w:rPr>
              <w:t>California</w:t>
            </w:r>
          </w:p>
        </w:tc>
        <w:tc>
          <w:tcPr>
            <w:tcW w:w="3200" w:type="dxa"/>
            <w:vAlign w:val="bottom"/>
          </w:tcPr>
          <w:p>
            <w:pPr>
              <w:jc w:val="right"/>
              <w:ind w:right="529"/>
              <w:spacing w:after="0"/>
              <w:rPr>
                <w:sz w:val="20"/>
                <w:szCs w:val="20"/>
                <w:color w:val="auto"/>
              </w:rPr>
            </w:pPr>
            <w:r>
              <w:rPr>
                <w:rFonts w:ascii="Times New Roman" w:cs="Times New Roman" w:eastAsia="Times New Roman" w:hAnsi="Times New Roman"/>
                <w:sz w:val="15"/>
                <w:szCs w:val="15"/>
                <w:b w:val="1"/>
                <w:bCs w:val="1"/>
                <w:color w:val="auto"/>
              </w:rPr>
              <w:t>33-0945304</w:t>
            </w:r>
          </w:p>
        </w:tc>
      </w:tr>
      <w:tr>
        <w:trPr>
          <w:trHeight w:val="173"/>
        </w:trPr>
        <w:tc>
          <w:tcPr>
            <w:tcW w:w="4480" w:type="dxa"/>
            <w:vAlign w:val="bottom"/>
          </w:tcPr>
          <w:p>
            <w:pPr>
              <w:jc w:val="center"/>
              <w:ind w:right="1209"/>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200" w:type="dxa"/>
            <w:vAlign w:val="bottom"/>
          </w:tcPr>
          <w:p>
            <w:pPr>
              <w:jc w:val="center"/>
              <w:ind w:left="1189"/>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266"/>
        </w:trPr>
        <w:tc>
          <w:tcPr>
            <w:tcW w:w="4480" w:type="dxa"/>
            <w:vAlign w:val="bottom"/>
          </w:tcPr>
          <w:p>
            <w:pPr>
              <w:jc w:val="center"/>
              <w:ind w:right="1209"/>
              <w:spacing w:after="0"/>
              <w:rPr>
                <w:sz w:val="20"/>
                <w:szCs w:val="20"/>
                <w:color w:val="auto"/>
              </w:rPr>
            </w:pPr>
            <w:r>
              <w:rPr>
                <w:rFonts w:ascii="Times New Roman" w:cs="Times New Roman" w:eastAsia="Times New Roman" w:hAnsi="Times New Roman"/>
                <w:sz w:val="15"/>
                <w:szCs w:val="15"/>
                <w:b w:val="1"/>
                <w:bCs w:val="1"/>
                <w:color w:val="auto"/>
              </w:rPr>
              <w:t>1141-A Cummings Road, Santa Paula, CA</w:t>
            </w:r>
          </w:p>
        </w:tc>
        <w:tc>
          <w:tcPr>
            <w:tcW w:w="3200" w:type="dxa"/>
            <w:vAlign w:val="bottom"/>
          </w:tcPr>
          <w:p>
            <w:pPr>
              <w:jc w:val="right"/>
              <w:ind w:right="709"/>
              <w:spacing w:after="0"/>
              <w:rPr>
                <w:sz w:val="20"/>
                <w:szCs w:val="20"/>
                <w:color w:val="auto"/>
              </w:rPr>
            </w:pPr>
            <w:r>
              <w:rPr>
                <w:rFonts w:ascii="Times New Roman" w:cs="Times New Roman" w:eastAsia="Times New Roman" w:hAnsi="Times New Roman"/>
                <w:sz w:val="15"/>
                <w:szCs w:val="15"/>
                <w:b w:val="1"/>
                <w:bCs w:val="1"/>
                <w:color w:val="auto"/>
              </w:rPr>
              <w:t>93060</w:t>
            </w:r>
          </w:p>
        </w:tc>
      </w:tr>
      <w:tr>
        <w:trPr>
          <w:trHeight w:val="173"/>
        </w:trPr>
        <w:tc>
          <w:tcPr>
            <w:tcW w:w="4480" w:type="dxa"/>
            <w:vAlign w:val="bottom"/>
          </w:tcPr>
          <w:p>
            <w:pPr>
              <w:jc w:val="center"/>
              <w:ind w:right="1209"/>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3200" w:type="dxa"/>
            <w:vAlign w:val="bottom"/>
          </w:tcPr>
          <w:p>
            <w:pPr>
              <w:jc w:val="center"/>
              <w:ind w:left="1209"/>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(805) 525-1245</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116"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80" w:type="dxa"/>
            <w:vAlign w:val="bottom"/>
            <w:gridSpan w:val="3"/>
          </w:tcPr>
          <w:p>
            <w:pPr>
              <w:jc w:val="center"/>
              <w:ind w:left="705"/>
              <w:spacing w:after="0"/>
              <w:rPr>
                <w:sz w:val="20"/>
                <w:szCs w:val="20"/>
                <w:color w:val="auto"/>
              </w:rPr>
            </w:pPr>
            <w:r>
              <w:rPr>
                <w:rFonts w:ascii="Times New Roman" w:cs="Times New Roman" w:eastAsia="Times New Roman" w:hAnsi="Times New Roman"/>
                <w:sz w:val="15"/>
                <w:szCs w:val="15"/>
                <w:b w:val="1"/>
                <w:bCs w:val="1"/>
                <w:color w:val="auto"/>
              </w:rPr>
              <w:t>Name of each exchange</w:t>
            </w:r>
          </w:p>
        </w:tc>
      </w:tr>
      <w:tr>
        <w:trPr>
          <w:trHeight w:val="167"/>
        </w:trPr>
        <w:tc>
          <w:tcPr>
            <w:tcW w:w="860" w:type="dxa"/>
            <w:vAlign w:val="bottom"/>
          </w:tcPr>
          <w:p>
            <w:pPr>
              <w:spacing w:after="0"/>
              <w:rPr>
                <w:sz w:val="14"/>
                <w:szCs w:val="14"/>
                <w:color w:val="auto"/>
              </w:rPr>
            </w:pPr>
          </w:p>
        </w:tc>
        <w:tc>
          <w:tcPr>
            <w:tcW w:w="3520" w:type="dxa"/>
            <w:vAlign w:val="bottom"/>
            <w:gridSpan w:val="2"/>
          </w:tcPr>
          <w:p>
            <w:pPr>
              <w:jc w:val="center"/>
              <w:ind w:right="2400"/>
              <w:spacing w:after="0" w:line="167" w:lineRule="exact"/>
              <w:rPr>
                <w:sz w:val="20"/>
                <w:szCs w:val="20"/>
                <w:color w:val="auto"/>
              </w:rPr>
            </w:pPr>
            <w:r>
              <w:rPr>
                <w:rFonts w:ascii="Times New Roman" w:cs="Times New Roman" w:eastAsia="Times New Roman" w:hAnsi="Times New Roman"/>
                <w:sz w:val="15"/>
                <w:szCs w:val="15"/>
                <w:b w:val="1"/>
                <w:bCs w:val="1"/>
                <w:color w:val="auto"/>
                <w:w w:val="99"/>
              </w:rPr>
              <w:t>Title of each class</w:t>
            </w:r>
          </w:p>
        </w:tc>
        <w:tc>
          <w:tcPr>
            <w:tcW w:w="1980" w:type="dxa"/>
            <w:vAlign w:val="bottom"/>
            <w:gridSpan w:val="2"/>
          </w:tcPr>
          <w:p>
            <w:pPr>
              <w:jc w:val="center"/>
              <w:ind w:right="780"/>
              <w:spacing w:after="0" w:line="167" w:lineRule="exact"/>
              <w:rPr>
                <w:sz w:val="20"/>
                <w:szCs w:val="20"/>
                <w:color w:val="auto"/>
              </w:rPr>
            </w:pPr>
            <w:r>
              <w:rPr>
                <w:rFonts w:ascii="Times New Roman" w:cs="Times New Roman" w:eastAsia="Times New Roman" w:hAnsi="Times New Roman"/>
                <w:sz w:val="15"/>
                <w:szCs w:val="15"/>
                <w:b w:val="1"/>
                <w:bCs w:val="1"/>
                <w:color w:val="auto"/>
                <w:w w:val="99"/>
              </w:rPr>
              <w:t>Trading Symbol(s)</w:t>
            </w:r>
          </w:p>
        </w:tc>
        <w:tc>
          <w:tcPr>
            <w:tcW w:w="1100" w:type="dxa"/>
            <w:vAlign w:val="bottom"/>
          </w:tcPr>
          <w:p>
            <w:pPr>
              <w:spacing w:after="0"/>
              <w:rPr>
                <w:sz w:val="14"/>
                <w:szCs w:val="14"/>
                <w:color w:val="auto"/>
              </w:rPr>
            </w:pPr>
          </w:p>
        </w:tc>
        <w:tc>
          <w:tcPr>
            <w:tcW w:w="1580" w:type="dxa"/>
            <w:vAlign w:val="bottom"/>
            <w:gridSpan w:val="2"/>
          </w:tcPr>
          <w:p>
            <w:pPr>
              <w:jc w:val="center"/>
              <w:ind w:right="320"/>
              <w:spacing w:after="0" w:line="167" w:lineRule="exact"/>
              <w:rPr>
                <w:sz w:val="20"/>
                <w:szCs w:val="20"/>
                <w:color w:val="auto"/>
              </w:rPr>
            </w:pPr>
            <w:r>
              <w:rPr>
                <w:rFonts w:ascii="Times New Roman" w:cs="Times New Roman" w:eastAsia="Times New Roman" w:hAnsi="Times New Roman"/>
                <w:sz w:val="15"/>
                <w:szCs w:val="15"/>
                <w:b w:val="1"/>
                <w:bCs w:val="1"/>
                <w:color w:val="auto"/>
              </w:rPr>
              <w:t>on which registered</w:t>
            </w:r>
          </w:p>
        </w:tc>
      </w:tr>
      <w:tr>
        <w:trPr>
          <w:trHeight w:val="20"/>
        </w:trPr>
        <w:tc>
          <w:tcPr>
            <w:tcW w:w="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2"/>
        </w:trPr>
        <w:tc>
          <w:tcPr>
            <w:tcW w:w="4380" w:type="dxa"/>
            <w:vAlign w:val="bottom"/>
            <w:gridSpan w:val="3"/>
          </w:tcPr>
          <w:p>
            <w:pPr>
              <w:jc w:val="center"/>
              <w:ind w:right="1560"/>
              <w:spacing w:after="0"/>
              <w:rPr>
                <w:sz w:val="20"/>
                <w:szCs w:val="20"/>
                <w:color w:val="auto"/>
              </w:rPr>
            </w:pPr>
            <w:r>
              <w:rPr>
                <w:rFonts w:ascii="Times New Roman" w:cs="Times New Roman" w:eastAsia="Times New Roman" w:hAnsi="Times New Roman"/>
                <w:sz w:val="15"/>
                <w:szCs w:val="15"/>
                <w:b w:val="1"/>
                <w:bCs w:val="1"/>
                <w:color w:val="auto"/>
                <w:w w:val="99"/>
              </w:rPr>
              <w:t>Common Stock, $0.001 Par Value per Share</w:t>
            </w:r>
          </w:p>
        </w:tc>
        <w:tc>
          <w:tcPr>
            <w:tcW w:w="1980" w:type="dxa"/>
            <w:vAlign w:val="bottom"/>
            <w:gridSpan w:val="2"/>
          </w:tcPr>
          <w:p>
            <w:pPr>
              <w:jc w:val="center"/>
              <w:ind w:right="780"/>
              <w:spacing w:after="0"/>
              <w:rPr>
                <w:sz w:val="20"/>
                <w:szCs w:val="20"/>
                <w:color w:val="auto"/>
              </w:rPr>
            </w:pPr>
            <w:r>
              <w:rPr>
                <w:rFonts w:ascii="Times New Roman" w:cs="Times New Roman" w:eastAsia="Times New Roman" w:hAnsi="Times New Roman"/>
                <w:sz w:val="15"/>
                <w:szCs w:val="15"/>
                <w:b w:val="1"/>
                <w:bCs w:val="1"/>
                <w:color w:val="auto"/>
                <w:w w:val="99"/>
              </w:rPr>
              <w:t>CVGW</w:t>
            </w:r>
          </w:p>
        </w:tc>
        <w:tc>
          <w:tcPr>
            <w:tcW w:w="2680" w:type="dxa"/>
            <w:vAlign w:val="bottom"/>
            <w:gridSpan w:val="3"/>
          </w:tcPr>
          <w:p>
            <w:pPr>
              <w:jc w:val="center"/>
              <w:ind w:left="705"/>
              <w:spacing w:after="0"/>
              <w:rPr>
                <w:sz w:val="20"/>
                <w:szCs w:val="20"/>
                <w:color w:val="auto"/>
              </w:rPr>
            </w:pPr>
            <w:r>
              <w:rPr>
                <w:rFonts w:ascii="Times New Roman" w:cs="Times New Roman" w:eastAsia="Times New Roman" w:hAnsi="Times New Roman"/>
                <w:sz w:val="15"/>
                <w:szCs w:val="15"/>
                <w:b w:val="1"/>
                <w:bCs w:val="1"/>
                <w:color w:val="auto"/>
              </w:rPr>
              <w:t>Nasdaq Global Select Market</w:t>
            </w:r>
          </w:p>
        </w:tc>
      </w:tr>
    </w:tbl>
    <w:p>
      <w:pPr>
        <w:spacing w:after="0" w:line="76"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9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0" w:lineRule="exact"/>
        <w:rPr>
          <w:sz w:val="24"/>
          <w:szCs w:val="24"/>
          <w:color w:val="auto"/>
        </w:rPr>
      </w:pPr>
    </w:p>
    <w:p>
      <w:pPr>
        <w:ind w:left="240"/>
        <w:spacing w:after="0" w:line="150" w:lineRule="exact"/>
        <w:tabs>
          <w:tab w:leader="none" w:pos="6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0" w:lineRule="exact"/>
        <w:rPr>
          <w:sz w:val="24"/>
          <w:szCs w:val="24"/>
          <w:color w:val="auto"/>
        </w:rPr>
      </w:pPr>
    </w:p>
    <w:p>
      <w:pPr>
        <w:ind w:left="240"/>
        <w:spacing w:after="0" w:line="150" w:lineRule="exact"/>
        <w:tabs>
          <w:tab w:leader="none" w:pos="68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80" w:lineRule="exact"/>
        <w:rPr>
          <w:sz w:val="24"/>
          <w:szCs w:val="24"/>
          <w:color w:val="auto"/>
        </w:rPr>
      </w:pPr>
    </w:p>
    <w:p>
      <w:pPr>
        <w:ind w:right="14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12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6" w:lineRule="exact"/>
        <w:rPr>
          <w:sz w:val="24"/>
          <w:szCs w:val="24"/>
          <w:color w:val="auto"/>
        </w:rPr>
      </w:pPr>
    </w:p>
    <w:p>
      <w:pPr>
        <w:ind w:right="160" w:firstLine="241"/>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1660" w:type="dxa"/>
        <w:tblCellMar>
          <w:top w:w="0" w:type="dxa"/>
          <w:left w:w="0" w:type="dxa"/>
          <w:bottom w:w="0" w:type="dxa"/>
          <w:right w:w="0" w:type="dxa"/>
        </w:tblCellMar>
      </w:tblPr>
      <w:tr>
        <w:trPr>
          <w:trHeight w:val="164"/>
        </w:trPr>
        <w:tc>
          <w:tcPr>
            <w:tcW w:w="3320" w:type="dxa"/>
            <w:vAlign w:val="bottom"/>
            <w:vMerge w:val="restart"/>
          </w:tcPr>
          <w:p>
            <w:pPr>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tc>
        <w:tc>
          <w:tcPr>
            <w:tcW w:w="3600" w:type="dxa"/>
            <w:vAlign w:val="bottom"/>
          </w:tcPr>
          <w:p>
            <w:pPr>
              <w:jc w:val="right"/>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3"/>
        </w:trPr>
        <w:tc>
          <w:tcPr>
            <w:tcW w:w="3320" w:type="dxa"/>
            <w:vAlign w:val="bottom"/>
            <w:vMerge w:val="continue"/>
          </w:tcPr>
          <w:p>
            <w:pPr>
              <w:spacing w:after="0"/>
              <w:rPr>
                <w:sz w:val="14"/>
                <w:szCs w:val="14"/>
                <w:color w:val="auto"/>
              </w:rPr>
            </w:pPr>
          </w:p>
        </w:tc>
        <w:tc>
          <w:tcPr>
            <w:tcW w:w="3600" w:type="dxa"/>
            <w:vAlign w:val="bottom"/>
          </w:tcPr>
          <w:p>
            <w:pPr>
              <w:jc w:val="right"/>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24"/>
        </w:trPr>
        <w:tc>
          <w:tcPr>
            <w:tcW w:w="332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tc>
        <w:tc>
          <w:tcPr>
            <w:tcW w:w="3600" w:type="dxa"/>
            <w:vAlign w:val="bottom"/>
          </w:tcPr>
          <w:p>
            <w:pPr>
              <w:jc w:val="right"/>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right="10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6" w:lineRule="exact"/>
        <w:rPr>
          <w:sz w:val="24"/>
          <w:szCs w:val="24"/>
          <w:color w:val="auto"/>
        </w:rPr>
      </w:pPr>
    </w:p>
    <w:p>
      <w:pPr>
        <w:ind w:right="4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6" w:lineRule="exact"/>
        <w:rPr>
          <w:sz w:val="24"/>
          <w:szCs w:val="24"/>
          <w:color w:val="auto"/>
        </w:rPr>
      </w:pPr>
    </w:p>
    <w:p>
      <w:pPr>
        <w:ind w:right="10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46" w:lineRule="exact"/>
        <w:rPr>
          <w:sz w:val="24"/>
          <w:szCs w:val="24"/>
          <w:color w:val="auto"/>
        </w:rPr>
      </w:pPr>
    </w:p>
    <w:p>
      <w:pPr>
        <w:ind w:right="360" w:firstLine="241"/>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28" w:lineRule="exact"/>
        <w:rPr>
          <w:sz w:val="24"/>
          <w:szCs w:val="24"/>
          <w:color w:val="auto"/>
        </w:rPr>
      </w:pPr>
    </w:p>
    <w:p>
      <w:pPr>
        <w:ind w:left="24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0" w:lineRule="exact"/>
        <w:rPr>
          <w:sz w:val="24"/>
          <w:szCs w:val="24"/>
          <w:color w:val="auto"/>
        </w:rPr>
      </w:pPr>
    </w:p>
    <w:p>
      <w:pPr>
        <w:ind w:firstLine="241"/>
        <w:spacing w:after="0" w:line="235" w:lineRule="auto"/>
        <w:rPr>
          <w:sz w:val="20"/>
          <w:szCs w:val="20"/>
          <w:color w:val="auto"/>
        </w:rPr>
      </w:pPr>
      <w:r>
        <w:rPr>
          <w:rFonts w:ascii="Times New Roman" w:cs="Times New Roman" w:eastAsia="Times New Roman" w:hAnsi="Times New Roman"/>
          <w:sz w:val="13"/>
          <w:szCs w:val="13"/>
          <w:color w:val="auto"/>
        </w:rPr>
        <w:t>Based on the closing price as reported on The Nasdaq Global Select Market, the aggregate market value of the registrant's common stock held by non-affiliates on April 30, 2024 (the last business day of the registrant's most recently completed second fiscal quarter) was approximately $0.5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December 31, 2024 was 17,837,351.</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4" w:lineRule="exact"/>
        <w:rPr>
          <w:sz w:val="24"/>
          <w:szCs w:val="24"/>
          <w:color w:val="auto"/>
        </w:rPr>
      </w:pPr>
    </w:p>
    <w:p>
      <w:pPr>
        <w:ind w:right="180" w:firstLine="241"/>
        <w:spacing w:after="0" w:line="259" w:lineRule="auto"/>
        <w:rPr>
          <w:sz w:val="20"/>
          <w:szCs w:val="20"/>
          <w:color w:val="auto"/>
        </w:rPr>
      </w:pPr>
      <w:r>
        <w:rPr>
          <w:rFonts w:ascii="Times New Roman" w:cs="Times New Roman" w:eastAsia="Times New Roman" w:hAnsi="Times New Roman"/>
          <w:sz w:val="13"/>
          <w:szCs w:val="13"/>
          <w:color w:val="auto"/>
        </w:rPr>
        <w:t>Portions of the registrant's Proxy Statement for the 2025 Annual Meeting of Shareholders, which we intend to hold in late April, are incorporated by reference into Part III of this Form 10-K. The definitive Proxy Statement will be filed within 120 days after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429260</wp:posOffset>
            </wp:positionV>
            <wp:extent cx="650494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04940" cy="15875"/>
                    </a:xfrm>
                    <a:prstGeom prst="rect">
                      <a:avLst/>
                    </a:prstGeom>
                    <a:noFill/>
                  </pic:spPr>
                </pic:pic>
              </a:graphicData>
            </a:graphic>
          </wp:anchor>
        </w:drawing>
      </w:r>
    </w:p>
    <w:p>
      <w:pPr>
        <w:sectPr>
          <w:pgSz w:w="11900" w:h="16838" w:orient="portrait"/>
          <w:cols w:equalWidth="0" w:num="1">
            <w:col w:w="10240"/>
          </w:cols>
          <w:pgMar w:left="820" w:top="332" w:right="8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STATEMENT</w:t>
      </w:r>
    </w:p>
    <w:p>
      <w:pPr>
        <w:spacing w:after="0" w:line="197" w:lineRule="exact"/>
        <w:rPr>
          <w:sz w:val="20"/>
          <w:szCs w:val="20"/>
          <w:color w:val="auto"/>
        </w:rPr>
      </w:pPr>
    </w:p>
    <w:p>
      <w:pPr>
        <w:ind w:left="40" w:right="59" w:firstLine="241"/>
        <w:spacing w:after="0" w:line="264" w:lineRule="auto"/>
        <w:rPr>
          <w:sz w:val="20"/>
          <w:szCs w:val="20"/>
          <w:color w:val="auto"/>
        </w:rPr>
      </w:pPr>
      <w:r>
        <w:rPr>
          <w:rFonts w:ascii="Times New Roman" w:cs="Times New Roman" w:eastAsia="Times New Roman" w:hAnsi="Times New Roman"/>
          <w:sz w:val="16"/>
          <w:szCs w:val="16"/>
          <w:color w:val="auto"/>
        </w:rPr>
        <w:t>This Annual Report on Form 10-K, including “Management’s Discussion and Analysis of Financial Condition and Results of Operations” in Item 7, contains statements relating to future events and results of Calavo Growers, Inc. and its consolidated subsidiaries (collectively, “Calavo”, “the Company”, “we”, us or “our”),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and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172"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w:t>
      </w:r>
    </w:p>
    <w:p>
      <w:pPr>
        <w:spacing w:after="0" w:line="159" w:lineRule="exact"/>
        <w:rPr>
          <w:sz w:val="20"/>
          <w:szCs w:val="20"/>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management team to work together successfully;</w:t>
      </w:r>
    </w:p>
    <w:p>
      <w:pPr>
        <w:spacing w:after="0" w:line="21"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weather on market conditions;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of our business;</w:t>
      </w:r>
    </w:p>
    <w:p>
      <w:pPr>
        <w:spacing w:after="0" w:line="5" w:lineRule="exact"/>
        <w:rPr>
          <w:rFonts w:ascii="Times New Roman" w:cs="Times New Roman" w:eastAsia="Times New Roman" w:hAnsi="Times New Roman"/>
          <w:sz w:val="17"/>
          <w:szCs w:val="17"/>
          <w:color w:val="auto"/>
        </w:rPr>
      </w:pPr>
    </w:p>
    <w:p>
      <w:pPr>
        <w:ind w:left="900" w:right="599" w:hanging="298"/>
        <w:spacing w:after="0" w:line="24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sensitivity of our business to changes in market prices of avocados and other agricultural products and other raw materials including fuel, packaging and paper;</w:t>
      </w:r>
    </w:p>
    <w:p>
      <w:pPr>
        <w:ind w:left="900" w:right="159" w:hanging="298"/>
        <w:spacing w:after="0" w:line="24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or actions associated with USDA-APHIS and the Mexican Secretary of Agriculture, Secretariat of Agriculture and Rural Development (SADER) phytosanitary regulations (certification regulation for the importation of Hass avocados to the United States);</w:t>
      </w: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to our supply chain;</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future acquisitions, including integration;</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exposure to data breaches and other cyber-attacks on our systems or those of our suppliers or customers;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large customers;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personnel, and access to labor necessary for us to render services;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susceptibility to wage inflation;</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for labor disputes;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co-packers for a portion of our production needs;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pressures, including from foreign growers;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recalls and food-related injuries to our customers;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consumer preferences;</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environmental regulations, including those related to climate change;</w:t>
      </w:r>
    </w:p>
    <w:p>
      <w:pPr>
        <w:spacing w:after="0" w:line="5"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environment and climate change, especially as they may affect our sources of supply;</w:t>
      </w:r>
    </w:p>
    <w:p>
      <w:pPr>
        <w:spacing w:after="0" w:line="5" w:lineRule="exact"/>
        <w:rPr>
          <w:rFonts w:ascii="Times New Roman" w:cs="Times New Roman" w:eastAsia="Times New Roman" w:hAnsi="Times New Roman"/>
          <w:sz w:val="17"/>
          <w:szCs w:val="17"/>
          <w:color w:val="auto"/>
        </w:rPr>
      </w:pPr>
    </w:p>
    <w:p>
      <w:pPr>
        <w:ind w:left="900" w:right="459" w:hanging="298"/>
        <w:spacing w:after="0" w:line="246"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and transition new products and services and enhance existing products and services to meet customer needs;</w:t>
      </w:r>
    </w:p>
    <w:p>
      <w:pPr>
        <w:jc w:val="both"/>
        <w:ind w:left="900" w:right="419" w:hanging="298"/>
        <w:spacing w:after="0" w:line="248"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doing business internationally (including possible non-compliance with U.S. and foreign laws appliable to international trade and dealings and possible restrictive U.S. and foreign governmental actions, such as restrictions on transfers of funds and trade protection measures such as import/export/customs duties, tariffs and/or quotas and currency fluctuations);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2" w:name="page3"/>
    <w:bookmarkEnd w:id="2"/>
    <w:p>
      <w:pPr>
        <w:ind w:left="900" w:hanging="298"/>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receivables from, loans to and/or equity investments in unconsolidated entities;</w:t>
      </w:r>
    </w:p>
    <w:p>
      <w:pPr>
        <w:spacing w:after="0" w:line="21" w:lineRule="exact"/>
        <w:rPr>
          <w:rFonts w:ascii="Times New Roman" w:cs="Times New Roman" w:eastAsia="Times New Roman" w:hAnsi="Times New Roman"/>
          <w:sz w:val="17"/>
          <w:szCs w:val="17"/>
          <w:color w:val="auto"/>
        </w:rPr>
      </w:pPr>
    </w:p>
    <w:p>
      <w:pPr>
        <w:ind w:left="900" w:hanging="298"/>
        <w:spacing w:after="0"/>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value of our common stock;</w:t>
      </w:r>
    </w:p>
    <w:p>
      <w:pPr>
        <w:spacing w:after="0" w:line="5" w:lineRule="exact"/>
        <w:rPr>
          <w:rFonts w:ascii="Times New Roman" w:cs="Times New Roman" w:eastAsia="Times New Roman" w:hAnsi="Times New Roman"/>
          <w:sz w:val="17"/>
          <w:szCs w:val="17"/>
          <w:color w:val="auto"/>
        </w:rPr>
      </w:pPr>
    </w:p>
    <w:p>
      <w:pPr>
        <w:ind w:left="900" w:right="419" w:hanging="298"/>
        <w:spacing w:after="0" w:line="246"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macroeconomic trends and events; the effects of increased interest rates on our cost of borrowing and consumer purchasing behavior; and</w:t>
      </w:r>
    </w:p>
    <w:p>
      <w:pPr>
        <w:ind w:left="900" w:right="359" w:hanging="298"/>
        <w:spacing w:after="0" w:line="24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resolution of pending internal and external investigations, legal claims and tax disputes, including an assessment imposed by the Mexican Tax Administrative Service (the “SAT”) and our defenses against collection activities commenced by the SAT.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development of the business</w:t>
      </w:r>
    </w:p>
    <w:p>
      <w:pPr>
        <w:spacing w:after="0" w:line="210" w:lineRule="exact"/>
        <w:rPr>
          <w:sz w:val="20"/>
          <w:szCs w:val="20"/>
          <w:color w:val="auto"/>
        </w:rPr>
      </w:pPr>
    </w:p>
    <w:p>
      <w:pPr>
        <w:ind w:left="40" w:right="119" w:firstLine="241"/>
        <w:spacing w:after="0" w:line="250" w:lineRule="auto"/>
        <w:rPr>
          <w:sz w:val="20"/>
          <w:szCs w:val="20"/>
          <w:color w:val="auto"/>
        </w:rPr>
      </w:pPr>
      <w:r>
        <w:rPr>
          <w:rFonts w:ascii="Times New Roman" w:cs="Times New Roman" w:eastAsia="Times New Roman" w:hAnsi="Times New Roman"/>
          <w:sz w:val="17"/>
          <w:szCs w:val="17"/>
          <w:color w:val="auto"/>
        </w:rPr>
        <w:t>Calavo Growers, Inc. (referred to in this report as “Calavo”, the “Company”, “we’, “us” or “our”), is a global leader in the avocado industry and a provider of value-added fresh food. Our expertise in marketing and distributing avocados, prepared avocado products, and other perishable foods allows us to deliver a wide array of fresh and prepared food products to retail grocery, foodservice, club stores, mass merchandisers, food distributors and wholesalers worldwide. We procure avocados from California, Mexico and other growing regions around the world. Through our various operating facilities, we (i) sort, pack, and/or ripen avocados, tomatoes and/or Hawaiian grown papayas, and (ii) process and package guacamole. We distribute our products both domestically and internationally.</w:t>
      </w:r>
    </w:p>
    <w:p>
      <w:pPr>
        <w:spacing w:after="0" w:line="180"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We report our operations in two different business segments: Grown and Prepared. The Grown segment consists of fresh avocados, tomatoes and papayas. The Prepared segment consists of guacamole sold at retail and foodservice as well as avocado pulp sold to foodservice. See Note 10 in our consolidated financial statements included elsewhere in this Annual Report on Form 10-K for further information about our business segments. Our principal executive offices are located at 1141-A Cummings Road, Santa Paula, California 93060; and our telephone number is (805) 525-1245.</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Discontinued Operations</w:t>
      </w:r>
    </w:p>
    <w:p>
      <w:pPr>
        <w:spacing w:after="0" w:line="235" w:lineRule="exact"/>
        <w:rPr>
          <w:sz w:val="20"/>
          <w:szCs w:val="20"/>
          <w:color w:val="auto"/>
        </w:rPr>
      </w:pPr>
    </w:p>
    <w:p>
      <w:pPr>
        <w:jc w:val="both"/>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We completed the sale of our Fresh Cut business (formerly “RFG”) and related real estate on August 15, 2024 for $83.0 million. Proceeds from the sale totaled $81.1 million, net of $1.9 million of transaction costs. The Fresh Cut business represents substantially all of the business of the Prepared segment other than the guacamole business, which was retained.</w:t>
      </w:r>
    </w:p>
    <w:p>
      <w:pPr>
        <w:spacing w:after="0" w:line="170" w:lineRule="exact"/>
        <w:rPr>
          <w:sz w:val="20"/>
          <w:szCs w:val="20"/>
          <w:color w:val="auto"/>
        </w:rPr>
      </w:pPr>
    </w:p>
    <w:p>
      <w:pPr>
        <w:ind w:left="40" w:right="79" w:firstLine="241"/>
        <w:spacing w:after="0" w:line="283" w:lineRule="auto"/>
        <w:rPr>
          <w:sz w:val="20"/>
          <w:szCs w:val="20"/>
          <w:color w:val="auto"/>
        </w:rPr>
      </w:pPr>
      <w:r>
        <w:rPr>
          <w:rFonts w:ascii="Times New Roman" w:cs="Times New Roman" w:eastAsia="Times New Roman" w:hAnsi="Times New Roman"/>
          <w:sz w:val="16"/>
          <w:szCs w:val="16"/>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52"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Prior to the decision to divest our Fresh Cut business, our Prepared reporting segment included the Fresh Cut business unit and our guacamole business. As a result of the divestiture, the Fresh Cut business unit is no longer included in our Prepared business segment. All segment information included herein reflect these changes. See Note 16 of the consolidated financial statements for further information.</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Grown</w:t>
      </w:r>
    </w:p>
    <w:p>
      <w:pPr>
        <w:spacing w:after="0" w:line="210" w:lineRule="exact"/>
        <w:rPr>
          <w:sz w:val="20"/>
          <w:szCs w:val="20"/>
          <w:color w:val="auto"/>
        </w:rPr>
      </w:pPr>
    </w:p>
    <w:p>
      <w:pPr>
        <w:ind w:left="40" w:right="239" w:firstLine="241"/>
        <w:spacing w:after="0" w:line="250" w:lineRule="auto"/>
        <w:rPr>
          <w:sz w:val="20"/>
          <w:szCs w:val="20"/>
          <w:color w:val="auto"/>
        </w:rPr>
      </w:pPr>
      <w:r>
        <w:rPr>
          <w:rFonts w:ascii="Times New Roman" w:cs="Times New Roman" w:eastAsia="Times New Roman" w:hAnsi="Times New Roman"/>
          <w:sz w:val="17"/>
          <w:szCs w:val="17"/>
          <w:color w:val="auto"/>
        </w:rPr>
        <w:t>Founded in 1924 to market California avocados, Calavo now sources avocados from various locations—including California, Mexico, Peru, and Colombia—and distributes them to a diverse group of retail grocers, foodservice operators, club stores, mass merchandisers, food distributors, and wholesalers. Products are sold under the Calavo family of brand labels, as well as private labels. Many of our customers seek a consistent, year-round supply from multiple sourcing locations, along with just-in-time deliveries tailored to their desired ripeness and a variety of packaging and display options. We believe these needs favor large handlers like us, who can leverage diverse sourcing relationships, value-added packaging and bagging capabilities, ripening assets, and a robust distribution infrastructure to serve large, nationwide accounts. Over time, we have built strong, long-term customer relationships that form a solid foundation for our business.</w:t>
      </w:r>
    </w:p>
    <w:p>
      <w:pPr>
        <w:spacing w:after="0" w:line="177" w:lineRule="exact"/>
        <w:rPr>
          <w:sz w:val="20"/>
          <w:szCs w:val="20"/>
          <w:color w:val="auto"/>
        </w:rPr>
      </w:pPr>
    </w:p>
    <w:p>
      <w:pPr>
        <w:jc w:val="both"/>
        <w:ind w:left="40" w:right="119" w:firstLine="241"/>
        <w:spacing w:after="0" w:line="283" w:lineRule="auto"/>
        <w:rPr>
          <w:sz w:val="20"/>
          <w:szCs w:val="20"/>
          <w:color w:val="auto"/>
        </w:rPr>
      </w:pPr>
      <w:r>
        <w:rPr>
          <w:rFonts w:ascii="Times New Roman" w:cs="Times New Roman" w:eastAsia="Times New Roman" w:hAnsi="Times New Roman"/>
          <w:sz w:val="16"/>
          <w:szCs w:val="16"/>
          <w:color w:val="auto"/>
        </w:rPr>
        <w:t>The Hass avocado is the predominant variety marketed globally. In California, growing regions extend from San Diego County to Monterey County, with most production concentrated within 100 miles north and south of Los Angeles County. California-grown Hass avocados are generally available from April through September, with peak production occurring from May through August.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4" w:name="page5"/>
    <w:bookmarkEnd w:id="4"/>
    <w:p>
      <w:pPr>
        <w:ind w:left="40" w:right="219" w:firstLine="241"/>
        <w:spacing w:after="0" w:line="255" w:lineRule="auto"/>
        <w:rPr>
          <w:sz w:val="20"/>
          <w:szCs w:val="20"/>
          <w:color w:val="auto"/>
        </w:rPr>
      </w:pPr>
      <w:r>
        <w:rPr>
          <w:rFonts w:ascii="Times New Roman" w:cs="Times New Roman" w:eastAsia="Times New Roman" w:hAnsi="Times New Roman"/>
          <w:sz w:val="17"/>
          <w:szCs w:val="17"/>
          <w:color w:val="auto"/>
        </w:rPr>
        <w:t>In fiscal 2022, the United States Department of Agriculture (USDA) approved the export of Jalisco avocados to the United States. As such, we source fruit from both the Michoacán and Jalisco regions in Mexico. Mexico’s avocado harvest tends to be year-round, with Michoacán’s peak season running from September to June, while Jalisco’s peak season runs from June to January. We also source avocados from other key growing regions, including Peru and Colombia.</w:t>
      </w:r>
    </w:p>
    <w:p>
      <w:pPr>
        <w:spacing w:after="0" w:line="172" w:lineRule="exact"/>
        <w:rPr>
          <w:sz w:val="20"/>
          <w:szCs w:val="20"/>
          <w:color w:val="auto"/>
        </w:rPr>
      </w:pPr>
    </w:p>
    <w:p>
      <w:pPr>
        <w:jc w:val="both"/>
        <w:ind w:left="40" w:right="299" w:firstLine="241"/>
        <w:spacing w:after="0" w:line="259" w:lineRule="auto"/>
        <w:rPr>
          <w:sz w:val="20"/>
          <w:szCs w:val="20"/>
          <w:color w:val="auto"/>
        </w:rPr>
      </w:pPr>
      <w:r>
        <w:rPr>
          <w:rFonts w:ascii="Times New Roman" w:cs="Times New Roman" w:eastAsia="Times New Roman" w:hAnsi="Times New Roman"/>
          <w:sz w:val="17"/>
          <w:szCs w:val="17"/>
          <w:color w:val="auto"/>
        </w:rPr>
        <w:t>Fresh avocados have a limited storage life once picked from the tree, typically three to six weeks depending on factors such as fruit maturity, cultivation methods, and handling conditions throughout the distribution chain. This includes the use of controlled-atmosphere technologies during transport to preserve quality.</w:t>
      </w:r>
    </w:p>
    <w:p>
      <w:pPr>
        <w:spacing w:after="0" w:line="170"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Avocados delivered to our packinghouses are graded, sized, packed, and cooled. The size and timing of the annual avocado crop significantly impact both our costs and the prices we receive for the fruit. To help manage this, our field personnel work closely with growers and farm managers to coordinate harvest plans. Feedback from our field managers is shared with our sales department to help develop sales strategies for our direct sales force. Industry associations in Mexico employ crop estimators to provide an annual crop estimate. No less than three updates are executed throughout the crop year.</w:t>
      </w:r>
    </w:p>
    <w:p>
      <w:pPr>
        <w:spacing w:after="0" w:line="177" w:lineRule="exact"/>
        <w:rPr>
          <w:sz w:val="20"/>
          <w:szCs w:val="20"/>
          <w:color w:val="auto"/>
        </w:rPr>
      </w:pPr>
    </w:p>
    <w:p>
      <w:pPr>
        <w:jc w:val="both"/>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The process for purchasing avocados varies across sourcing regions. In California, growers receive daily field quotes, priced per pound, based on variety, size, and grade. These quotes are calculated by estimating expected sales prices, less anticipated costs and desired margins. Payments to California growers are settled monthly.</w:t>
      </w:r>
    </w:p>
    <w:p>
      <w:pPr>
        <w:spacing w:after="0" w:line="170" w:lineRule="exact"/>
        <w:rPr>
          <w:sz w:val="20"/>
          <w:szCs w:val="20"/>
          <w:color w:val="auto"/>
        </w:rPr>
      </w:pPr>
    </w:p>
    <w:p>
      <w:pPr>
        <w:ind w:left="40" w:right="299" w:firstLine="241"/>
        <w:spacing w:after="0" w:line="251" w:lineRule="auto"/>
        <w:rPr>
          <w:sz w:val="20"/>
          <w:szCs w:val="20"/>
          <w:color w:val="auto"/>
        </w:rPr>
      </w:pPr>
      <w:r>
        <w:rPr>
          <w:rFonts w:ascii="Times New Roman" w:cs="Times New Roman" w:eastAsia="Times New Roman" w:hAnsi="Times New Roman"/>
          <w:sz w:val="17"/>
          <w:szCs w:val="17"/>
          <w:color w:val="auto"/>
        </w:rPr>
        <w:t>In Mexico, the crop typically produces three to four blooms per year. Prices are typically negotiated daily for most fruit harvested that day. Once a daily price is agreed upon, the fruit is harvested and delivered to one of our Mexican packinghouses. Final settlements, based on fruit size and quality, are completed approximately 14 to 21 days after harvest. We also source fruit directly from third-party Mexican packers (copackers) to balance inventory or fulfill priority sizes and grades. While this fruit usually is packed in Calavo branded cartons, all the fruit we source from third parties is packed at certified packinghouses to meet Calavo quality and food safety standards before being shipped to our facilities and customers.</w:t>
      </w:r>
    </w:p>
    <w:p>
      <w:pPr>
        <w:spacing w:after="0" w:line="178"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Avocados sourced from Peru are primarily handled on a consignment basis. Payments are generally calculated as a percentage of the net selling price, less charges for distribution and value-added service or alternatively at a flat, per carton rate. Avocados from Colombia are primarily handled on an FOB Colombia basis, with price guidelines, strict quality specification and inspections upon arrival to the United States.</w:t>
      </w:r>
    </w:p>
    <w:p>
      <w:pPr>
        <w:spacing w:after="0" w:line="172" w:lineRule="exact"/>
        <w:rPr>
          <w:sz w:val="20"/>
          <w:szCs w:val="20"/>
          <w:color w:val="auto"/>
        </w:rPr>
      </w:pPr>
    </w:p>
    <w:p>
      <w:pPr>
        <w:jc w:val="both"/>
        <w:ind w:left="40" w:right="139" w:firstLine="241"/>
        <w:spacing w:after="0" w:line="259" w:lineRule="auto"/>
        <w:rPr>
          <w:sz w:val="20"/>
          <w:szCs w:val="20"/>
          <w:color w:val="auto"/>
        </w:rPr>
      </w:pPr>
      <w:r>
        <w:rPr>
          <w:rFonts w:ascii="Times New Roman" w:cs="Times New Roman" w:eastAsia="Times New Roman" w:hAnsi="Times New Roman"/>
          <w:sz w:val="17"/>
          <w:szCs w:val="17"/>
          <w:color w:val="auto"/>
        </w:rPr>
        <w:t>Aside from fruit costs, packing materials, and freight costs, which are generally passed on to our customers, a significant portion of our avocado handling costs are fixed. Consequently, fluctuations in delivery volumes can have a notable impact on our per-pound packing costs. Typically, larger crop volumes result in lower per-pound handling costs.</w:t>
      </w:r>
    </w:p>
    <w:p>
      <w:pPr>
        <w:spacing w:after="0" w:line="170"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We believe our investments in packing house equipment, distribution centers with value-added ripening and packing capabilities, and skilled personnel position us to efficiently manage larger avocado crops. Our ongoing success in marketing avocados depends largely on maintaining a reliable, high-quality supply at reasonable prices while keeping handling costs low as fruit moves through our facilities and to our customers.</w:t>
      </w:r>
    </w:p>
    <w:p>
      <w:pPr>
        <w:spacing w:after="0" w:line="172" w:lineRule="exact"/>
        <w:rPr>
          <w:sz w:val="20"/>
          <w:szCs w:val="20"/>
          <w:color w:val="auto"/>
        </w:rPr>
      </w:pPr>
    </w:p>
    <w:p>
      <w:pPr>
        <w:ind w:left="40" w:right="459" w:firstLine="241"/>
        <w:spacing w:after="0" w:line="272" w:lineRule="auto"/>
        <w:rPr>
          <w:sz w:val="20"/>
          <w:szCs w:val="20"/>
          <w:color w:val="auto"/>
        </w:rPr>
      </w:pPr>
      <w:r>
        <w:rPr>
          <w:rFonts w:ascii="Times New Roman" w:cs="Times New Roman" w:eastAsia="Times New Roman" w:hAnsi="Times New Roman"/>
          <w:sz w:val="17"/>
          <w:szCs w:val="17"/>
          <w:color w:val="auto"/>
        </w:rPr>
        <w:t>To help ensure the safety and quality of our avocados, we are subject to inspections by the USDA, the Mexican Secretary of Agriculture, Secretariat of Agriculture and Rural Development (SADER), and other regulatory authorities.</w:t>
      </w:r>
    </w:p>
    <w:p>
      <w:pPr>
        <w:spacing w:after="0" w:line="159" w:lineRule="exact"/>
        <w:rPr>
          <w:sz w:val="20"/>
          <w:szCs w:val="20"/>
          <w:color w:val="auto"/>
        </w:rPr>
      </w:pPr>
    </w:p>
    <w:p>
      <w:pPr>
        <w:ind w:left="40" w:right="499" w:firstLine="241"/>
        <w:spacing w:after="0" w:line="272" w:lineRule="auto"/>
        <w:rPr>
          <w:sz w:val="20"/>
          <w:szCs w:val="20"/>
          <w:color w:val="auto"/>
        </w:rPr>
      </w:pPr>
      <w:r>
        <w:rPr>
          <w:rFonts w:ascii="Times New Roman" w:cs="Times New Roman" w:eastAsia="Times New Roman" w:hAnsi="Times New Roman"/>
          <w:sz w:val="17"/>
          <w:szCs w:val="17"/>
          <w:color w:val="auto"/>
        </w:rPr>
        <w:t>We have developed a range of value-added programs designed to provide products and services that address our customers' diverse needs. Key programs include:</w:t>
      </w:r>
    </w:p>
    <w:p>
      <w:pPr>
        <w:spacing w:after="0" w:line="159" w:lineRule="exact"/>
        <w:rPr>
          <w:sz w:val="20"/>
          <w:szCs w:val="20"/>
          <w:color w:val="auto"/>
        </w:rPr>
      </w:pPr>
    </w:p>
    <w:p>
      <w:pPr>
        <w:ind w:left="660" w:right="99" w:hanging="296"/>
        <w:spacing w:after="0" w:line="255"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Value-Added Ripening: Retailers require avocados that meet strict quality and ripeness standards. Our nationwide ripening infrastructure—featuring advanced technology and an experienced handling workforce—positions us to effectively meet those demands. We believe ripened avocados help retailers satisfy consumer preferences and drive faster sales through their stores.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5" w:name="page6"/>
    <w:bookmarkEnd w:id="5"/>
    <w:p>
      <w:pPr>
        <w:ind w:left="660" w:right="139" w:hanging="296"/>
        <w:spacing w:after="0" w:line="276"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Value-Added Packaging: We have introduced innovative packaging and display techniques to attract consumers, especially impulse buyers. These include bagging avocados and strategically displaying them within produce sections. Research shows that consumers typically buy larger quantities when avocados are offered in bags rather than traditional bulk displays. We also believe bagged avocados deliver a strong value proposition, supporting higher sales for grocery stores</w:t>
      </w:r>
    </w:p>
    <w:p>
      <w:pPr>
        <w:spacing w:after="0" w:line="157"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The avocado market is highly competitive, with numerous marketers and importers sourcing avocados from independent, USDA-certified growers in Mexico, Peru, Colombia, Chile, and the Dominican Republic, among others. Based on data from various industry sources, we believe we are consistently among the largest avocado marketers in the United States in terms of both volume and sales.</w:t>
      </w:r>
    </w:p>
    <w:p>
      <w:pPr>
        <w:spacing w:after="0" w:line="172" w:lineRule="exact"/>
        <w:rPr>
          <w:sz w:val="20"/>
          <w:szCs w:val="20"/>
          <w:color w:val="auto"/>
        </w:rPr>
      </w:pPr>
    </w:p>
    <w:p>
      <w:pPr>
        <w:jc w:val="both"/>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We attribute our leadership position to our competitive sourcing strategies and the strong communication and service we maintain with our growers, driven by upper and middle management teams with decades of avocado experience. Additionally, we believe our diversified fresh product offerings, consistent product quality, and value-added programs give us a distinct advantage in serving retail and foodservice customers.</w:t>
      </w:r>
    </w:p>
    <w:p>
      <w:pPr>
        <w:spacing w:after="0" w:line="172" w:lineRule="exact"/>
        <w:rPr>
          <w:sz w:val="20"/>
          <w:szCs w:val="20"/>
          <w:color w:val="auto"/>
        </w:rPr>
      </w:pPr>
    </w:p>
    <w:p>
      <w:pPr>
        <w:ind w:left="40" w:right="299" w:firstLine="241"/>
        <w:spacing w:after="0" w:line="259" w:lineRule="auto"/>
        <w:rPr>
          <w:sz w:val="20"/>
          <w:szCs w:val="20"/>
          <w:color w:val="auto"/>
        </w:rPr>
      </w:pPr>
      <w:r>
        <w:rPr>
          <w:rFonts w:ascii="Times New Roman" w:cs="Times New Roman" w:eastAsia="Times New Roman" w:hAnsi="Times New Roman"/>
          <w:sz w:val="17"/>
          <w:szCs w:val="17"/>
          <w:color w:val="auto"/>
        </w:rPr>
        <w:t>Our Grown business segment also markets and distributes other perishable food products, including tomatoes and papayas (“Other Fresh Products”). Tomatoes are primarily handled on a consignment basis, while papayas are managed through a pooling system, typically at a fixed fee per papaya delivered.</w:t>
      </w:r>
    </w:p>
    <w:p>
      <w:pPr>
        <w:spacing w:after="0" w:line="170" w:lineRule="exact"/>
        <w:rPr>
          <w:sz w:val="20"/>
          <w:szCs w:val="20"/>
          <w:color w:val="auto"/>
        </w:rPr>
      </w:pPr>
    </w:p>
    <w:p>
      <w:pPr>
        <w:ind w:left="40" w:right="259" w:firstLine="241"/>
        <w:spacing w:after="0" w:line="259" w:lineRule="auto"/>
        <w:rPr>
          <w:sz w:val="20"/>
          <w:szCs w:val="20"/>
          <w:color w:val="auto"/>
        </w:rPr>
      </w:pPr>
      <w:r>
        <w:rPr>
          <w:rFonts w:ascii="Times New Roman" w:cs="Times New Roman" w:eastAsia="Times New Roman" w:hAnsi="Times New Roman"/>
          <w:sz w:val="17"/>
          <w:szCs w:val="17"/>
          <w:color w:val="auto"/>
        </w:rPr>
        <w:t>For consignment sales, our gross profit is typically based on a commission agreed upon with each party, usually calculated as a percentage of the total selling price. The gross profit percentage for these sales depends on the volume of fruit handled, average selling prices, and the competitiveness of returns offered to third-party growers and packers.</w:t>
      </w:r>
    </w:p>
    <w:p>
      <w:pPr>
        <w:spacing w:after="0" w:line="170" w:lineRule="exact"/>
        <w:rPr>
          <w:sz w:val="20"/>
          <w:szCs w:val="20"/>
          <w:color w:val="auto"/>
        </w:rPr>
      </w:pPr>
    </w:p>
    <w:p>
      <w:pPr>
        <w:ind w:left="40" w:right="799" w:firstLine="241"/>
        <w:spacing w:after="0" w:line="272" w:lineRule="auto"/>
        <w:rPr>
          <w:sz w:val="20"/>
          <w:szCs w:val="20"/>
          <w:color w:val="auto"/>
        </w:rPr>
      </w:pPr>
      <w:r>
        <w:rPr>
          <w:rFonts w:ascii="Times New Roman" w:cs="Times New Roman" w:eastAsia="Times New Roman" w:hAnsi="Times New Roman"/>
          <w:sz w:val="17"/>
          <w:szCs w:val="17"/>
          <w:color w:val="auto"/>
        </w:rPr>
        <w:t>Sales of our Other Fresh Products are generally subject to seasonal fluctuations. We believe offering a variety of fruits complements our core avocado business and enhances our overall product portfolio.</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Prepared</w:t>
      </w:r>
    </w:p>
    <w:p>
      <w:pPr>
        <w:spacing w:after="0" w:line="210" w:lineRule="exact"/>
        <w:rPr>
          <w:sz w:val="20"/>
          <w:szCs w:val="20"/>
          <w:color w:val="auto"/>
        </w:rPr>
      </w:pPr>
    </w:p>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Our Prepared segment focuses on our prepared avocado products (“guacamole”) division. We use ultra-high-pressure technology, a cold pasteurization process, on all guacamole products to safeguard food without requiring preservatives. This process effectively eliminates bacteria that could cause spoilage, food safety concerns, or oxidation issues, while preserving the product’s taste profile. After processing, our guacamole can be frozen for extended shelf life or shipped fresh to customers in the U.S. and internationally.</w:t>
      </w:r>
    </w:p>
    <w:p>
      <w:pPr>
        <w:spacing w:after="0" w:line="177" w:lineRule="exact"/>
        <w:rPr>
          <w:sz w:val="20"/>
          <w:szCs w:val="20"/>
          <w:color w:val="auto"/>
        </w:rPr>
      </w:pPr>
    </w:p>
    <w:p>
      <w:pPr>
        <w:ind w:left="40" w:right="219" w:firstLine="241"/>
        <w:spacing w:after="0" w:line="272" w:lineRule="auto"/>
        <w:rPr>
          <w:sz w:val="20"/>
          <w:szCs w:val="20"/>
          <w:color w:val="auto"/>
        </w:rPr>
      </w:pPr>
      <w:r>
        <w:rPr>
          <w:rFonts w:ascii="Times New Roman" w:cs="Times New Roman" w:eastAsia="Times New Roman" w:hAnsi="Times New Roman"/>
          <w:sz w:val="17"/>
          <w:szCs w:val="17"/>
          <w:color w:val="auto"/>
        </w:rPr>
        <w:t>While most of our prepared avocado products are produced at our Uruapan, Mexico facility, we occasionally partner with high-quality co-packers—utilizing similar ultra-high-pressure technology—to meet demand for retail and foodservice products.</w:t>
      </w:r>
    </w:p>
    <w:p>
      <w:pPr>
        <w:spacing w:after="0" w:line="159" w:lineRule="exact"/>
        <w:rPr>
          <w:sz w:val="20"/>
          <w:szCs w:val="20"/>
          <w:color w:val="auto"/>
        </w:rPr>
      </w:pPr>
    </w:p>
    <w:p>
      <w:pPr>
        <w:ind w:left="40" w:right="319" w:firstLine="241"/>
        <w:spacing w:after="0" w:line="304" w:lineRule="auto"/>
        <w:rPr>
          <w:sz w:val="20"/>
          <w:szCs w:val="20"/>
          <w:color w:val="auto"/>
        </w:rPr>
      </w:pPr>
      <w:r>
        <w:rPr>
          <w:rFonts w:ascii="Times New Roman" w:cs="Times New Roman" w:eastAsia="Times New Roman" w:hAnsi="Times New Roman"/>
          <w:sz w:val="16"/>
          <w:szCs w:val="16"/>
          <w:color w:val="auto"/>
        </w:rPr>
        <w:t>Our prepared products include guacamole sold through retail and foodservice channels, as well as avocado pulp sold to foodservice customers. These products are marketed under Calavo-owned brands and through store-brand private label programs.</w:t>
      </w:r>
    </w:p>
    <w:p>
      <w:pPr>
        <w:spacing w:after="0" w:line="136" w:lineRule="exact"/>
        <w:rPr>
          <w:sz w:val="20"/>
          <w:szCs w:val="20"/>
          <w:color w:val="auto"/>
        </w:rPr>
      </w:pPr>
    </w:p>
    <w:p>
      <w:pPr>
        <w:ind w:left="40" w:right="659" w:firstLine="241"/>
        <w:spacing w:after="0" w:line="272" w:lineRule="auto"/>
        <w:rPr>
          <w:sz w:val="20"/>
          <w:szCs w:val="20"/>
          <w:color w:val="auto"/>
        </w:rPr>
      </w:pPr>
      <w:r>
        <w:rPr>
          <w:rFonts w:ascii="Times New Roman" w:cs="Times New Roman" w:eastAsia="Times New Roman" w:hAnsi="Times New Roman"/>
          <w:sz w:val="17"/>
          <w:szCs w:val="17"/>
          <w:color w:val="auto"/>
        </w:rPr>
        <w:t>Both our Grown and Prepared segments foster strong customer relationships by delivering high-quality products, driving innovation, offering year-round availability, and maintaining national distribution.</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Sales and Other Financial Information by Business Segment and Product Category</w:t>
      </w:r>
    </w:p>
    <w:p>
      <w:pPr>
        <w:spacing w:after="0" w:line="210" w:lineRule="exact"/>
        <w:rPr>
          <w:sz w:val="20"/>
          <w:szCs w:val="20"/>
          <w:color w:val="auto"/>
        </w:rPr>
      </w:pPr>
    </w:p>
    <w:p>
      <w:pPr>
        <w:ind w:left="40" w:right="239" w:firstLine="241"/>
        <w:spacing w:after="0" w:line="272" w:lineRule="auto"/>
        <w:rPr>
          <w:sz w:val="20"/>
          <w:szCs w:val="20"/>
          <w:color w:val="auto"/>
        </w:rPr>
      </w:pPr>
      <w:r>
        <w:rPr>
          <w:rFonts w:ascii="Times New Roman" w:cs="Times New Roman" w:eastAsia="Times New Roman" w:hAnsi="Times New Roman"/>
          <w:sz w:val="17"/>
          <w:szCs w:val="17"/>
          <w:color w:val="auto"/>
        </w:rPr>
        <w:t>Sales and other financial information by business segment are provided in Note 10 to our consolidated financial statements that are included in this Annual Report.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0" w:lineRule="exact"/>
        <w:rPr>
          <w:sz w:val="20"/>
          <w:szCs w:val="20"/>
          <w:color w:val="auto"/>
        </w:rPr>
      </w:pPr>
    </w:p>
    <w:p>
      <w:pPr>
        <w:ind w:left="40" w:right="179" w:firstLine="241"/>
        <w:spacing w:after="0" w:line="252" w:lineRule="auto"/>
        <w:rPr>
          <w:sz w:val="20"/>
          <w:szCs w:val="20"/>
          <w:color w:val="auto"/>
        </w:rPr>
      </w:pPr>
      <w:r>
        <w:rPr>
          <w:rFonts w:ascii="Times New Roman" w:cs="Times New Roman" w:eastAsia="Times New Roman" w:hAnsi="Times New Roman"/>
          <w:sz w:val="17"/>
          <w:szCs w:val="17"/>
          <w:color w:val="auto"/>
        </w:rPr>
        <w:t>The perishable food industry, including the avocado, tomato, papaya, and prepared foods markets in which we operate, is highly competitive. Competition is intensified by the perishable nature of our products and the need to meet evolving consumer preferences. We compete on several factors, including price, product quality, brand recognition, customer loyalty, consistency, supply reliability, marketing effectiveness, and our ability to provide value-added services such as ripening, packaging, regional distribution and logistics.</w:t>
      </w:r>
    </w:p>
    <w:p>
      <w:pPr>
        <w:spacing w:after="0" w:line="177"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Our avocado business faces competition from both large multinational producers and distributors as well as regional and local growers and importers. Supply fluctuations, driven by seasonality, weather conditions and pests, among other geopolitical factors, can impact pricing and availability, particularly given the year-round demand for avocados. We believe our diverse sourcing regions, including California, Mexico, Peru, and Colombia, as well as our long-standing grower relationships and state-of-the-art ripening and packing facilities, provide a competitive advantage.</w:t>
      </w:r>
    </w:p>
    <w:p>
      <w:pPr>
        <w:spacing w:after="0" w:line="177" w:lineRule="exact"/>
        <w:rPr>
          <w:sz w:val="20"/>
          <w:szCs w:val="20"/>
          <w:color w:val="auto"/>
        </w:rPr>
      </w:pPr>
    </w:p>
    <w:p>
      <w:pPr>
        <w:ind w:left="40" w:right="259" w:firstLine="241"/>
        <w:spacing w:after="0" w:line="252" w:lineRule="auto"/>
        <w:rPr>
          <w:sz w:val="20"/>
          <w:szCs w:val="20"/>
          <w:color w:val="auto"/>
        </w:rPr>
      </w:pPr>
      <w:r>
        <w:rPr>
          <w:rFonts w:ascii="Times New Roman" w:cs="Times New Roman" w:eastAsia="Times New Roman" w:hAnsi="Times New Roman"/>
          <w:sz w:val="17"/>
          <w:szCs w:val="17"/>
          <w:color w:val="auto"/>
        </w:rPr>
        <w:t>In the prepared avocado products segment, we face competition from local and international food processors offering both branded and private-label guacamole and avocado products. Consumer preferences, particularly for natural, preservative-free products, drive differentiation in this market. Our use of ultra-high pressure processing technology to deliver high-quality, preservative-free guacamole with extended shelf life helps position us as a leader in this category. Additionally, our ability to ship fresh or frozen products enhances our flexibility and reach across retail and foodservice markets in the U.S. and abroad.</w:t>
      </w:r>
    </w:p>
    <w:p>
      <w:pPr>
        <w:spacing w:after="0" w:line="177" w:lineRule="exact"/>
        <w:rPr>
          <w:sz w:val="20"/>
          <w:szCs w:val="20"/>
          <w:color w:val="auto"/>
        </w:rPr>
      </w:pPr>
    </w:p>
    <w:p>
      <w:pPr>
        <w:ind w:left="40" w:right="79" w:firstLine="241"/>
        <w:spacing w:after="0" w:line="283" w:lineRule="auto"/>
        <w:rPr>
          <w:sz w:val="20"/>
          <w:szCs w:val="20"/>
          <w:color w:val="auto"/>
        </w:rPr>
      </w:pPr>
      <w:r>
        <w:rPr>
          <w:rFonts w:ascii="Times New Roman" w:cs="Times New Roman" w:eastAsia="Times New Roman" w:hAnsi="Times New Roman"/>
          <w:sz w:val="16"/>
          <w:szCs w:val="16"/>
          <w:color w:val="auto"/>
        </w:rPr>
        <w:t>While barriers to entry in the avocado, tomato, and produce markets are relatively low, we believe our scale, infrastructure, and reputation for quality and service differentiate us from smaller competitors. Our customer-focused approach, combined with our global sourcing capabilities and value-added services, position us to maintain and grow our market share in this competitive industry.</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Patents and Trademarks</w:t>
      </w:r>
    </w:p>
    <w:p>
      <w:pPr>
        <w:spacing w:after="0" w:line="210" w:lineRule="exact"/>
        <w:rPr>
          <w:sz w:val="20"/>
          <w:szCs w:val="20"/>
          <w:color w:val="auto"/>
        </w:rPr>
      </w:pPr>
    </w:p>
    <w:p>
      <w:pPr>
        <w:jc w:val="both"/>
        <w:ind w:left="40" w:right="339" w:firstLine="241"/>
        <w:spacing w:after="0" w:line="259" w:lineRule="auto"/>
        <w:rPr>
          <w:sz w:val="20"/>
          <w:szCs w:val="20"/>
          <w:color w:val="auto"/>
        </w:rPr>
      </w:pPr>
      <w:r>
        <w:rPr>
          <w:rFonts w:ascii="Times New Roman" w:cs="Times New Roman" w:eastAsia="Times New Roman" w:hAnsi="Times New Roman"/>
          <w:sz w:val="17"/>
          <w:szCs w:val="17"/>
          <w:color w:val="auto"/>
        </w:rPr>
        <w:t>Our trademarks include the Calavo brand name and related logos. We also utilize the following trademarks in conducting our business: Avo Fresco, Bueno, Calavo Gold, Celebrate the Taste, El Dorado, Taste of Paradise, The First Name in Avocados, The Family of Fresh, ProRipeVIP™, and RIPE NOW!.</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10"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6"/>
          <w:szCs w:val="16"/>
          <w:color w:val="auto"/>
        </w:rPr>
        <w:t>Our research and development for new and improved products generally originates from customer requests, customer and market research and innovative ideas generated by our own team of experts with food processing and culinary backgrounds. We solicit customer and supplier input, review process and product trends, and conduct sensory and shelf life testing in order to expand the category and drive new sales for our customers. Research and development costs are charged to expense when incurred. Total research and development costs for fiscal years 2024, 2023 and 2022 were approximately $0.1 million, $0.1 million and $0.1 million.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Compliance with Government Regulations</w:t>
      </w:r>
    </w:p>
    <w:p>
      <w:pPr>
        <w:spacing w:after="0" w:line="210" w:lineRule="exact"/>
        <w:rPr>
          <w:sz w:val="20"/>
          <w:szCs w:val="20"/>
          <w:color w:val="auto"/>
        </w:rPr>
      </w:pPr>
    </w:p>
    <w:p>
      <w:pPr>
        <w:ind w:left="40" w:right="139" w:firstLine="241"/>
        <w:spacing w:after="0" w:line="248" w:lineRule="auto"/>
        <w:rPr>
          <w:sz w:val="20"/>
          <w:szCs w:val="20"/>
          <w:color w:val="auto"/>
        </w:rPr>
      </w:pPr>
      <w:r>
        <w:rPr>
          <w:rFonts w:ascii="Times New Roman" w:cs="Times New Roman" w:eastAsia="Times New Roman" w:hAnsi="Times New Roman"/>
          <w:sz w:val="17"/>
          <w:szCs w:val="17"/>
          <w:color w:val="auto"/>
        </w:rPr>
        <w:t>As a purchaser, manufacturer, distributor, marketer, and advertiser of food products, our operations are subject to extensive regulation by various federal government agencies, including the U.S. Food and Drug Administration (the “FDA”), the USDA and the Federal Trade Commission, as well as state and local agencies, with respect to production processes, product attributes, packaging, labeling, storage and distribution. Under various statutes and regulations, these agencies prescribe requirements and establish standards for the distribution, safety, purity and labeling of food products. In addition, our operations are subject to certain employment health and safety regulations, including those issued under the Occupational Safety and Health Act. Our packinghouse facilities and products are subject to periodic inspection by federal, state and local authorities, including the FDA and the California Department of Food and Agriculture, which oversees weights &amp; measures compliance at our California facilities. All of our US facilities are also in compliance with the FDA’s Food Safety Modernization Act. In addition, our operations in Mexico are subject to US and Mexican regulations through the USDA-APHIS and the Mexican Secretary of Agriculture, Secretariat of Agriculture and Rural</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 w:name="page8"/>
    <w:bookmarkEnd w:id="7"/>
    <w:p>
      <w:pPr>
        <w:ind w:left="40" w:right="619"/>
        <w:spacing w:after="0" w:line="272" w:lineRule="auto"/>
        <w:rPr>
          <w:sz w:val="20"/>
          <w:szCs w:val="20"/>
          <w:color w:val="auto"/>
        </w:rPr>
      </w:pPr>
      <w:r>
        <w:rPr>
          <w:rFonts w:ascii="Times New Roman" w:cs="Times New Roman" w:eastAsia="Times New Roman" w:hAnsi="Times New Roman"/>
          <w:sz w:val="17"/>
          <w:szCs w:val="17"/>
          <w:color w:val="auto"/>
        </w:rPr>
        <w:t>Development (SADER) primarily pertaining to phytosanitary regulations, certification regulation for the importation of Hass avocados to the United States.</w:t>
      </w:r>
    </w:p>
    <w:p>
      <w:pPr>
        <w:spacing w:after="0" w:line="159" w:lineRule="exact"/>
        <w:rPr>
          <w:sz w:val="20"/>
          <w:szCs w:val="20"/>
          <w:color w:val="auto"/>
        </w:rPr>
      </w:pPr>
    </w:p>
    <w:p>
      <w:pPr>
        <w:ind w:left="40" w:right="79" w:firstLine="241"/>
        <w:spacing w:after="0" w:line="272" w:lineRule="auto"/>
        <w:rPr>
          <w:sz w:val="20"/>
          <w:szCs w:val="20"/>
          <w:color w:val="auto"/>
        </w:rPr>
      </w:pPr>
      <w:r>
        <w:rPr>
          <w:rFonts w:ascii="Times New Roman" w:cs="Times New Roman" w:eastAsia="Times New Roman" w:hAnsi="Times New Roman"/>
          <w:sz w:val="17"/>
          <w:szCs w:val="17"/>
          <w:color w:val="auto"/>
        </w:rPr>
        <w:t>As a large importer of perishable products in the U.S., Calavo was an early adopter of the U.S. Customs &amp; Border Protection’s C-TPAT certification programs for monitoring and expediting all imports to the U.S.</w:t>
      </w:r>
    </w:p>
    <w:p>
      <w:pPr>
        <w:spacing w:after="0" w:line="159"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As a purchaser and manufacturer of perishable agricultural commodities, we are subject to, and compliant with, the USDA’s Perishable Agricultural Commodities Act. 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72" w:lineRule="exact"/>
        <w:rPr>
          <w:sz w:val="20"/>
          <w:szCs w:val="20"/>
          <w:color w:val="auto"/>
        </w:rPr>
      </w:pPr>
    </w:p>
    <w:p>
      <w:pPr>
        <w:ind w:left="40" w:right="359" w:firstLine="241"/>
        <w:spacing w:after="0" w:line="259" w:lineRule="auto"/>
        <w:rPr>
          <w:sz w:val="20"/>
          <w:szCs w:val="20"/>
          <w:color w:val="auto"/>
        </w:rPr>
      </w:pPr>
      <w:r>
        <w:rPr>
          <w:rFonts w:ascii="Times New Roman" w:cs="Times New Roman" w:eastAsia="Times New Roman" w:hAnsi="Times New Roman"/>
          <w:sz w:val="17"/>
          <w:szCs w:val="17"/>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70" w:lineRule="exact"/>
        <w:rPr>
          <w:sz w:val="20"/>
          <w:szCs w:val="20"/>
          <w:color w:val="auto"/>
        </w:rPr>
      </w:pPr>
    </w:p>
    <w:p>
      <w:pPr>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0" w:lineRule="exact"/>
        <w:rPr>
          <w:sz w:val="20"/>
          <w:szCs w:val="20"/>
          <w:color w:val="auto"/>
        </w:rPr>
      </w:pPr>
    </w:p>
    <w:p>
      <w:pPr>
        <w:jc w:val="both"/>
        <w:ind w:left="40" w:right="99" w:firstLine="241"/>
        <w:spacing w:after="0" w:line="272" w:lineRule="auto"/>
        <w:rPr>
          <w:sz w:val="20"/>
          <w:szCs w:val="20"/>
          <w:color w:val="auto"/>
        </w:rPr>
      </w:pPr>
      <w:r>
        <w:rPr>
          <w:rFonts w:ascii="Times New Roman" w:cs="Times New Roman" w:eastAsia="Times New Roman" w:hAnsi="Times New Roman"/>
          <w:sz w:val="17"/>
          <w:szCs w:val="17"/>
          <w:color w:val="auto"/>
        </w:rPr>
        <w:t>We believe in nurturing people, from consumers eating our products to our employees, suppliers, customers and the communities in which we live and work.</w:t>
      </w:r>
    </w:p>
    <w:p>
      <w:pPr>
        <w:spacing w:after="0" w:line="155" w:lineRule="exact"/>
        <w:rPr>
          <w:sz w:val="20"/>
          <w:szCs w:val="20"/>
          <w:color w:val="auto"/>
        </w:rPr>
      </w:pPr>
    </w:p>
    <w:p>
      <w:pPr>
        <w:jc w:val="both"/>
        <w:ind w:left="40" w:right="99" w:firstLine="241"/>
        <w:spacing w:after="0" w:line="254" w:lineRule="auto"/>
        <w:rPr>
          <w:sz w:val="20"/>
          <w:szCs w:val="20"/>
          <w:color w:val="auto"/>
        </w:rPr>
      </w:pPr>
      <w:r>
        <w:rPr>
          <w:rFonts w:ascii="Times New Roman" w:cs="Times New Roman" w:eastAsia="Times New Roman" w:hAnsi="Times New Roman"/>
          <w:sz w:val="17"/>
          <w:szCs w:val="17"/>
          <w:i w:val="1"/>
          <w:iCs w:val="1"/>
          <w:color w:val="auto"/>
        </w:rPr>
        <w:t>Employees</w:t>
      </w:r>
      <w:r>
        <w:rPr>
          <w:rFonts w:ascii="Times New Roman" w:cs="Times New Roman" w:eastAsia="Times New Roman" w:hAnsi="Times New Roman"/>
          <w:sz w:val="17"/>
          <w:szCs w:val="17"/>
          <w:color w:val="auto"/>
        </w:rPr>
        <w:t>: Our employees are our greatest asset and are directly responsible for our success in delivering fresh, quality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consumers. As of October 31, 2024, we had 2,106 employees, of which 317 were in the US and 1,789 were in Mexico. While we have certain operations in Hawaii that are represented by a union, we do not have a significant number of US employees covered by a collective bargaining agreement. Substantially all our Mexican employees, however, are represented by a union. We consider the relationship with our employees to be good and we have never experienced a significant work stoppage.</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is a summary of the number of “salaried” and “hourly” employees as of October 31, 2024.</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Salaried</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Hourly</w:t>
            </w: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93"/>
        </w:trPr>
        <w:tc>
          <w:tcPr>
            <w:tcW w:w="61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United States</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134</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183</w:t>
            </w: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317</w:t>
            </w:r>
          </w:p>
        </w:tc>
      </w:tr>
      <w:tr>
        <w:trPr>
          <w:trHeight w:val="201"/>
        </w:trPr>
        <w:tc>
          <w:tcPr>
            <w:tcW w:w="6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Mexico</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18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1,789</w:t>
            </w:r>
          </w:p>
        </w:tc>
      </w:tr>
      <w:tr>
        <w:trPr>
          <w:trHeight w:val="193"/>
        </w:trPr>
        <w:tc>
          <w:tcPr>
            <w:tcW w:w="6280" w:type="dxa"/>
            <w:vAlign w:val="bottom"/>
            <w:tcBorders>
              <w:bottom w:val="single" w:sz="8" w:color="CCEEFF"/>
            </w:tcBorders>
            <w:gridSpan w:val="2"/>
            <w:shd w:val="clear" w:color="auto" w:fill="CCEEFF"/>
          </w:tcPr>
          <w:p>
            <w:pPr>
              <w:ind w:left="100"/>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522</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1,584</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2,106</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We compensate all workers with wages, overtime premiums, and benefits that meet or exceed local legal standards, local industry standards, or collective agreements, whichever are highest. We have a grade and pay band structure in place for all U.S. positions, which is reviewed and updated no less than annually. We provide our employees with competitively fixed and/or variable pay, and for eligible employees we provide access to health and retirement benefits.</w:t>
      </w:r>
    </w:p>
    <w:p>
      <w:pPr>
        <w:spacing w:after="0" w:line="172" w:lineRule="exact"/>
        <w:rPr>
          <w:sz w:val="20"/>
          <w:szCs w:val="20"/>
          <w:color w:val="auto"/>
        </w:rPr>
      </w:pPr>
    </w:p>
    <w:p>
      <w:pPr>
        <w:ind w:left="40" w:right="179" w:firstLine="241"/>
        <w:spacing w:after="0" w:line="255" w:lineRule="auto"/>
        <w:rPr>
          <w:sz w:val="20"/>
          <w:szCs w:val="20"/>
          <w:color w:val="auto"/>
        </w:rPr>
      </w:pPr>
      <w:r>
        <w:rPr>
          <w:rFonts w:ascii="Times New Roman" w:cs="Times New Roman" w:eastAsia="Times New Roman" w:hAnsi="Times New Roman"/>
          <w:sz w:val="17"/>
          <w:szCs w:val="17"/>
          <w:color w:val="auto"/>
        </w:rPr>
        <w:t>We have a framework for whistleblowing that allows employees to freely communicate their concerns about illegal or unethical practices without fear of retaliation or reprisal and which designates the Audit committee to oversee whistleblowing reports that are investigated by relevant departments. Our whistleblower policy is intended to promote the highest standards of fair treatment and personal ethics in the conduct of company business and practices.</w:t>
      </w:r>
    </w:p>
    <w:p>
      <w:pPr>
        <w:spacing w:after="0" w:line="168" w:lineRule="exact"/>
        <w:rPr>
          <w:sz w:val="20"/>
          <w:szCs w:val="20"/>
          <w:color w:val="auto"/>
        </w:rPr>
      </w:pPr>
    </w:p>
    <w:p>
      <w:pPr>
        <w:ind w:left="40" w:right="99" w:firstLine="241"/>
        <w:spacing w:after="0" w:line="256" w:lineRule="auto"/>
        <w:rPr>
          <w:sz w:val="20"/>
          <w:szCs w:val="20"/>
          <w:color w:val="auto"/>
        </w:rPr>
      </w:pPr>
      <w:r>
        <w:rPr>
          <w:rFonts w:ascii="Times New Roman" w:cs="Times New Roman" w:eastAsia="Times New Roman" w:hAnsi="Times New Roman"/>
          <w:sz w:val="17"/>
          <w:szCs w:val="17"/>
          <w:i w:val="1"/>
          <w:iCs w:val="1"/>
          <w:color w:val="auto"/>
        </w:rPr>
        <w:t>Diversity, Equity, and Inclusion</w:t>
      </w:r>
      <w:r>
        <w:rPr>
          <w:rFonts w:ascii="Times New Roman" w:cs="Times New Roman" w:eastAsia="Times New Roman" w:hAnsi="Times New Roman"/>
          <w:sz w:val="17"/>
          <w:szCs w:val="17"/>
          <w:color w:val="auto"/>
        </w:rPr>
        <w:t>: We strive to foster a culture of diversity, equity, and inclusion, so all employees feel respected,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 employee feels discriminated against. We are proud of the diversity throughout our organization and feel this contributes to a positive and respectful working environment. It also helps foster innovation, creativity, and a wider range of perspectives to help us achieve even greater success.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8" w:name="page9"/>
    <w:bookmarkEnd w:id="8"/>
    <w:p>
      <w:pPr>
        <w:ind w:left="40" w:right="879" w:firstLine="241"/>
        <w:spacing w:after="0" w:line="272" w:lineRule="auto"/>
        <w:rPr>
          <w:sz w:val="20"/>
          <w:szCs w:val="20"/>
          <w:color w:val="auto"/>
        </w:rPr>
      </w:pPr>
      <w:r>
        <w:rPr>
          <w:rFonts w:ascii="Times New Roman" w:cs="Times New Roman" w:eastAsia="Times New Roman" w:hAnsi="Times New Roman"/>
          <w:sz w:val="17"/>
          <w:szCs w:val="17"/>
          <w:color w:val="auto"/>
        </w:rPr>
        <w:t>We embrace diversity throughout our company as we have employees across multiple generations and many different backgrounds.</w:t>
      </w:r>
    </w:p>
    <w:p>
      <w:pPr>
        <w:spacing w:after="0" w:line="155" w:lineRule="exact"/>
        <w:rPr>
          <w:sz w:val="20"/>
          <w:szCs w:val="20"/>
          <w:color w:val="auto"/>
        </w:rPr>
      </w:pPr>
    </w:p>
    <w:p>
      <w:pPr>
        <w:ind w:left="40" w:right="179" w:firstLine="241"/>
        <w:spacing w:after="0" w:line="251" w:lineRule="auto"/>
        <w:rPr>
          <w:sz w:val="20"/>
          <w:szCs w:val="20"/>
          <w:color w:val="auto"/>
        </w:rPr>
      </w:pPr>
      <w:r>
        <w:rPr>
          <w:rFonts w:ascii="Times New Roman" w:cs="Times New Roman" w:eastAsia="Times New Roman" w:hAnsi="Times New Roman"/>
          <w:sz w:val="17"/>
          <w:szCs w:val="17"/>
          <w:i w:val="1"/>
          <w:iCs w:val="1"/>
          <w:color w:val="auto"/>
        </w:rPr>
        <w:t>Engagement and Opportunities</w:t>
      </w:r>
      <w:r>
        <w:rPr>
          <w:rFonts w:ascii="Times New Roman" w:cs="Times New Roman" w:eastAsia="Times New Roman" w:hAnsi="Times New Roman"/>
          <w:sz w:val="17"/>
          <w:szCs w:val="17"/>
          <w:color w:val="auto"/>
        </w:rPr>
        <w:t>: Evolving our culture to increase employee engagement and productivity is a primary focus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strategic plan as we believe an engaged workforce leads to a more innovative, productive and profitable company. Our employees are supported with training and development opportunities to pursue their careers and support compliance with our policies. We support employee growth and development through our partnership with LinkedIn Learning and other platforms, offering access to a comprehensive library of work-related topics, certifications, and training resources. Additionally, our enhanced HRIS system provides employees with a user-friendly dashboard—accessible via mobile devices or workstations—allowing convenient access to company communications, personal information, and organizational resources.</w:t>
      </w:r>
    </w:p>
    <w:p>
      <w:pPr>
        <w:spacing w:after="0" w:line="174" w:lineRule="exact"/>
        <w:rPr>
          <w:sz w:val="20"/>
          <w:szCs w:val="20"/>
          <w:color w:val="auto"/>
        </w:rPr>
      </w:pPr>
    </w:p>
    <w:p>
      <w:pPr>
        <w:jc w:val="both"/>
        <w:ind w:left="40" w:right="279" w:firstLine="241"/>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Health: </w:t>
      </w:r>
      <w:r>
        <w:rPr>
          <w:rFonts w:ascii="Times New Roman" w:cs="Times New Roman" w:eastAsia="Times New Roman" w:hAnsi="Times New Roman"/>
          <w:sz w:val="17"/>
          <w:szCs w:val="17"/>
          <w:color w:val="auto"/>
        </w:rPr>
        <w:t>We are committed to providing a safe and healthy work environment where all employees are treated with dignity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We uphold fundamental human rights and adhere to established labor standards, not only for our own workforce, but also for those employed by our suppliers and the communities impacted by our operations.</w:t>
      </w:r>
    </w:p>
    <w:p>
      <w:pPr>
        <w:spacing w:after="0" w:line="169"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Our goal is to maintain a workplace free of preventable hazards while complying with all applicable laws and regulations related to health and safety. To support this commitment, we conduct monthly safety training for operational employees and enforce the use of personal protective equipment required for their roles. Additionally, all employees participate in annual compliance training to ensure adherence to regulatory standards.</w:t>
      </w:r>
    </w:p>
    <w:p>
      <w:pPr>
        <w:spacing w:after="0" w:line="172" w:lineRule="exact"/>
        <w:rPr>
          <w:sz w:val="20"/>
          <w:szCs w:val="20"/>
          <w:color w:val="auto"/>
        </w:rPr>
      </w:pPr>
    </w:p>
    <w:p>
      <w:pPr>
        <w:jc w:val="both"/>
        <w:ind w:left="40" w:right="279" w:firstLine="241"/>
        <w:spacing w:after="0" w:line="259" w:lineRule="auto"/>
        <w:rPr>
          <w:sz w:val="20"/>
          <w:szCs w:val="20"/>
          <w:color w:val="auto"/>
        </w:rPr>
      </w:pPr>
      <w:r>
        <w:rPr>
          <w:rFonts w:ascii="Times New Roman" w:cs="Times New Roman" w:eastAsia="Times New Roman" w:hAnsi="Times New Roman"/>
          <w:sz w:val="17"/>
          <w:szCs w:val="17"/>
          <w:color w:val="auto"/>
        </w:rPr>
        <w:t>We strive to make life better for everyone, in line with our vision of nourishing families with quality products. We support the health and well-being of our employees by offering a comprehensive package of salaries and fringe benefits for employees, which we believe is a generous package for agri-industrial workers. Employees enjoy benefits which include:</w:t>
      </w:r>
    </w:p>
    <w:p>
      <w:pPr>
        <w:spacing w:after="0" w:line="170" w:lineRule="exact"/>
        <w:rPr>
          <w:sz w:val="20"/>
          <w:szCs w:val="20"/>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401k retirement plan with an employer match, up to 5% and immediate vesting.</w:t>
      </w:r>
    </w:p>
    <w:p>
      <w:pPr>
        <w:spacing w:after="0" w:line="21" w:lineRule="exact"/>
        <w:rPr>
          <w:rFonts w:ascii="Times New Roman" w:cs="Times New Roman" w:eastAsia="Times New Roman" w:hAnsi="Times New Roman"/>
          <w:sz w:val="17"/>
          <w:szCs w:val="17"/>
          <w:color w:val="auto"/>
        </w:rPr>
      </w:pPr>
    </w:p>
    <w:p>
      <w:pPr>
        <w:ind w:left="660" w:right="399" w:hanging="296"/>
        <w:spacing w:after="0" w:line="24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paid Group Term Life Insurance and supplementary life benefit elective options for the employee and family members.</w:t>
      </w:r>
    </w:p>
    <w:p>
      <w:pPr>
        <w:ind w:left="660" w:right="119" w:hanging="296"/>
        <w:spacing w:after="0" w:line="24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Medical, Dental and Vision plans – administered by a Health Maintenance Organization (HMO) or Preferred Provider Plan (PPO)</w:t>
      </w: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Flexible Spending Account (FSA) that can reduce employee tax liability.</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Short-Term (STD) and Long-Term (LTD) disability plans paid for by Calavo.</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paid Employee Assistance Program, offering free and confidential counseling services.</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accrual of 2 – 4 weeks of accrual per year and paid sick leave.</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Bereavement leave of 3 days.</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Pregnancy leave.</w:t>
      </w:r>
    </w:p>
    <w:p>
      <w:pPr>
        <w:spacing w:after="0" w:line="5" w:lineRule="exact"/>
        <w:rPr>
          <w:rFonts w:ascii="Times New Roman" w:cs="Times New Roman" w:eastAsia="Times New Roman" w:hAnsi="Times New Roman"/>
          <w:sz w:val="17"/>
          <w:szCs w:val="17"/>
          <w:color w:val="auto"/>
        </w:rPr>
      </w:pPr>
    </w:p>
    <w:p>
      <w:pPr>
        <w:ind w:left="660" w:right="259" w:hanging="296"/>
        <w:spacing w:after="0" w:line="252"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Cell phone and internet allowance where employees use their personal devices for work related purposes, based upon the position.</w:t>
      </w:r>
    </w:p>
    <w:p>
      <w:pPr>
        <w:spacing w:after="0" w:line="171" w:lineRule="exact"/>
        <w:rPr>
          <w:sz w:val="20"/>
          <w:szCs w:val="20"/>
          <w:color w:val="auto"/>
        </w:rPr>
      </w:pPr>
    </w:p>
    <w:p>
      <w:pPr>
        <w:ind w:left="40" w:right="159" w:firstLine="241"/>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Safety: </w:t>
      </w:r>
      <w:r>
        <w:rPr>
          <w:rFonts w:ascii="Times New Roman" w:cs="Times New Roman" w:eastAsia="Times New Roman" w:hAnsi="Times New Roman"/>
          <w:sz w:val="16"/>
          <w:szCs w:val="16"/>
          <w:color w:val="auto"/>
        </w:rPr>
        <w:t>We are committed to building a culture of safety with the goal of zero incidents. Our approach prioritizes the health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well-being of our employees through proactive training programs, strict compliance with safety regulations, and continuous improvement initiatives. We implement comprehensive safety protocols across all facilities, regularly conduct safety audits, and provide ongoing training to ensure employees are equipped to recognize and mitigate risks. We also emphasize incident prevention through behavior-based safety programs and open communication channels, encouraging employees to report potential hazards without fear of retaliation. To reinforce accountability, we track key safety metrics such as recordable incident rates and lost time injury rates, benchmarking our performance against industry standards. Our safety culture extends beyond compliance, focusing on engagement, education, and empowerment to ensure every employee takes ownership of workplace safety.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0" w:lineRule="exact"/>
        <w:rPr>
          <w:sz w:val="20"/>
          <w:szCs w:val="20"/>
          <w:color w:val="auto"/>
        </w:rPr>
      </w:pPr>
    </w:p>
    <w:p>
      <w:pPr>
        <w:ind w:left="40" w:right="299" w:firstLine="241"/>
        <w:spacing w:after="0" w:line="272"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electronically with the SEC. Our annual reports on Form 10-K and proxy statements are made available free of charge through the Investors section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 w:name="page10"/>
    <w:bookmarkEnd w:id="9"/>
    <w:p>
      <w:pPr>
        <w:ind w:left="40" w:right="259"/>
        <w:spacing w:after="0" w:line="252" w:lineRule="auto"/>
        <w:rPr>
          <w:sz w:val="20"/>
          <w:szCs w:val="20"/>
          <w:color w:val="auto"/>
        </w:rPr>
      </w:pPr>
      <w:r>
        <w:rPr>
          <w:rFonts w:ascii="Times New Roman" w:cs="Times New Roman" w:eastAsia="Times New Roman" w:hAnsi="Times New Roman"/>
          <w:sz w:val="17"/>
          <w:szCs w:val="17"/>
          <w:color w:val="auto"/>
        </w:rPr>
        <w:t>of the Company’s website (http:// ir.calavo.com/financial-information/annual-reports-and-proxy-statements) as soon as practicable after such material is electronically filed with, or furnished to, the SEC. Material contained on our website is not incorporated by reference in this report. Our executive officers are located at 1141-A Cummings Road, Santa Paula, CA 93060. The SEC also maintains an internet website that contains reports and other information regarding issuers that file electronically with the SEC located at http://www.sec.gov.</w:t>
      </w: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6" w:lineRule="exact"/>
        <w:rPr>
          <w:sz w:val="20"/>
          <w:szCs w:val="20"/>
          <w:color w:val="auto"/>
        </w:rPr>
      </w:pPr>
    </w:p>
    <w:p>
      <w:pPr>
        <w:ind w:left="40" w:right="59"/>
        <w:spacing w:after="0" w:line="254"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risks and other information in this Form 10-K. Any of the following risks could materially and adversely affect our results of operations or financial condition. The following risk factors should be read in conjunction with Part II, Item 7, “Management’s Discussion and Analysis of Financial Condition and Results of Operations” and the Consolidated Financial Statements and related notes in Part II, Item 8, “Financial Statements and Supplementary Data” of this Form 10-K.</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Business and Operational Risks</w:t>
      </w:r>
    </w:p>
    <w:p>
      <w:pPr>
        <w:spacing w:after="0" w:line="218" w:lineRule="exact"/>
        <w:rPr>
          <w:sz w:val="20"/>
          <w:szCs w:val="20"/>
          <w:color w:val="auto"/>
        </w:rPr>
      </w:pPr>
    </w:p>
    <w:p>
      <w:pPr>
        <w:ind w:left="40" w:right="399"/>
        <w:spacing w:after="0" w:line="308" w:lineRule="auto"/>
        <w:rPr>
          <w:sz w:val="20"/>
          <w:szCs w:val="20"/>
          <w:color w:val="auto"/>
        </w:rPr>
      </w:pPr>
      <w:r>
        <w:rPr>
          <w:rFonts w:ascii="Times New Roman" w:cs="Times New Roman" w:eastAsia="Times New Roman" w:hAnsi="Times New Roman"/>
          <w:sz w:val="17"/>
          <w:szCs w:val="17"/>
          <w:i w:val="1"/>
          <w:iCs w:val="1"/>
          <w:color w:val="auto"/>
        </w:rPr>
        <w:t>We may face challenges related to the transition and carve-out of operations following the divestiture of our Fresh Cut business, which could adversely impact our business, financial performance, and/or shareholder value</w:t>
      </w:r>
      <w:r>
        <w:rPr>
          <w:rFonts w:ascii="Times New Roman" w:cs="Times New Roman" w:eastAsia="Times New Roman" w:hAnsi="Times New Roman"/>
          <w:sz w:val="17"/>
          <w:szCs w:val="17"/>
          <w:color w:val="auto"/>
        </w:rPr>
        <w:t>.</w:t>
      </w:r>
    </w:p>
    <w:p>
      <w:pPr>
        <w:spacing w:after="0" w:line="79"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The successful transition and carve-out of operations after the Fresh Cut business divestiture involves operational, strategic, and financial risks. These include the reallocation of resources and focus on our remaining business segments, which could divert management’s attention and impact efficiency and profitability.</w:t>
      </w:r>
    </w:p>
    <w:p>
      <w:pPr>
        <w:spacing w:after="0" w:line="170" w:lineRule="exact"/>
        <w:rPr>
          <w:sz w:val="20"/>
          <w:szCs w:val="20"/>
          <w:color w:val="auto"/>
        </w:rPr>
      </w:pPr>
    </w:p>
    <w:p>
      <w:pPr>
        <w:ind w:left="40" w:right="559" w:firstLine="241"/>
        <w:spacing w:after="0" w:line="272" w:lineRule="auto"/>
        <w:rPr>
          <w:sz w:val="20"/>
          <w:szCs w:val="20"/>
          <w:color w:val="auto"/>
        </w:rPr>
      </w:pPr>
      <w:r>
        <w:rPr>
          <w:rFonts w:ascii="Times New Roman" w:cs="Times New Roman" w:eastAsia="Times New Roman" w:hAnsi="Times New Roman"/>
          <w:sz w:val="17"/>
          <w:szCs w:val="17"/>
          <w:color w:val="auto"/>
        </w:rPr>
        <w:t>Additionally, the reduced scale of our operations may lead to revenue fluctuations and challenges in managing fixed costs, potentially affecting our financial performance.</w:t>
      </w:r>
    </w:p>
    <w:p>
      <w:pPr>
        <w:spacing w:after="0" w:line="159" w:lineRule="exact"/>
        <w:rPr>
          <w:sz w:val="20"/>
          <w:szCs w:val="20"/>
          <w:color w:val="auto"/>
        </w:rPr>
      </w:pPr>
    </w:p>
    <w:p>
      <w:pPr>
        <w:ind w:left="40" w:right="259" w:firstLine="241"/>
        <w:spacing w:after="0" w:line="272" w:lineRule="auto"/>
        <w:rPr>
          <w:sz w:val="20"/>
          <w:szCs w:val="20"/>
          <w:color w:val="auto"/>
        </w:rPr>
      </w:pPr>
      <w:r>
        <w:rPr>
          <w:rFonts w:ascii="Times New Roman" w:cs="Times New Roman" w:eastAsia="Times New Roman" w:hAnsi="Times New Roman"/>
          <w:sz w:val="17"/>
          <w:szCs w:val="17"/>
          <w:color w:val="auto"/>
        </w:rPr>
        <w:t>We also face risks associated with the allocation and use of proceeds from the divestiture. Investment decisions related to these proceeds may not yield the anticipated returns and could negatively impact shareholder value if not effectively deployed.</w:t>
      </w:r>
    </w:p>
    <w:p>
      <w:pPr>
        <w:spacing w:after="0" w:line="159" w:lineRule="exact"/>
        <w:rPr>
          <w:sz w:val="20"/>
          <w:szCs w:val="20"/>
          <w:color w:val="auto"/>
        </w:rPr>
      </w:pPr>
    </w:p>
    <w:p>
      <w:pPr>
        <w:ind w:left="40" w:right="799" w:firstLine="241"/>
        <w:spacing w:after="0" w:line="272" w:lineRule="auto"/>
        <w:rPr>
          <w:sz w:val="20"/>
          <w:szCs w:val="20"/>
          <w:color w:val="auto"/>
        </w:rPr>
      </w:pPr>
      <w:r>
        <w:rPr>
          <w:rFonts w:ascii="Times New Roman" w:cs="Times New Roman" w:eastAsia="Times New Roman" w:hAnsi="Times New Roman"/>
          <w:sz w:val="17"/>
          <w:szCs w:val="17"/>
          <w:color w:val="auto"/>
        </w:rPr>
        <w:t>Any failure to address these risks could materially and adversely affect our business, financial condition, and results of operations.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Manufacturing and Supply Chain Disruption</w:t>
      </w:r>
    </w:p>
    <w:p>
      <w:pPr>
        <w:spacing w:after="0" w:line="210" w:lineRule="exact"/>
        <w:rPr>
          <w:sz w:val="20"/>
          <w:szCs w:val="20"/>
          <w:color w:val="auto"/>
        </w:rPr>
      </w:pPr>
    </w:p>
    <w:p>
      <w:pPr>
        <w:ind w:left="40" w:right="199" w:firstLine="241"/>
        <w:spacing w:after="0" w:line="249" w:lineRule="auto"/>
        <w:rPr>
          <w:sz w:val="20"/>
          <w:szCs w:val="20"/>
          <w:color w:val="auto"/>
        </w:rPr>
      </w:pPr>
      <w:r>
        <w:rPr>
          <w:rFonts w:ascii="Times New Roman" w:cs="Times New Roman" w:eastAsia="Times New Roman" w:hAnsi="Times New Roman"/>
          <w:sz w:val="17"/>
          <w:szCs w:val="17"/>
          <w:color w:val="auto"/>
        </w:rPr>
        <w:t>Outbreaks of contagious diseases, sporadic pest challenges, and other adverse public health and environmental developments in the countries and states where we operate have had, and may continue to have, a material adverse effect on our business, financial condition, and operations. These challenges can create operational disruptions in the manufacturing of our products and in the supply chains that support our ability to deliver products to consumers. The potential effects include negative impacts on the availability of key personnel; disruptions to our facilities or the facilities of our business partners, customers, suppliers, third-party service providers, or other vendors; and interruptions to domestic and global supply chains, distribution channels, and financial markets. Restrictions on or disruptions to transportation, border controls, and closures—as well as other impacts on supply chains and distribution channels—could increase costs for raw materials and commodities, limit our ability to meet customer demand, or otherwise materially and adversely affect our business, financial condition, operating results, or cash flows.</w:t>
      </w:r>
    </w:p>
    <w:p>
      <w:pPr>
        <w:spacing w:after="0" w:line="177" w:lineRule="exact"/>
        <w:rPr>
          <w:sz w:val="20"/>
          <w:szCs w:val="20"/>
          <w:color w:val="auto"/>
        </w:rPr>
      </w:pPr>
    </w:p>
    <w:p>
      <w:pPr>
        <w:jc w:val="both"/>
        <w:ind w:left="40" w:right="39"/>
        <w:spacing w:after="0" w:line="277" w:lineRule="auto"/>
        <w:rPr>
          <w:sz w:val="20"/>
          <w:szCs w:val="20"/>
          <w:color w:val="auto"/>
        </w:rPr>
      </w:pPr>
      <w:r>
        <w:rPr>
          <w:rFonts w:ascii="Times New Roman" w:cs="Times New Roman" w:eastAsia="Times New Roman" w:hAnsi="Times New Roman"/>
          <w:sz w:val="17"/>
          <w:szCs w:val="17"/>
          <w:i w:val="1"/>
          <w:iCs w:val="1"/>
          <w:color w:val="212529"/>
        </w:rPr>
        <w:t>Increases in interest rates could increase the cost of servicing our indebtedness and have an adverse effect on our results of operations, cash flows and stock price.</w:t>
      </w:r>
    </w:p>
    <w:p>
      <w:pPr>
        <w:spacing w:after="0" w:line="155" w:lineRule="exact"/>
        <w:rPr>
          <w:sz w:val="20"/>
          <w:szCs w:val="20"/>
          <w:color w:val="auto"/>
        </w:rPr>
      </w:pPr>
    </w:p>
    <w:p>
      <w:pPr>
        <w:jc w:val="both"/>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In June 2023, Calavo and certain subsidiaries entered into a credit agreement (the “Credit Agreement”) by and among Calavo, certain subsidiaries of Calavo as guarantors, and Wells Fargo Bank, National Association, as agent and lender. This credit facility currently bears interest at a variable rate, which will generally change as interest rates change. We also have various leases, and may enter into future equipment leases, with costs that increase as interest rates increase. We bear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 w:name="page11"/>
    <w:bookmarkEnd w:id="10"/>
    <w:p>
      <w:pPr>
        <w:jc w:val="both"/>
        <w:ind w:left="40" w:right="59"/>
        <w:spacing w:after="0" w:line="255" w:lineRule="auto"/>
        <w:rPr>
          <w:sz w:val="20"/>
          <w:szCs w:val="20"/>
          <w:color w:val="auto"/>
        </w:rPr>
      </w:pPr>
      <w:r>
        <w:rPr>
          <w:rFonts w:ascii="Times New Roman" w:cs="Times New Roman" w:eastAsia="Times New Roman" w:hAnsi="Times New Roman"/>
          <w:sz w:val="17"/>
          <w:szCs w:val="17"/>
          <w:color w:val="auto"/>
        </w:rPr>
        <w:t>the risk that the rates we are charged under the Credit Agreement and by lessors will increase faster than the earnings and cash flow of our business, which could reduce profitability, adversely affect our ability to service our obligations, or cause us to breach covenants contained in the Credit Agreement or leases, which could materially adversely affect our business, financial condition and results of operations.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Increases in interest rates may also affect consumer purchasing behavior, including for our fresh and prepared food products.</w:t>
      </w:r>
    </w:p>
    <w:p>
      <w:pPr>
        <w:spacing w:after="0" w:line="206" w:lineRule="exact"/>
        <w:rPr>
          <w:sz w:val="20"/>
          <w:szCs w:val="20"/>
          <w:color w:val="auto"/>
        </w:rPr>
      </w:pPr>
    </w:p>
    <w:p>
      <w:pPr>
        <w:ind w:left="40" w:right="339" w:firstLine="241"/>
        <w:spacing w:after="0" w:line="276" w:lineRule="auto"/>
        <w:rPr>
          <w:sz w:val="20"/>
          <w:szCs w:val="20"/>
          <w:color w:val="auto"/>
        </w:rPr>
      </w:pPr>
      <w:r>
        <w:rPr>
          <w:rFonts w:ascii="Times New Roman" w:cs="Times New Roman" w:eastAsia="Times New Roman" w:hAnsi="Times New Roman"/>
          <w:sz w:val="16"/>
          <w:szCs w:val="16"/>
          <w:color w:val="auto"/>
        </w:rPr>
        <w:t>Additionally, the trading price of our common stock may be affected by the dividend yield on our common stock relative to market interest rates. When market interest rates rise, the yield on our common stock may become less attractive relative to other available securities. As a result, prospective purchasers may decide to purchase other securities rather than shares of our common stock, which would reduce the demand for, and potentially result in a decline in the market price of, shares of our common stock.</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Due to the seasonality of the business, our revenue and operating results may vary from quarter to quarter.</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earnings may be affected by seasonal factors, including:</w:t>
      </w:r>
    </w:p>
    <w:p>
      <w:pPr>
        <w:spacing w:after="0" w:line="206" w:lineRule="exact"/>
        <w:rPr>
          <w:sz w:val="20"/>
          <w:szCs w:val="20"/>
          <w:color w:val="auto"/>
        </w:rPr>
      </w:pPr>
    </w:p>
    <w:p>
      <w:pPr>
        <w:ind w:left="660" w:hanging="296"/>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quality and price of raw materials (including, but not limited to, fruit and vegetable inputs);</w:t>
      </w:r>
    </w:p>
    <w:p>
      <w:pPr>
        <w:spacing w:after="0" w:line="21"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effects of ripening and perishability;</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process perishable raw materials in a timely manner;</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overhead costs during off-season months; and</w:t>
      </w:r>
    </w:p>
    <w:p>
      <w:pPr>
        <w:spacing w:after="0" w:line="5" w:lineRule="exact"/>
        <w:rPr>
          <w:rFonts w:ascii="Times New Roman" w:cs="Times New Roman" w:eastAsia="Times New Roman" w:hAnsi="Times New Roman"/>
          <w:sz w:val="17"/>
          <w:szCs w:val="17"/>
          <w:color w:val="auto"/>
        </w:rPr>
      </w:pPr>
    </w:p>
    <w:p>
      <w:pPr>
        <w:ind w:left="660" w:hanging="296"/>
        <w:spacing w:after="0"/>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consumer demand and holiday timing.</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Our earnings are sensitive to fluctuations in market prices and demand for our products.</w:t>
      </w:r>
    </w:p>
    <w:p>
      <w:pPr>
        <w:spacing w:after="0" w:line="210" w:lineRule="exact"/>
        <w:rPr>
          <w:sz w:val="20"/>
          <w:szCs w:val="20"/>
          <w:color w:val="auto"/>
        </w:rPr>
      </w:pPr>
    </w:p>
    <w:p>
      <w:pPr>
        <w:ind w:left="40" w:right="359" w:firstLine="241"/>
        <w:spacing w:after="0" w:line="272" w:lineRule="auto"/>
        <w:rPr>
          <w:sz w:val="20"/>
          <w:szCs w:val="20"/>
          <w:color w:val="auto"/>
        </w:rPr>
      </w:pPr>
      <w:r>
        <w:rPr>
          <w:rFonts w:ascii="Times New Roman" w:cs="Times New Roman" w:eastAsia="Times New Roman" w:hAnsi="Times New Roman"/>
          <w:sz w:val="17"/>
          <w:szCs w:val="17"/>
          <w:color w:val="auto"/>
        </w:rPr>
        <w:t>We buy and sell fresh produce that can be subject to price volatility caused by weather conditions such as rainfall, hailstorms, windstorms, floods, droughts, wildfires and freezes, as well as by impacts from diseases and pests.</w:t>
      </w:r>
    </w:p>
    <w:p>
      <w:pPr>
        <w:spacing w:after="0" w:line="159" w:lineRule="exact"/>
        <w:rPr>
          <w:sz w:val="20"/>
          <w:szCs w:val="20"/>
          <w:color w:val="auto"/>
        </w:rPr>
      </w:pPr>
    </w:p>
    <w:p>
      <w:pPr>
        <w:jc w:val="both"/>
        <w:ind w:left="40" w:right="599" w:firstLine="241"/>
        <w:spacing w:after="0" w:line="259" w:lineRule="auto"/>
        <w:rPr>
          <w:sz w:val="20"/>
          <w:szCs w:val="20"/>
          <w:color w:val="auto"/>
        </w:rPr>
      </w:pPr>
      <w:r>
        <w:rPr>
          <w:rFonts w:ascii="Times New Roman" w:cs="Times New Roman" w:eastAsia="Times New Roman" w:hAnsi="Times New Roman"/>
          <w:sz w:val="17"/>
          <w:szCs w:val="17"/>
          <w:color w:val="auto"/>
        </w:rPr>
        <w:t>Fresh produce is highly perishable and generally must be brought to market and sold soon after harvest. The selling price received for each type of produce depends on factors such as the availability and quality of the product in the market and the availability and quality of competing types of produce.</w:t>
      </w:r>
    </w:p>
    <w:p>
      <w:pPr>
        <w:spacing w:after="0" w:line="182" w:lineRule="exact"/>
        <w:rPr>
          <w:sz w:val="20"/>
          <w:szCs w:val="20"/>
          <w:color w:val="auto"/>
        </w:rPr>
      </w:pPr>
    </w:p>
    <w:p>
      <w:pPr>
        <w:ind w:left="40" w:right="159" w:firstLine="241"/>
        <w:spacing w:after="0" w:line="251" w:lineRule="auto"/>
        <w:rPr>
          <w:sz w:val="20"/>
          <w:szCs w:val="20"/>
          <w:color w:val="auto"/>
        </w:rPr>
      </w:pPr>
      <w:r>
        <w:rPr>
          <w:rFonts w:ascii="Times New Roman" w:cs="Times New Roman" w:eastAsia="Times New Roman" w:hAnsi="Times New Roman"/>
          <w:sz w:val="17"/>
          <w:szCs w:val="17"/>
          <w:color w:val="auto"/>
        </w:rPr>
        <w:t>In addition,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stop purchasing products that we produce due to health, food safety or other reasons, and we are unable to modify our products or to develop products that satisfy new consumer preferences, there could be a decreased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-775970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Increases in commodity or raw product input costs, such as fuel, packaging, and paper, could adversely affect our operating results.</w:t>
      </w:r>
    </w:p>
    <w:p>
      <w:pPr>
        <w:spacing w:after="0" w:line="221" w:lineRule="exact"/>
        <w:rPr>
          <w:sz w:val="20"/>
          <w:szCs w:val="20"/>
          <w:color w:val="auto"/>
        </w:rPr>
      </w:pPr>
    </w:p>
    <w:p>
      <w:pPr>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Many factors may affect the cost and supply of fresh produce, including external conditions, commodity market fluctuations, currency fluctuations, changes in governmental laws and regulations, the war in Ukraine or conflict elsewhere, agricultural programs, severe and prolonged weather conditions and natural disasters. Increased costs for purchased fruit have in the past negatively impacted our operating results, and may adversely affect our operating results in the future.</w:t>
      </w:r>
    </w:p>
    <w:p>
      <w:pPr>
        <w:spacing w:after="0" w:line="172" w:lineRule="exact"/>
        <w:rPr>
          <w:sz w:val="20"/>
          <w:szCs w:val="20"/>
          <w:color w:val="auto"/>
        </w:rPr>
      </w:pPr>
    </w:p>
    <w:p>
      <w:pPr>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The price of various commodities can affect our costs. For example, fuel, transportation, and packaging costs are significant components of our operating costs, and we may not be able to pass on to our customers any increases in costs of fuel, transportation, or packaging.</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7"/>
          <w:szCs w:val="17"/>
          <w:i w:val="1"/>
          <w:iCs w:val="1"/>
          <w:color w:val="auto"/>
        </w:rPr>
        <w:t>We depend on our infrastructure to have sufficient capacity to handle our annual production needs.</w:t>
      </w:r>
    </w:p>
    <w:p>
      <w:pPr>
        <w:spacing w:after="0" w:line="210"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If we lose machinery or facilities due to natural disasters or mechanical failure, we may not be able to operate at a sufficient capacity to meet our production needs and we may incur significant costs or delays in any effort to restore lost capacity. Our production capacity for guacamole products is consolidated in a single manufacturing plant in the state of Michoacán, Mexico. Any significant production disruptions at this manufacturing site could result in a limitation of the availability of some or all our guacamole products. Any disruptions in our infrastructure could have a material adverse effect on our business, results of operations, and financial condition.</w:t>
      </w:r>
    </w:p>
    <w:p>
      <w:pPr>
        <w:spacing w:after="0" w:line="174" w:lineRule="exact"/>
        <w:rPr>
          <w:sz w:val="20"/>
          <w:szCs w:val="20"/>
          <w:color w:val="auto"/>
        </w:rPr>
      </w:pPr>
    </w:p>
    <w:p>
      <w:pPr>
        <w:ind w:left="40" w:right="59"/>
        <w:spacing w:after="0" w:line="277" w:lineRule="auto"/>
        <w:rPr>
          <w:sz w:val="20"/>
          <w:szCs w:val="20"/>
          <w:color w:val="auto"/>
        </w:rPr>
      </w:pPr>
      <w:r>
        <w:rPr>
          <w:rFonts w:ascii="Times New Roman" w:cs="Times New Roman" w:eastAsia="Times New Roman" w:hAnsi="Times New Roman"/>
          <w:sz w:val="17"/>
          <w:szCs w:val="17"/>
          <w:i w:val="1"/>
          <w:iCs w:val="1"/>
          <w:color w:val="auto"/>
        </w:rPr>
        <w:t>Failure to optimize our supply chain or disruption of our supply chain could have an adverse effect on our business, financial condition and results of operations.</w:t>
      </w:r>
    </w:p>
    <w:p>
      <w:pPr>
        <w:spacing w:after="0" w:line="155"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In coordination with our suppliers, our ability to make, move and sell products is critical to our success. Our inability to maintain sufficient internal production capacity or our inability to enter into co-packing agreements on reasonable terms could have an adverse effect on our business. Failure to adequately handle increasing production costs and complexity, turnover of manufacturing personnel, or production capability and efficiency issues could materially impact our ability to produce our products in a cost-effective manner and meet customer demand.</w:t>
      </w:r>
    </w:p>
    <w:p>
      <w:pPr>
        <w:spacing w:after="0" w:line="177" w:lineRule="exact"/>
        <w:rPr>
          <w:sz w:val="20"/>
          <w:szCs w:val="20"/>
          <w:color w:val="auto"/>
        </w:rPr>
      </w:pPr>
    </w:p>
    <w:p>
      <w:pPr>
        <w:ind w:left="40" w:right="79" w:firstLine="241"/>
        <w:spacing w:after="0" w:line="250" w:lineRule="auto"/>
        <w:rPr>
          <w:sz w:val="20"/>
          <w:szCs w:val="20"/>
          <w:color w:val="auto"/>
        </w:rPr>
      </w:pPr>
      <w:r>
        <w:rPr>
          <w:rFonts w:ascii="Times New Roman" w:cs="Times New Roman" w:eastAsia="Times New Roman" w:hAnsi="Times New Roman"/>
          <w:sz w:val="17"/>
          <w:szCs w:val="17"/>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For example, our production capacity for guacamole products is consolidated in a single manufacturing plant in the state of Michoacán, Mexico. Any significant production disruptions at this manufacturing site could result in a limitation of the availability of some or all our guacamole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73" w:lineRule="exact"/>
        <w:rPr>
          <w:sz w:val="20"/>
          <w:szCs w:val="20"/>
          <w:color w:val="auto"/>
        </w:rPr>
      </w:pPr>
    </w:p>
    <w:p>
      <w:pPr>
        <w:ind w:left="40" w:right="179"/>
        <w:spacing w:after="0" w:line="277" w:lineRule="auto"/>
        <w:rPr>
          <w:sz w:val="20"/>
          <w:szCs w:val="20"/>
          <w:color w:val="auto"/>
        </w:rPr>
      </w:pPr>
      <w:r>
        <w:rPr>
          <w:rFonts w:ascii="Times New Roman" w:cs="Times New Roman" w:eastAsia="Times New Roman" w:hAnsi="Times New Roman"/>
          <w:sz w:val="17"/>
          <w:szCs w:val="17"/>
          <w:i w:val="1"/>
          <w:iCs w:val="1"/>
          <w:color w:val="auto"/>
        </w:rPr>
        <w:t>Disruption of the supply or reliability of transportation services and/or significant increases in the cost of these services could have an adverse effect on our business, financial condition and results of operations.</w:t>
      </w:r>
    </w:p>
    <w:p>
      <w:pPr>
        <w:spacing w:after="0" w:line="155" w:lineRule="exact"/>
        <w:rPr>
          <w:sz w:val="20"/>
          <w:szCs w:val="20"/>
          <w:color w:val="auto"/>
        </w:rPr>
      </w:pPr>
    </w:p>
    <w:p>
      <w:pPr>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We use multiple forms of transportation to bring our products to market, including truck, ocean, and air-cargo. Disruption to the timely supply of these services or dramatic increases in the cost of these services for any reason including availability of fuel for such services, labor disputes, governmental regulation, or governmental restrictions limiting specific forms of transportation could have an adverse effect on our business, financial condition and results of operations.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The acquisition of other businesses could pose risks to our business, financial condition and results of operations.</w:t>
      </w:r>
    </w:p>
    <w:p>
      <w:pPr>
        <w:spacing w:after="0" w:line="210" w:lineRule="exact"/>
        <w:rPr>
          <w:sz w:val="20"/>
          <w:szCs w:val="20"/>
          <w:color w:val="auto"/>
        </w:rPr>
      </w:pPr>
    </w:p>
    <w:p>
      <w:pPr>
        <w:ind w:left="40" w:right="59" w:firstLine="241"/>
        <w:spacing w:after="0" w:line="249" w:lineRule="auto"/>
        <w:rPr>
          <w:sz w:val="20"/>
          <w:szCs w:val="20"/>
          <w:color w:val="auto"/>
        </w:rPr>
      </w:pPr>
      <w:r>
        <w:rPr>
          <w:rFonts w:ascii="Times New Roman" w:cs="Times New Roman" w:eastAsia="Times New Roman" w:hAnsi="Times New Roman"/>
          <w:sz w:val="17"/>
          <w:szCs w:val="17"/>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involve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combinations or investment transactions.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2" w:name="page13"/>
    <w:bookmarkEnd w:id="12"/>
    <w:p>
      <w:pPr>
        <w:ind w:left="40" w:right="259"/>
        <w:spacing w:after="0" w:line="261" w:lineRule="auto"/>
        <w:rPr>
          <w:sz w:val="20"/>
          <w:szCs w:val="20"/>
          <w:color w:val="auto"/>
        </w:rPr>
      </w:pPr>
      <w:r>
        <w:rPr>
          <w:rFonts w:ascii="Times New Roman" w:cs="Times New Roman" w:eastAsia="Times New Roman" w:hAnsi="Times New Roman"/>
          <w:sz w:val="17"/>
          <w:szCs w:val="17"/>
          <w:i w:val="1"/>
          <w:iCs w:val="1"/>
          <w:color w:val="auto"/>
        </w:rPr>
        <w:t>System security risks, data protection breaches, cyber-attacks and systems integration issues could disrupt our internal operations and services provided to customers, and any such disruption could damage our reputation and adversely affect our business, financial condition and results of operations.</w:t>
      </w:r>
    </w:p>
    <w:p>
      <w:pPr>
        <w:spacing w:after="0" w:line="169" w:lineRule="exact"/>
        <w:rPr>
          <w:sz w:val="20"/>
          <w:szCs w:val="20"/>
          <w:color w:val="auto"/>
        </w:rPr>
      </w:pPr>
    </w:p>
    <w:p>
      <w:pPr>
        <w:ind w:left="40" w:right="79" w:firstLine="361"/>
        <w:spacing w:after="0" w:line="248" w:lineRule="auto"/>
        <w:rPr>
          <w:sz w:val="20"/>
          <w:szCs w:val="20"/>
          <w:color w:val="auto"/>
        </w:rPr>
      </w:pPr>
      <w:r>
        <w:rPr>
          <w:rFonts w:ascii="Times New Roman" w:cs="Times New Roman" w:eastAsia="Times New Roman" w:hAnsi="Times New Roman"/>
          <w:sz w:val="17"/>
          <w:szCs w:val="17"/>
          <w:color w:val="auto"/>
        </w:rPr>
        <w:t>Our information technology networks could be compromised by cyber-attacks resulting in misappropriation of our confidential information or that of third parties, system disruptions or system shutdowns. For example, in 2019, certain of our computer systems were encrypted by ransomware, which prevented them from operating for a period of time. Attackers may be able to develop and deploy viruses, worms, and other malicious software programs that infiltrate our systems or otherwise exploit any security vulnerabilities. In addition, sophisticated hardware and operating system software and applications that we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We carry insurance, including cyber insurance, commensurate with our size and the nature of our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83" w:lineRule="exact"/>
        <w:rPr>
          <w:sz w:val="20"/>
          <w:szCs w:val="20"/>
          <w:color w:val="auto"/>
        </w:rPr>
      </w:pPr>
    </w:p>
    <w:p>
      <w:pPr>
        <w:ind w:left="40" w:right="79" w:firstLine="361"/>
        <w:spacing w:after="0" w:line="276" w:lineRule="auto"/>
        <w:rPr>
          <w:sz w:val="20"/>
          <w:szCs w:val="20"/>
          <w:color w:val="auto"/>
        </w:rPr>
      </w:pPr>
      <w:r>
        <w:rPr>
          <w:rFonts w:ascii="Times New Roman" w:cs="Times New Roman" w:eastAsia="Times New Roman" w:hAnsi="Times New Roman"/>
          <w:sz w:val="16"/>
          <w:szCs w:val="16"/>
          <w:color w:val="auto"/>
        </w:rPr>
        <w:t>Our information technology systems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time-consuming, disruptive and resource intensive. Such disruptions could adversely impact our ability to fulfill orders and interrupt other processes.</w:t>
      </w:r>
    </w:p>
    <w:p>
      <w:pPr>
        <w:spacing w:after="0" w:line="153" w:lineRule="exact"/>
        <w:rPr>
          <w:sz w:val="20"/>
          <w:szCs w:val="20"/>
          <w:color w:val="auto"/>
        </w:rPr>
      </w:pPr>
    </w:p>
    <w:p>
      <w:pPr>
        <w:ind w:left="40" w:right="159"/>
        <w:spacing w:after="0" w:line="277" w:lineRule="auto"/>
        <w:rPr>
          <w:sz w:val="20"/>
          <w:szCs w:val="20"/>
          <w:color w:val="auto"/>
        </w:rPr>
      </w:pPr>
      <w:r>
        <w:rPr>
          <w:rFonts w:ascii="Times New Roman" w:cs="Times New Roman" w:eastAsia="Times New Roman" w:hAnsi="Times New Roman"/>
          <w:sz w:val="17"/>
          <w:szCs w:val="17"/>
          <w:i w:val="1"/>
          <w:iCs w:val="1"/>
          <w:color w:val="auto"/>
        </w:rPr>
        <w:t>The loss of one or more of our largest customers, or a reduction in the level of purchases made by these customers, could negatively impact our sales and profits.</w:t>
      </w:r>
    </w:p>
    <w:p>
      <w:pPr>
        <w:spacing w:after="0" w:line="155" w:lineRule="exact"/>
        <w:rPr>
          <w:sz w:val="20"/>
          <w:szCs w:val="20"/>
          <w:color w:val="auto"/>
        </w:rPr>
      </w:pPr>
    </w:p>
    <w:p>
      <w:pPr>
        <w:ind w:left="40" w:right="59" w:firstLine="241"/>
        <w:spacing w:after="0" w:line="248" w:lineRule="auto"/>
        <w:rPr>
          <w:sz w:val="20"/>
          <w:szCs w:val="20"/>
          <w:color w:val="auto"/>
        </w:rPr>
      </w:pPr>
      <w:r>
        <w:rPr>
          <w:rFonts w:ascii="Times New Roman" w:cs="Times New Roman" w:eastAsia="Times New Roman" w:hAnsi="Times New Roman"/>
          <w:sz w:val="17"/>
          <w:szCs w:val="17"/>
          <w:color w:val="auto"/>
        </w:rPr>
        <w:t>Sales to Walmart, our largest customer, amounted to approximately 12% of our total net sales in 2024.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decrease, the impact may have a material adverse effect on our business, financial condition, and results of operations. Any bankruptcy or other business disruption involving one of our significant customers also could similarly adversely affect our business, financial condition, and results of operations.</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Changes in our business relationships with California and Mexican growers could significantly impact our avocado supply.</w:t>
      </w:r>
    </w:p>
    <w:p>
      <w:pPr>
        <w:spacing w:after="0" w:line="210" w:lineRule="exact"/>
        <w:rPr>
          <w:sz w:val="20"/>
          <w:szCs w:val="20"/>
          <w:color w:val="auto"/>
        </w:rPr>
      </w:pPr>
    </w:p>
    <w:p>
      <w:pPr>
        <w:ind w:left="40" w:right="159" w:firstLine="241"/>
        <w:spacing w:after="0" w:line="259" w:lineRule="auto"/>
        <w:rPr>
          <w:sz w:val="20"/>
          <w:szCs w:val="20"/>
          <w:color w:val="auto"/>
        </w:rPr>
      </w:pPr>
      <w:r>
        <w:rPr>
          <w:rFonts w:ascii="Times New Roman" w:cs="Times New Roman" w:eastAsia="Times New Roman" w:hAnsi="Times New Roman"/>
          <w:sz w:val="17"/>
          <w:szCs w:val="17"/>
          <w:color w:val="auto"/>
        </w:rPr>
        <w:t>We are dependent on our long-term relationships with independent growers in California and Mexico to obtain and maintain our supply of avocados in the United States. Deterioration of our relationships with our key growers could adversely affect our Grown business in the U.S., which could have an adverse effect on our business, financial condition and results of operations.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Holders of our common stock may not receive the level of dividends that we have paid in the past or any dividends at all.</w:t>
      </w:r>
    </w:p>
    <w:p>
      <w:pPr>
        <w:spacing w:after="0" w:line="310" w:lineRule="exact"/>
        <w:rPr>
          <w:sz w:val="20"/>
          <w:szCs w:val="20"/>
          <w:color w:val="auto"/>
        </w:rPr>
      </w:pPr>
    </w:p>
    <w:p>
      <w:pPr>
        <w:ind w:left="40" w:right="79" w:firstLine="361"/>
        <w:spacing w:after="0" w:line="259" w:lineRule="auto"/>
        <w:rPr>
          <w:sz w:val="20"/>
          <w:szCs w:val="20"/>
          <w:color w:val="auto"/>
        </w:rPr>
      </w:pPr>
      <w:r>
        <w:rPr>
          <w:rFonts w:ascii="Times New Roman" w:cs="Times New Roman" w:eastAsia="Times New Roman" w:hAnsi="Times New Roman"/>
          <w:sz w:val="17"/>
          <w:szCs w:val="17"/>
          <w:color w:val="auto"/>
        </w:rPr>
        <w:t>Dividend payments are not mandatory or guaranteed and holders of our common stock do not have any legal right to receive, or require us to pay, dividends. Our Board of Directors may, in its sole discretion, decrease the level of dividends relative to those paid in the past, including entirely discontinuing the payment of dividends. Future dividends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3" w:name="page14"/>
    <w:bookmarkEnd w:id="13"/>
    <w:p>
      <w:pPr>
        <w:ind w:left="40" w:right="199"/>
        <w:spacing w:after="0" w:line="255" w:lineRule="auto"/>
        <w:rPr>
          <w:sz w:val="20"/>
          <w:szCs w:val="20"/>
          <w:color w:val="auto"/>
        </w:rPr>
      </w:pPr>
      <w:r>
        <w:rPr>
          <w:rFonts w:ascii="Times New Roman" w:cs="Times New Roman" w:eastAsia="Times New Roman" w:hAnsi="Times New Roman"/>
          <w:sz w:val="17"/>
          <w:szCs w:val="17"/>
          <w:color w:val="auto"/>
        </w:rPr>
        <w:t>with respect to shares of our capital stock, if any, depend on, among other things, our results of operations, cash requirements, financial condition, contractual restrictions (including restrictions in our Credit Agreement), business opportunities, provisions of applicable law (including certain provisions of the California Corporations Code) and other factors that our Board of Directors may deem relevant.</w:t>
      </w:r>
    </w:p>
    <w:p>
      <w:pPr>
        <w:spacing w:after="0" w:line="168" w:lineRule="exact"/>
        <w:rPr>
          <w:sz w:val="20"/>
          <w:szCs w:val="20"/>
          <w:color w:val="auto"/>
        </w:rPr>
      </w:pPr>
    </w:p>
    <w:p>
      <w:pPr>
        <w:ind w:left="40" w:right="319"/>
        <w:spacing w:after="0" w:line="277" w:lineRule="auto"/>
        <w:rPr>
          <w:sz w:val="20"/>
          <w:szCs w:val="20"/>
          <w:color w:val="auto"/>
        </w:rPr>
      </w:pPr>
      <w:r>
        <w:rPr>
          <w:rFonts w:ascii="Times New Roman" w:cs="Times New Roman" w:eastAsia="Times New Roman" w:hAnsi="Times New Roman"/>
          <w:sz w:val="17"/>
          <w:szCs w:val="17"/>
          <w:i w:val="1"/>
          <w:iCs w:val="1"/>
          <w:color w:val="auto"/>
        </w:rPr>
        <w:t>We have in the past had and may in the future incur substantial indebtedness which could restrict our ability to pay dividends and would impact our financing options and liquidity position.</w:t>
      </w:r>
    </w:p>
    <w:p>
      <w:pPr>
        <w:spacing w:after="0" w:line="255" w:lineRule="exact"/>
        <w:rPr>
          <w:sz w:val="20"/>
          <w:szCs w:val="20"/>
          <w:color w:val="auto"/>
        </w:rPr>
      </w:pPr>
    </w:p>
    <w:p>
      <w:pPr>
        <w:ind w:left="40" w:right="359" w:firstLine="241"/>
        <w:spacing w:after="0" w:line="255" w:lineRule="auto"/>
        <w:rPr>
          <w:sz w:val="20"/>
          <w:szCs w:val="20"/>
          <w:color w:val="auto"/>
        </w:rPr>
      </w:pPr>
      <w:r>
        <w:rPr>
          <w:rFonts w:ascii="Times New Roman" w:cs="Times New Roman" w:eastAsia="Times New Roman" w:hAnsi="Times New Roman"/>
          <w:sz w:val="17"/>
          <w:szCs w:val="17"/>
          <w:color w:val="auto"/>
        </w:rPr>
        <w:t>Our ability to pay dividends is subject to restrictions contained in our Credit Agreement. Additionally, although our Credit Agreement contains covenants that restrict our ability to incur debt, as long as we meet these covenants, we will be able to incur additional indebtedness. The degree to which we are leveraged on a consolidated basis could have important consequences to the holders of our securities, including:</w:t>
      </w:r>
    </w:p>
    <w:p>
      <w:pPr>
        <w:spacing w:after="0" w:line="72" w:lineRule="exact"/>
        <w:rPr>
          <w:sz w:val="20"/>
          <w:szCs w:val="20"/>
          <w:color w:val="auto"/>
        </w:rPr>
      </w:pPr>
    </w:p>
    <w:p>
      <w:pPr>
        <w:ind w:left="780" w:right="379" w:hanging="253"/>
        <w:spacing w:after="0" w:line="264" w:lineRule="auto"/>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in the future to obtain additional financing for working capital, capital expenditures or acquisitions may be limited;</w:t>
      </w:r>
    </w:p>
    <w:p>
      <w:pPr>
        <w:ind w:left="780" w:hanging="25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refinance our indebtedness on terms acceptable to us or at all;</w:t>
      </w:r>
    </w:p>
    <w:p>
      <w:pPr>
        <w:spacing w:after="0" w:line="17" w:lineRule="exact"/>
        <w:rPr>
          <w:rFonts w:ascii="Times New Roman" w:cs="Times New Roman" w:eastAsia="Times New Roman" w:hAnsi="Times New Roman"/>
          <w:sz w:val="17"/>
          <w:szCs w:val="17"/>
          <w:color w:val="auto"/>
        </w:rPr>
      </w:pPr>
    </w:p>
    <w:p>
      <w:pPr>
        <w:ind w:left="780" w:right="219" w:hanging="253"/>
        <w:spacing w:after="0" w:line="278" w:lineRule="auto"/>
        <w:tabs>
          <w:tab w:leader="none" w:pos="7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significant portion of our cash flow may be dedicated to the payment of interest on our indebtedness, thereby reducing funds available for operations, capital expenditures, acquisitions and/or dividends on our common stock; and</w:t>
      </w:r>
    </w:p>
    <w:p>
      <w:pPr>
        <w:ind w:left="780" w:hanging="253"/>
        <w:spacing w:after="0"/>
        <w:tabs>
          <w:tab w:leader="none" w:pos="7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more vulnerable to economic downturns and be limited in our ability to withstand competitive pressures.</w:t>
      </w:r>
    </w:p>
    <w:p>
      <w:pPr>
        <w:spacing w:after="0" w:line="211" w:lineRule="exact"/>
        <w:rPr>
          <w:sz w:val="20"/>
          <w:szCs w:val="20"/>
          <w:color w:val="auto"/>
        </w:rPr>
      </w:pPr>
    </w:p>
    <w:p>
      <w:pPr>
        <w:jc w:val="both"/>
        <w:ind w:left="40" w:right="59"/>
        <w:spacing w:after="0" w:line="277" w:lineRule="auto"/>
        <w:rPr>
          <w:sz w:val="20"/>
          <w:szCs w:val="20"/>
          <w:color w:val="auto"/>
        </w:rPr>
      </w:pPr>
      <w:r>
        <w:rPr>
          <w:rFonts w:ascii="Times New Roman" w:cs="Times New Roman" w:eastAsia="Times New Roman" w:hAnsi="Times New Roman"/>
          <w:sz w:val="17"/>
          <w:szCs w:val="17"/>
          <w:i w:val="1"/>
          <w:iCs w:val="1"/>
          <w:color w:val="auto"/>
        </w:rPr>
        <w:t>Changing rules, public disclosure regulations and stakeholder expectations on environmental, social and corporate governance (“ESG”) related matters create a variety of risks for our business.</w:t>
      </w:r>
    </w:p>
    <w:p>
      <w:pPr>
        <w:spacing w:after="0" w:line="155" w:lineRule="exact"/>
        <w:rPr>
          <w:sz w:val="20"/>
          <w:szCs w:val="20"/>
          <w:color w:val="auto"/>
        </w:rPr>
      </w:pPr>
    </w:p>
    <w:p>
      <w:pPr>
        <w:jc w:val="both"/>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Increasingly, regulators, consumers, customers, investors, employees and other stakeholders are focusing on ESG matters and related disclosures. These changing rules, public disclosure regulations and stakeholder expectations have resulted in, and are likely to continue to result in, increased management time and attention spent complying with or meeting such regulations and expectations. For example, developing and acting on initiatives within the scope of ESG, and collecting, measuring and reporting ESG-related information and metrics can be costly, difficult and time consuming and is subject to evolving reporting standards, including the SEC’s proposed climate-related reporting requirements, and similar proposals by other international regulatory bodies. This rapidly changing environment may result in increased general and administrative expenses.</w:t>
      </w:r>
    </w:p>
    <w:p>
      <w:pPr>
        <w:spacing w:after="0" w:line="242" w:lineRule="exact"/>
        <w:rPr>
          <w:sz w:val="20"/>
          <w:szCs w:val="20"/>
          <w:color w:val="auto"/>
        </w:rPr>
      </w:pPr>
    </w:p>
    <w:p>
      <w:pPr>
        <w:jc w:val="both"/>
        <w:ind w:left="40" w:right="59" w:firstLine="276"/>
        <w:spacing w:after="0" w:line="250" w:lineRule="auto"/>
        <w:rPr>
          <w:sz w:val="20"/>
          <w:szCs w:val="20"/>
          <w:color w:val="auto"/>
        </w:rPr>
      </w:pPr>
      <w:r>
        <w:rPr>
          <w:rFonts w:ascii="Times New Roman" w:cs="Times New Roman" w:eastAsia="Times New Roman" w:hAnsi="Times New Roman"/>
          <w:sz w:val="17"/>
          <w:szCs w:val="17"/>
          <w:color w:val="auto"/>
        </w:rPr>
        <w:t>We may also communicate certain initiatives and goals regarding environmental, diversity and other ESG-related matters. These initiatives and goals could be difficult and expensive to implement, and we could be criticized for the accuracy, adequacy or completeness of the disclosure. Further,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results of operations and financial condition could be adversely impacted.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7"/>
          <w:szCs w:val="17"/>
          <w:b w:val="1"/>
          <w:bCs w:val="1"/>
          <w:color w:val="auto"/>
        </w:rPr>
        <w:t>Human Capital Risks</w:t>
      </w:r>
    </w:p>
    <w:p>
      <w:pPr>
        <w:spacing w:after="0" w:line="20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7"/>
          <w:szCs w:val="17"/>
          <w:i w:val="1"/>
          <w:iCs w:val="1"/>
          <w:color w:val="auto"/>
        </w:rPr>
        <w:t>We have recently transitioned new personnel into executive leadership positions and our future success will depend in part on our ability to manage this transition successfully. Management and key personnel changes may disrupt our operations, and we may have difficulty attracting and retaining qualified replacements.</w:t>
      </w:r>
    </w:p>
    <w:p>
      <w:pPr>
        <w:spacing w:after="0" w:line="169"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We have experienced changes in management and other key personnel in critical functions across our organization, including our chief financial officer and other members of our accounting department.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78" w:lineRule="exact"/>
        <w:rPr>
          <w:sz w:val="20"/>
          <w:szCs w:val="20"/>
          <w:color w:val="auto"/>
        </w:rPr>
      </w:pPr>
    </w:p>
    <w:p>
      <w:pPr>
        <w:ind w:left="40" w:right="99" w:firstLine="251"/>
        <w:spacing w:after="0" w:line="268" w:lineRule="auto"/>
        <w:rPr>
          <w:sz w:val="20"/>
          <w:szCs w:val="20"/>
          <w:color w:val="auto"/>
        </w:rPr>
      </w:pPr>
      <w:r>
        <w:rPr>
          <w:rFonts w:ascii="Times New Roman" w:cs="Times New Roman" w:eastAsia="Times New Roman" w:hAnsi="Times New Roman"/>
          <w:sz w:val="16"/>
          <w:szCs w:val="16"/>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retaining and compensating key talent for various reasons, including competitive market conditions, the effect of recent company performance on the achievement of performance compensation conditions, and the need to align the vision of a new executive team with our Board’s vision for our Company. We cannot assure you that we will be able to hire or retain the personnel necessary to achieve our strategic vision, that personnel we do recruit will be successful or that the loss of any such personnel will not have a material impact on our financial condition and results of operations.</w:t>
      </w:r>
    </w:p>
    <w:p>
      <w:pPr>
        <w:spacing w:after="0" w:line="167" w:lineRule="exact"/>
        <w:rPr>
          <w:sz w:val="20"/>
          <w:szCs w:val="20"/>
          <w:color w:val="auto"/>
        </w:rPr>
      </w:pPr>
    </w:p>
    <w:p>
      <w:pPr>
        <w:ind w:left="40" w:right="199" w:firstLine="251"/>
        <w:spacing w:after="0" w:line="255" w:lineRule="auto"/>
        <w:rPr>
          <w:sz w:val="20"/>
          <w:szCs w:val="20"/>
          <w:color w:val="auto"/>
        </w:rPr>
      </w:pPr>
      <w:r>
        <w:rPr>
          <w:rFonts w:ascii="Times New Roman" w:cs="Times New Roman" w:eastAsia="Times New Roman" w:hAnsi="Times New Roman"/>
          <w:sz w:val="17"/>
          <w:szCs w:val="17"/>
          <w:color w:val="auto"/>
        </w:rPr>
        <w:t>Replacing departing executives can involve organizational disruption and uncertainty. We have paid in the past, and we may in the future pay, significant severance to departed executives. If we fail to manage transitions successfully, we could experience significant delays or difficulty in the achievement of our development and strategic objectives and our business, financial condition and results of operations could be materially and adversely affected.</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 portion of our workforce is unionized and labor disruptions could decrease our profitability.</w:t>
      </w:r>
    </w:p>
    <w:p>
      <w:pPr>
        <w:spacing w:after="0" w:line="210"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We rely on co-packers for a portion of our production needs.</w:t>
      </w:r>
    </w:p>
    <w:p>
      <w:pPr>
        <w:spacing w:after="0" w:line="210" w:lineRule="exact"/>
        <w:rPr>
          <w:sz w:val="20"/>
          <w:szCs w:val="20"/>
          <w:color w:val="auto"/>
        </w:rPr>
      </w:pPr>
    </w:p>
    <w:p>
      <w:pPr>
        <w:ind w:left="40" w:right="79" w:firstLine="241"/>
        <w:spacing w:after="0" w:line="251" w:lineRule="auto"/>
        <w:rPr>
          <w:sz w:val="20"/>
          <w:szCs w:val="20"/>
          <w:color w:val="auto"/>
        </w:rPr>
      </w:pPr>
      <w:r>
        <w:rPr>
          <w:rFonts w:ascii="Times New Roman" w:cs="Times New Roman" w:eastAsia="Times New Roman" w:hAnsi="Times New Roman"/>
          <w:sz w:val="17"/>
          <w:szCs w:val="17"/>
          <w:color w:val="auto"/>
        </w:rPr>
        <w:t>We utilize high-quality co-packers to produce a portion of our retail and foodservice products. If we are unable to utilize quality co-packers effectively, we may not be able to meet our production needs for our expected growth. Similarly,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our co-packers are required to maintain insurance. We, however, remain subject to risks related to the production of fresh and prepared foods.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7"/>
          <w:szCs w:val="17"/>
          <w:b w:val="1"/>
          <w:bCs w:val="1"/>
          <w:color w:val="auto"/>
        </w:rPr>
        <w:t>Industry Risks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We are subject to increasing competition that may adversely affect our business, financial condition and results of operations.</w:t>
      </w:r>
    </w:p>
    <w:p>
      <w:pPr>
        <w:spacing w:after="0" w:line="210" w:lineRule="exact"/>
        <w:rPr>
          <w:sz w:val="20"/>
          <w:szCs w:val="20"/>
          <w:color w:val="auto"/>
        </w:rPr>
      </w:pPr>
    </w:p>
    <w:p>
      <w:pPr>
        <w:ind w:left="40" w:right="259" w:firstLine="241"/>
        <w:spacing w:after="0" w:line="272" w:lineRule="auto"/>
        <w:rPr>
          <w:sz w:val="20"/>
          <w:szCs w:val="20"/>
          <w:color w:val="auto"/>
        </w:rPr>
      </w:pPr>
      <w:r>
        <w:rPr>
          <w:rFonts w:ascii="Times New Roman" w:cs="Times New Roman" w:eastAsia="Times New Roman" w:hAnsi="Times New Roman"/>
          <w:sz w:val="17"/>
          <w:szCs w:val="17"/>
          <w:color w:val="auto"/>
        </w:rPr>
        <w:t>The fresh produce and prepared food markets in which we operate are highly competitive. Each of our businesses is subject to competitive pressures, including the following:</w:t>
      </w:r>
    </w:p>
    <w:p>
      <w:pPr>
        <w:spacing w:after="0" w:line="159" w:lineRule="exact"/>
        <w:rPr>
          <w:sz w:val="20"/>
          <w:szCs w:val="20"/>
          <w:color w:val="auto"/>
        </w:rPr>
      </w:pPr>
    </w:p>
    <w:p>
      <w:pPr>
        <w:ind w:left="600" w:right="59" w:hanging="299"/>
        <w:spacing w:after="0" w:line="249"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avocados is impacted by an increasing volume of foreign grown avocados being imported into the United States. There have been significant plantings of avocados in Mexico, Chile, the Dominican Republic, Peru, Colombia and other parts of the world, which have had, and will continue to have, the effect of increasing the volume of foreign grown avocados entering the United States market. Increased supply could put downward pressure on the market price for avocados and also lead to more marketing and distribution competitors if we are unable to process sufficient supply to maintain our market share.</w:t>
      </w:r>
    </w:p>
    <w:p>
      <w:pPr>
        <w:spacing w:after="0" w:line="3" w:lineRule="exact"/>
        <w:rPr>
          <w:rFonts w:ascii="Times New Roman" w:cs="Times New Roman" w:eastAsia="Times New Roman" w:hAnsi="Times New Roman"/>
          <w:sz w:val="17"/>
          <w:szCs w:val="17"/>
          <w:color w:val="auto"/>
        </w:rPr>
      </w:pPr>
    </w:p>
    <w:p>
      <w:pPr>
        <w:ind w:left="600" w:right="119" w:hanging="299"/>
        <w:spacing w:after="0" w:line="246"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competition from other avocado packers. If we are unable to consistently pay growers a competitive price for their avocados, these growers may choose to have their avocados marketed by alternate packers.</w:t>
      </w:r>
    </w:p>
    <w:p>
      <w:pPr>
        <w:ind w:left="600" w:right="99" w:hanging="299"/>
        <w:spacing w:after="0" w:line="248" w:lineRule="auto"/>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guacamole market we compete with a variety of global manufacturers and distributors. These competitors include both branded and non-branded producers. To compete globally, we must be able to source, sell, and distribute globally. The overall availability and quality of our avocado source from which we produce our guacamole products can have a meaningful impact on sales and profitability.</w:t>
      </w:r>
    </w:p>
    <w:p>
      <w:pPr>
        <w:spacing w:after="0" w:line="175" w:lineRule="exact"/>
        <w:rPr>
          <w:sz w:val="20"/>
          <w:szCs w:val="20"/>
          <w:color w:val="auto"/>
        </w:rPr>
      </w:pPr>
    </w:p>
    <w:p>
      <w:pPr>
        <w:ind w:left="40" w:right="219"/>
        <w:spacing w:after="0" w:line="277" w:lineRule="auto"/>
        <w:rPr>
          <w:sz w:val="20"/>
          <w:szCs w:val="20"/>
          <w:color w:val="auto"/>
        </w:rPr>
      </w:pPr>
      <w:r>
        <w:rPr>
          <w:rFonts w:ascii="Times New Roman" w:cs="Times New Roman" w:eastAsia="Times New Roman" w:hAnsi="Times New Roman"/>
          <w:sz w:val="17"/>
          <w:szCs w:val="17"/>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55" w:lineRule="exact"/>
        <w:rPr>
          <w:sz w:val="20"/>
          <w:szCs w:val="20"/>
          <w:color w:val="auto"/>
        </w:rPr>
      </w:pPr>
    </w:p>
    <w:p>
      <w:pPr>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Climate change may negatively affect our business and operations.</w:t>
      </w:r>
    </w:p>
    <w:p>
      <w:pPr>
        <w:spacing w:after="0" w:line="210" w:lineRule="exact"/>
        <w:rPr>
          <w:sz w:val="20"/>
          <w:szCs w:val="20"/>
          <w:color w:val="auto"/>
        </w:rPr>
      </w:pPr>
    </w:p>
    <w:p>
      <w:pPr>
        <w:ind w:left="40" w:right="579" w:firstLine="241"/>
        <w:spacing w:after="0" w:line="272" w:lineRule="auto"/>
        <w:rPr>
          <w:sz w:val="20"/>
          <w:szCs w:val="20"/>
          <w:color w:val="auto"/>
        </w:rPr>
      </w:pPr>
      <w:r>
        <w:rPr>
          <w:rFonts w:ascii="Times New Roman" w:cs="Times New Roman" w:eastAsia="Times New Roman" w:hAnsi="Times New Roman"/>
          <w:sz w:val="17"/>
          <w:szCs w:val="17"/>
          <w:color w:val="auto"/>
        </w:rPr>
        <w:t>There is concern that carbon dioxide and other greenhouse gases in the atmosphere may have an adverse impact on global temperatures, weather patterns and the frequency and severity of extreme weather and natural disasters.</w:t>
      </w:r>
    </w:p>
    <w:p>
      <w:pPr>
        <w:spacing w:after="0" w:line="159" w:lineRule="exact"/>
        <w:rPr>
          <w:sz w:val="20"/>
          <w:szCs w:val="20"/>
          <w:color w:val="auto"/>
        </w:rPr>
      </w:pPr>
    </w:p>
    <w:p>
      <w:pPr>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In the event that such climate change has a negative effect on agricultural productivity, we may be subject to decreased availability or less favorable pricing for certain commodities that are necessary for our products. As a result of climate change, we may also be subjected to decreased availability of water, deteriorated quality of water or less favorable pricing for water, which could adversely impact our manufacturing and distribution operations.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Demand for our products is subject to changing consumer preferences.</w:t>
      </w:r>
    </w:p>
    <w:p>
      <w:pPr>
        <w:spacing w:after="0" w:line="210" w:lineRule="exact"/>
        <w:rPr>
          <w:sz w:val="20"/>
          <w:szCs w:val="20"/>
          <w:color w:val="auto"/>
        </w:rPr>
      </w:pPr>
    </w:p>
    <w:p>
      <w:pPr>
        <w:ind w:left="40" w:right="219" w:firstLine="209"/>
        <w:spacing w:after="0" w:line="250" w:lineRule="auto"/>
        <w:rPr>
          <w:sz w:val="20"/>
          <w:szCs w:val="20"/>
          <w:color w:val="auto"/>
        </w:rPr>
      </w:pPr>
      <w:r>
        <w:rPr>
          <w:rFonts w:ascii="Times New Roman" w:cs="Times New Roman" w:eastAsia="Times New Roman" w:hAnsi="Times New Roman"/>
          <w:sz w:val="17"/>
          <w:szCs w:val="17"/>
          <w:color w:val="auto"/>
        </w:rPr>
        <w:t>Consumer preferences for food products are subject to fluctuations over time. Our ability to market and sell our products successfully depends in part on our ability to identify changing consumer preferences and respond to those changes by offering products that appeal broadly to consumers. Shifts in consumer preferences that can impact demand for our products can arise from various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 or state agencies involved in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6" w:name="page17"/>
    <w:bookmarkEnd w:id="16"/>
    <w:p>
      <w:pPr>
        <w:ind w:left="40" w:right="79"/>
        <w:spacing w:after="0" w:line="255" w:lineRule="auto"/>
        <w:rPr>
          <w:sz w:val="20"/>
          <w:szCs w:val="20"/>
          <w:color w:val="auto"/>
        </w:rPr>
      </w:pPr>
      <w:r>
        <w:rPr>
          <w:rFonts w:ascii="Times New Roman" w:cs="Times New Roman" w:eastAsia="Times New Roman" w:hAnsi="Times New Roman"/>
          <w:sz w:val="17"/>
          <w:szCs w:val="17"/>
          <w:color w:val="auto"/>
        </w:rPr>
        <w:t>monitoring food safety) may make regarding our products or similar products. Consumer demand for our products also may be impacted by changes in the level of advertising or promotional support employed by (i) us, (ii) our retail/foodservice customers, (iii) relevant industry groups, or (iv) third parties that provide competing products. If consumer preferences trend negatively with respect to any one or more of our products, our sales volumes may decline as a result.</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We rely on independent certifications for a number of our products.</w:t>
      </w:r>
    </w:p>
    <w:p>
      <w:pPr>
        <w:spacing w:after="0" w:line="210" w:lineRule="exact"/>
        <w:rPr>
          <w:sz w:val="20"/>
          <w:szCs w:val="20"/>
          <w:color w:val="auto"/>
        </w:rPr>
      </w:pPr>
    </w:p>
    <w:p>
      <w:pPr>
        <w:ind w:left="40" w:right="99" w:firstLine="209"/>
        <w:spacing w:after="0" w:line="268" w:lineRule="auto"/>
        <w:rPr>
          <w:sz w:val="20"/>
          <w:szCs w:val="20"/>
          <w:color w:val="auto"/>
        </w:rPr>
      </w:pPr>
      <w:r>
        <w:rPr>
          <w:rFonts w:ascii="Times New Roman" w:cs="Times New Roman" w:eastAsia="Times New Roman" w:hAnsi="Times New Roman"/>
          <w:sz w:val="16"/>
          <w:szCs w:val="16"/>
          <w:color w:val="auto"/>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as certified organic.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supervisory organization. The loss of any independent certifications could adversely affect our market position as an organic and natural products company, which could harm our business.</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Regulatory and Related Risks</w:t>
      </w:r>
    </w:p>
    <w:p>
      <w:pPr>
        <w:spacing w:after="0" w:line="206" w:lineRule="exact"/>
        <w:rPr>
          <w:sz w:val="20"/>
          <w:szCs w:val="20"/>
          <w:color w:val="auto"/>
        </w:rPr>
      </w:pPr>
    </w:p>
    <w:p>
      <w:pPr>
        <w:ind w:left="40" w:right="359"/>
        <w:spacing w:after="0" w:line="277" w:lineRule="auto"/>
        <w:rPr>
          <w:sz w:val="20"/>
          <w:szCs w:val="20"/>
          <w:color w:val="auto"/>
        </w:rPr>
      </w:pPr>
      <w:r>
        <w:rPr>
          <w:rFonts w:ascii="Times New Roman" w:cs="Times New Roman" w:eastAsia="Times New Roman" w:hAnsi="Times New Roman"/>
          <w:sz w:val="17"/>
          <w:szCs w:val="17"/>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55" w:lineRule="exact"/>
        <w:rPr>
          <w:sz w:val="20"/>
          <w:szCs w:val="20"/>
          <w:color w:val="auto"/>
        </w:rPr>
      </w:pPr>
    </w:p>
    <w:p>
      <w:pPr>
        <w:ind w:left="40" w:right="219" w:firstLine="241"/>
        <w:spacing w:after="0" w:line="250" w:lineRule="auto"/>
        <w:rPr>
          <w:sz w:val="20"/>
          <w:szCs w:val="20"/>
          <w:color w:val="auto"/>
        </w:rPr>
      </w:pPr>
      <w:r>
        <w:rPr>
          <w:rFonts w:ascii="Times New Roman" w:cs="Times New Roman" w:eastAsia="Times New Roman" w:hAnsi="Times New Roman"/>
          <w:sz w:val="17"/>
          <w:szCs w:val="17"/>
          <w:color w:val="auto"/>
        </w:rPr>
        <w:t>Climate change could increase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73" w:lineRule="exact"/>
        <w:rPr>
          <w:sz w:val="20"/>
          <w:szCs w:val="20"/>
          <w:color w:val="auto"/>
        </w:rPr>
      </w:pPr>
    </w:p>
    <w:p>
      <w:pPr>
        <w:ind w:left="40" w:right="399"/>
        <w:spacing w:after="0" w:line="277" w:lineRule="auto"/>
        <w:rPr>
          <w:sz w:val="20"/>
          <w:szCs w:val="20"/>
          <w:color w:val="auto"/>
        </w:rPr>
      </w:pPr>
      <w:r>
        <w:rPr>
          <w:rFonts w:ascii="Times New Roman" w:cs="Times New Roman" w:eastAsia="Times New Roman" w:hAnsi="Times New Roman"/>
          <w:sz w:val="17"/>
          <w:szCs w:val="17"/>
          <w:i w:val="1"/>
          <w:iCs w:val="1"/>
          <w:color w:val="auto"/>
        </w:rPr>
        <w:t>Increased legislative, regulatory and public scrutiny on ESG issues including potential litigation involving our ESG practices or disclosures may adversely affect our business, and results of operations.</w:t>
      </w:r>
    </w:p>
    <w:p>
      <w:pPr>
        <w:spacing w:after="0" w:line="155" w:lineRule="exact"/>
        <w:rPr>
          <w:sz w:val="20"/>
          <w:szCs w:val="20"/>
          <w:color w:val="auto"/>
        </w:rPr>
      </w:pPr>
    </w:p>
    <w:p>
      <w:pPr>
        <w:ind w:left="40" w:right="79" w:firstLine="238"/>
        <w:spacing w:after="0" w:line="265" w:lineRule="auto"/>
        <w:rPr>
          <w:sz w:val="20"/>
          <w:szCs w:val="20"/>
          <w:color w:val="auto"/>
        </w:rPr>
      </w:pPr>
      <w:r>
        <w:rPr>
          <w:rFonts w:ascii="Times New Roman" w:cs="Times New Roman" w:eastAsia="Times New Roman" w:hAnsi="Times New Roman"/>
          <w:sz w:val="16"/>
          <w:szCs w:val="16"/>
          <w:color w:val="auto"/>
        </w:rPr>
        <w:t>A number of companies have been subject to private litigation and governmental action involving a diverse set of claims ranging from allegedly false environmental compliance and “sustainability” disclosures, social issues such as modern slavery in supply chains, and governance issues involving corporate audits and reporting. Like many companies, we publish an annual sustainability report covering topics including energy and emissions, fair labor, and sustainable agriculture. While we believe the disclosures in our sustainability reports and elsewhere concerning ESG are accurate, we could still be subject to litigation involving ESG claims. Such litigation, even if without merit, could negatively impact our reputation, take management time and attention away from other company business, require changes in operations and/or adversely affect our business, financial condition and results of operations. In addition, the actions of growers and other industry partners on ESG matters could negatively impact our reputation or involve us in legal or regulatory proceedings concerning their conduct. Additionally, any perceived failures to operate in accordance with domestic and international laws and regulations could cause consumers to no longer associate our company and our brands with high quality and safety products, may adversely affect the value of our brands and the demand for our products.</w:t>
      </w:r>
    </w:p>
    <w:p>
      <w:pPr>
        <w:spacing w:after="0" w:line="169" w:lineRule="exact"/>
        <w:rPr>
          <w:sz w:val="20"/>
          <w:szCs w:val="20"/>
          <w:color w:val="auto"/>
        </w:rPr>
      </w:pPr>
    </w:p>
    <w:p>
      <w:pPr>
        <w:ind w:left="40" w:right="439"/>
        <w:spacing w:after="0" w:line="277" w:lineRule="auto"/>
        <w:rPr>
          <w:sz w:val="20"/>
          <w:szCs w:val="20"/>
          <w:color w:val="auto"/>
        </w:rPr>
      </w:pPr>
      <w:r>
        <w:rPr>
          <w:rFonts w:ascii="Times New Roman" w:cs="Times New Roman" w:eastAsia="Times New Roman" w:hAnsi="Times New Roman"/>
          <w:sz w:val="17"/>
          <w:szCs w:val="17"/>
          <w:i w:val="1"/>
          <w:iCs w:val="1"/>
          <w:color w:val="auto"/>
        </w:rPr>
        <w:t>Unanticipated changes in U.S. or international tax provisions, the adoption of new tax legislation, or exposure to additional tax liabilities could affect our business, results of operations and financial position.</w:t>
      </w:r>
    </w:p>
    <w:p>
      <w:pPr>
        <w:spacing w:after="0" w:line="155" w:lineRule="exact"/>
        <w:rPr>
          <w:sz w:val="20"/>
          <w:szCs w:val="20"/>
          <w:color w:val="auto"/>
        </w:rPr>
      </w:pPr>
    </w:p>
    <w:p>
      <w:pPr>
        <w:ind w:left="40" w:right="219" w:firstLine="241"/>
        <w:spacing w:after="0" w:line="272" w:lineRule="auto"/>
        <w:rPr>
          <w:sz w:val="20"/>
          <w:szCs w:val="20"/>
          <w:color w:val="auto"/>
        </w:rPr>
      </w:pPr>
      <w:r>
        <w:rPr>
          <w:rFonts w:ascii="Times New Roman" w:cs="Times New Roman" w:eastAsia="Times New Roman" w:hAnsi="Times New Roman"/>
          <w:sz w:val="17"/>
          <w:szCs w:val="17"/>
          <w:color w:val="auto"/>
        </w:rPr>
        <w:t>We are subject to taxes in the U.S. and Mexico. Due to economic and political conditions, tax rates in various jurisdictions may be subject to significant change. Our effective tax rates could be affected by changes in the mix of</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7" w:name="page18"/>
    <w:bookmarkEnd w:id="17"/>
    <w:p>
      <w:pPr>
        <w:ind w:left="40" w:right="79"/>
        <w:spacing w:after="0" w:line="272" w:lineRule="auto"/>
        <w:rPr>
          <w:sz w:val="20"/>
          <w:szCs w:val="20"/>
          <w:color w:val="auto"/>
        </w:rPr>
      </w:pPr>
      <w:r>
        <w:rPr>
          <w:rFonts w:ascii="Times New Roman" w:cs="Times New Roman" w:eastAsia="Times New Roman" w:hAnsi="Times New Roman"/>
          <w:sz w:val="17"/>
          <w:szCs w:val="17"/>
          <w:color w:val="auto"/>
        </w:rPr>
        <w:t>earnings in countries with differing statutory tax rates, changes in the valuation of deferred tax assets and liabilities, or changes in tax laws or their interpretation.</w:t>
      </w:r>
    </w:p>
    <w:p>
      <w:pPr>
        <w:spacing w:after="0" w:line="159" w:lineRule="exact"/>
        <w:rPr>
          <w:sz w:val="20"/>
          <w:szCs w:val="20"/>
          <w:color w:val="auto"/>
        </w:rPr>
      </w:pPr>
    </w:p>
    <w:p>
      <w:pPr>
        <w:ind w:left="40" w:right="79" w:firstLine="241"/>
        <w:spacing w:after="0" w:line="250" w:lineRule="auto"/>
        <w:rPr>
          <w:sz w:val="20"/>
          <w:szCs w:val="20"/>
          <w:color w:val="auto"/>
        </w:rPr>
      </w:pPr>
      <w:r>
        <w:rPr>
          <w:rFonts w:ascii="Times New Roman" w:cs="Times New Roman" w:eastAsia="Times New Roman" w:hAnsi="Times New Roman"/>
          <w:sz w:val="17"/>
          <w:szCs w:val="17"/>
          <w:color w:val="auto"/>
        </w:rPr>
        <w:t>We are also subject to the examination of our tax returns and other tax matters by the U.S. Internal Revenue Service,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138" w:lineRule="exact"/>
        <w:rPr>
          <w:sz w:val="20"/>
          <w:szCs w:val="20"/>
          <w:color w:val="auto"/>
        </w:rPr>
      </w:pPr>
    </w:p>
    <w:p>
      <w:pPr>
        <w:ind w:left="40" w:right="339"/>
        <w:spacing w:after="0" w:line="277" w:lineRule="auto"/>
        <w:rPr>
          <w:sz w:val="20"/>
          <w:szCs w:val="20"/>
          <w:color w:val="auto"/>
        </w:rPr>
      </w:pPr>
      <w:r>
        <w:rPr>
          <w:rFonts w:ascii="Times New Roman" w:cs="Times New Roman" w:eastAsia="Times New Roman" w:hAnsi="Times New Roman"/>
          <w:sz w:val="17"/>
          <w:szCs w:val="17"/>
          <w:i w:val="1"/>
          <w:iCs w:val="1"/>
          <w:color w:val="auto"/>
        </w:rPr>
        <w:t>Our dispute with Mexican tax authorities related to the 2013 Tax Assessment may have a material adverse effect on our results of operations and financial position.</w:t>
      </w:r>
    </w:p>
    <w:p>
      <w:pPr>
        <w:spacing w:after="0" w:line="155" w:lineRule="exact"/>
        <w:rPr>
          <w:sz w:val="20"/>
          <w:szCs w:val="20"/>
          <w:color w:val="auto"/>
        </w:rPr>
      </w:pPr>
    </w:p>
    <w:p>
      <w:pPr>
        <w:ind w:left="40" w:right="139" w:firstLine="241"/>
        <w:spacing w:after="0" w:line="272" w:lineRule="auto"/>
        <w:rPr>
          <w:sz w:val="20"/>
          <w:szCs w:val="20"/>
          <w:color w:val="auto"/>
        </w:rPr>
      </w:pPr>
      <w:r>
        <w:rPr>
          <w:rFonts w:ascii="Times New Roman" w:cs="Times New Roman" w:eastAsia="Times New Roman" w:hAnsi="Times New Roman"/>
          <w:sz w:val="16"/>
          <w:szCs w:val="16"/>
          <w:color w:val="auto"/>
        </w:rPr>
        <w:t>In July 2018, a local office of the SAT issued a final tax assessment (the “2013 Assessment”) totaling approximately $2.6 billion Mexican pesos (which includes annual adjustments for inflation, and equals approx. $128.9 million USD at October 31, 2024) related to a fiscal 2013 tax audit. This amount has been adjusted for inflation as of October 31, 2024 to the amount of $3 billion Mexican pesos (approx. $148.8 million USD). Additionally, the tax authorities have determined that we owe our employees profit-sharing liability, totaling approximately $118 million Mexican pesos (approx. $5.9 million USD at October 31, 2024).</w:t>
      </w:r>
    </w:p>
    <w:p>
      <w:pPr>
        <w:spacing w:after="0" w:line="161" w:lineRule="exact"/>
        <w:rPr>
          <w:sz w:val="20"/>
          <w:szCs w:val="20"/>
          <w:color w:val="auto"/>
        </w:rPr>
      </w:pPr>
    </w:p>
    <w:p>
      <w:pPr>
        <w:ind w:left="40" w:right="219" w:firstLine="241"/>
        <w:spacing w:after="0" w:line="255" w:lineRule="auto"/>
        <w:rPr>
          <w:sz w:val="20"/>
          <w:szCs w:val="20"/>
          <w:color w:val="auto"/>
        </w:rPr>
      </w:pPr>
      <w:r>
        <w:rPr>
          <w:rFonts w:ascii="Times New Roman" w:cs="Times New Roman" w:eastAsia="Times New Roman" w:hAnsi="Times New Roman"/>
          <w:sz w:val="17"/>
          <w:szCs w:val="17"/>
          <w:color w:val="auto"/>
        </w:rPr>
        <w:t>We filed an Administrative Appeal in August 2018, which was denied in March 2021, and liens were placed on CDM’s fixed assets and bank accounts. Court rulings later removed the liens and restored access to funds. Subsequent legal actions, including an Annulment Suit and Injunction Suit, challenged the SAT's findings and process. While courts have ruled favorably on some procedural matters, the core tax assessment remains unresolved, and litigation is ongoing.</w:t>
      </w:r>
    </w:p>
    <w:p>
      <w:pPr>
        <w:spacing w:after="0" w:line="172" w:lineRule="exact"/>
        <w:rPr>
          <w:sz w:val="20"/>
          <w:szCs w:val="20"/>
          <w:color w:val="auto"/>
        </w:rPr>
      </w:pPr>
    </w:p>
    <w:p>
      <w:pPr>
        <w:ind w:left="40" w:right="79"/>
        <w:spacing w:after="0" w:line="251" w:lineRule="auto"/>
        <w:rPr>
          <w:sz w:val="20"/>
          <w:szCs w:val="20"/>
          <w:color w:val="auto"/>
        </w:rPr>
      </w:pPr>
      <w:r>
        <w:rPr>
          <w:rFonts w:ascii="Times New Roman" w:cs="Times New Roman" w:eastAsia="Times New Roman" w:hAnsi="Times New Roman"/>
          <w:sz w:val="17"/>
          <w:szCs w:val="17"/>
          <w:color w:val="auto"/>
        </w:rPr>
        <w:t>In March 2022, we secured an Administrative Guaranty to safeguard CDM assets during the ongoing legal proceedings. In October 2022, the Tax Court ruled in favor of CDM, granting a definitive suspension of all collection actions, instructing the SAT to lift all liens on CDM's fixed assets and bank accounts, and acknowledging that the $3.1 billion pesos assessment exceeds CDM's economic capacity. While we continue to believe the assessment is without merit, we recorded a provision of $11.0 million in fiscal 2021 to account for estimated penalties, interest, and inflationary adjustments. Based on legal counsel from our tax advisory firm, we and our tax advisory firm have concluded that the provision remains reasonable as of October 31, 2024.</w:t>
      </w:r>
    </w:p>
    <w:p>
      <w:pPr>
        <w:spacing w:after="0" w:line="178" w:lineRule="exact"/>
        <w:rPr>
          <w:sz w:val="20"/>
          <w:szCs w:val="20"/>
          <w:color w:val="auto"/>
        </w:rPr>
      </w:pPr>
    </w:p>
    <w:p>
      <w:pPr>
        <w:ind w:left="40" w:right="199" w:firstLine="241"/>
        <w:spacing w:after="0" w:line="272" w:lineRule="auto"/>
        <w:rPr>
          <w:sz w:val="20"/>
          <w:szCs w:val="20"/>
          <w:color w:val="auto"/>
        </w:rPr>
      </w:pPr>
      <w:r>
        <w:rPr>
          <w:rFonts w:ascii="Times New Roman" w:cs="Times New Roman" w:eastAsia="Times New Roman" w:hAnsi="Times New Roman"/>
          <w:sz w:val="17"/>
          <w:szCs w:val="17"/>
          <w:color w:val="auto"/>
        </w:rPr>
        <w:t>Despite our belief that we will prevail, there is no assurance of a favorable outcome or acceptable settlement terms. An adverse result could materially impact our financial condition and potentially trigger defaults under our credit facility.</w:t>
      </w:r>
    </w:p>
    <w:p>
      <w:pPr>
        <w:spacing w:after="0" w:line="155" w:lineRule="exact"/>
        <w:rPr>
          <w:sz w:val="20"/>
          <w:szCs w:val="20"/>
          <w:color w:val="auto"/>
        </w:rPr>
      </w:pPr>
    </w:p>
    <w:p>
      <w:pPr>
        <w:ind w:left="40" w:right="679"/>
        <w:spacing w:after="0" w:line="277" w:lineRule="auto"/>
        <w:rPr>
          <w:sz w:val="20"/>
          <w:szCs w:val="20"/>
          <w:color w:val="auto"/>
        </w:rPr>
      </w:pPr>
      <w:r>
        <w:rPr>
          <w:rFonts w:ascii="Times New Roman" w:cs="Times New Roman" w:eastAsia="Times New Roman" w:hAnsi="Times New Roman"/>
          <w:sz w:val="17"/>
          <w:szCs w:val="17"/>
          <w:i w:val="1"/>
          <w:iCs w:val="1"/>
          <w:color w:val="auto"/>
        </w:rPr>
        <w:t>Our dispute with the Mexican tax authorities related to taxes receivable may have a material adverse effect on our results of operations and financial position.</w:t>
      </w:r>
    </w:p>
    <w:p>
      <w:pPr>
        <w:spacing w:after="0" w:line="155" w:lineRule="exact"/>
        <w:rPr>
          <w:sz w:val="20"/>
          <w:szCs w:val="20"/>
          <w:color w:val="auto"/>
        </w:rPr>
      </w:pPr>
    </w:p>
    <w:p>
      <w:pPr>
        <w:jc w:val="both"/>
        <w:ind w:left="40" w:right="59" w:firstLine="241"/>
        <w:spacing w:after="0" w:line="251" w:lineRule="auto"/>
        <w:rPr>
          <w:sz w:val="20"/>
          <w:szCs w:val="20"/>
          <w:color w:val="auto"/>
        </w:rPr>
      </w:pPr>
      <w:r>
        <w:rPr>
          <w:rFonts w:ascii="Times New Roman" w:cs="Times New Roman" w:eastAsia="Times New Roman" w:hAnsi="Times New Roman"/>
          <w:sz w:val="17"/>
          <w:szCs w:val="17"/>
          <w:color w:val="auto"/>
        </w:rPr>
        <w:t>As of October 31, 2024, and October 31, 2023, CDM's IVA receivables, net of our estimated provision for uncollectable amounts, totaled $48.7 million (976.0 million Mexican pesos) and $49.9 million (913.6 million Mexican pesos). Historically, CDM received IVA refunds from the Mexican tax authorities in a timely manner. However, since fiscal 2014 and continuing into fiscal 2024, the tax authorities have challenged refund requests and supporting documentation that were previously deemed acceptable. They have also questioned refunds related to IVA paid to certain suppliers alleged to have failed to meet their own tax obligations. These factors, among others, have contributed to delays in processing IVA claims.</w:t>
      </w:r>
    </w:p>
    <w:p>
      <w:pPr>
        <w:spacing w:after="0" w:line="178" w:lineRule="exact"/>
        <w:rPr>
          <w:sz w:val="20"/>
          <w:szCs w:val="20"/>
          <w:color w:val="auto"/>
        </w:rPr>
      </w:pPr>
    </w:p>
    <w:p>
      <w:pPr>
        <w:jc w:val="both"/>
        <w:ind w:left="40" w:right="59" w:firstLine="241"/>
        <w:spacing w:after="0" w:line="304" w:lineRule="auto"/>
        <w:rPr>
          <w:sz w:val="20"/>
          <w:szCs w:val="20"/>
          <w:color w:val="auto"/>
        </w:rPr>
      </w:pPr>
      <w:r>
        <w:rPr>
          <w:rFonts w:ascii="Times New Roman" w:cs="Times New Roman" w:eastAsia="Times New Roman" w:hAnsi="Times New Roman"/>
          <w:sz w:val="16"/>
          <w:szCs w:val="16"/>
          <w:color w:val="auto"/>
        </w:rPr>
        <w:t>We are actively pursuing the collection of these balances through regular administrative processes, but recovery may ultimately require Administrative Appeals or other legal actions. For additional details, see Note 14 in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8" w:name="page19"/>
    <w:bookmarkEnd w:id="18"/>
    <w:p>
      <w:pPr>
        <w:jc w:val="both"/>
        <w:ind w:left="40" w:right="59" w:firstLine="241"/>
        <w:spacing w:after="0" w:line="283" w:lineRule="auto"/>
        <w:rPr>
          <w:sz w:val="20"/>
          <w:szCs w:val="20"/>
          <w:color w:val="auto"/>
        </w:rPr>
      </w:pPr>
      <w:r>
        <w:rPr>
          <w:rFonts w:ascii="Times New Roman" w:cs="Times New Roman" w:eastAsia="Times New Roman" w:hAnsi="Times New Roman"/>
          <w:sz w:val="16"/>
          <w:szCs w:val="16"/>
          <w:color w:val="auto"/>
        </w:rPr>
        <w:t>We believe our operations in Mexico are properly documented, and our internationally recognized tax advisors support our position that there are legal grounds to prevail in recovering the IVA amounts. Accordingly, we have recorded no provision related to these refunds. However, there is no assurance that we will be able to collect the full amounts recorded in our financial statements.</w:t>
      </w:r>
    </w:p>
    <w:p>
      <w:pPr>
        <w:spacing w:after="0" w:line="148" w:lineRule="exact"/>
        <w:rPr>
          <w:sz w:val="20"/>
          <w:szCs w:val="20"/>
          <w:color w:val="auto"/>
        </w:rPr>
      </w:pPr>
    </w:p>
    <w:p>
      <w:pPr>
        <w:ind w:left="40" w:right="219"/>
        <w:spacing w:after="0" w:line="277" w:lineRule="auto"/>
        <w:rPr>
          <w:sz w:val="20"/>
          <w:szCs w:val="20"/>
          <w:color w:val="auto"/>
        </w:rPr>
      </w:pPr>
      <w:r>
        <w:rPr>
          <w:rFonts w:ascii="Times New Roman" w:cs="Times New Roman" w:eastAsia="Times New Roman" w:hAnsi="Times New Roman"/>
          <w:sz w:val="17"/>
          <w:szCs w:val="17"/>
          <w:i w:val="1"/>
          <w:iCs w:val="1"/>
          <w:color w:val="auto"/>
        </w:rPr>
        <w:t>We are subject to possible changing USDA and FDA regulations which govern the importation of foreign avocados into the United States and the processing of prepared avocado products.</w:t>
      </w:r>
    </w:p>
    <w:p>
      <w:pPr>
        <w:spacing w:after="0" w:line="155"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72"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The FDA establishes, and continues to modify, regulations governing the production of prepared avocado products, such as the new Food Safety Modernization Act, which implements mandatory preventive controls for food facilities and compliance with mandatory produce safety standards. Our results of operations may be adversely affected if we are unable to comply with these existing and modified regulations. Such failures could also cause reputational damage to our business.</w:t>
      </w:r>
    </w:p>
    <w:p>
      <w:pPr>
        <w:spacing w:after="0" w:line="168" w:lineRule="exact"/>
        <w:rPr>
          <w:sz w:val="20"/>
          <w:szCs w:val="20"/>
          <w:color w:val="auto"/>
        </w:rPr>
      </w:pPr>
    </w:p>
    <w:p>
      <w:pPr>
        <w:ind w:left="40" w:right="259"/>
        <w:spacing w:after="0" w:line="261" w:lineRule="auto"/>
        <w:rPr>
          <w:sz w:val="20"/>
          <w:szCs w:val="20"/>
          <w:color w:val="auto"/>
        </w:rPr>
      </w:pPr>
      <w:r>
        <w:rPr>
          <w:rFonts w:ascii="Times New Roman" w:cs="Times New Roman" w:eastAsia="Times New Roman" w:hAnsi="Times New Roman"/>
          <w:sz w:val="17"/>
          <w:szCs w:val="17"/>
          <w:i w:val="1"/>
          <w:iCs w:val="1"/>
          <w:color w:val="auto"/>
        </w:rPr>
        <w:t>If we fail to comply with the Foreign Corrupt Practices Act or other similar legal requirements, we may be subject to criminal and civil penalties and other remedial measures, which could have a material adverse effect on our reputation, business, results of operations or financial condition.</w:t>
      </w:r>
    </w:p>
    <w:p>
      <w:pPr>
        <w:spacing w:after="0" w:line="169"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We are subject to the United States Foreign Corrupt Practices Act (“FCPA”), and other anti-corruption laws and regulations that generally prohibit companies and their intermediaries from making improper payments to government officials and/or other persons for the purpose of obtaining or retaining business. Our policies mandate compliance with these anti-bribery laws. We operate in Mexico, which is recognized as having a greater potential for governmental and commercial corruption.</w:t>
      </w:r>
    </w:p>
    <w:p>
      <w:pPr>
        <w:spacing w:after="0" w:line="172" w:lineRule="exact"/>
        <w:rPr>
          <w:sz w:val="20"/>
          <w:szCs w:val="20"/>
          <w:color w:val="auto"/>
        </w:rPr>
      </w:pPr>
    </w:p>
    <w:p>
      <w:pPr>
        <w:ind w:left="40" w:right="119" w:firstLine="241"/>
        <w:spacing w:after="0" w:line="255" w:lineRule="auto"/>
        <w:rPr>
          <w:sz w:val="20"/>
          <w:szCs w:val="20"/>
          <w:color w:val="auto"/>
        </w:rPr>
      </w:pPr>
      <w:r>
        <w:rPr>
          <w:rFonts w:ascii="Times New Roman" w:cs="Times New Roman" w:eastAsia="Times New Roman" w:hAnsi="Times New Roman"/>
          <w:sz w:val="17"/>
          <w:szCs w:val="17"/>
          <w:color w:val="auto"/>
        </w:rPr>
        <w:t>Recent years have seen a substantial increase in anti-bribery law enforcement activity by U.S. regulators, with more frequent and aggressive investigations and enforcement proceedings by both the SEC and the Department of Justice ("DOJ"), increased enforcement activity by non-U.S. regulators, and increases in criminal and civil proceedings brought against companies and individuals.</w:t>
      </w:r>
    </w:p>
    <w:p>
      <w:pPr>
        <w:spacing w:after="0" w:line="172" w:lineRule="exact"/>
        <w:rPr>
          <w:sz w:val="20"/>
          <w:szCs w:val="20"/>
          <w:color w:val="auto"/>
        </w:rPr>
      </w:pPr>
    </w:p>
    <w:p>
      <w:pPr>
        <w:ind w:left="40" w:right="39" w:firstLine="241"/>
        <w:spacing w:after="0" w:line="250" w:lineRule="auto"/>
        <w:rPr>
          <w:sz w:val="20"/>
          <w:szCs w:val="20"/>
          <w:color w:val="auto"/>
        </w:rPr>
      </w:pPr>
      <w:r>
        <w:rPr>
          <w:rFonts w:ascii="Times New Roman" w:cs="Times New Roman" w:eastAsia="Times New Roman" w:hAnsi="Times New Roman"/>
          <w:sz w:val="17"/>
          <w:szCs w:val="17"/>
          <w:color w:val="auto"/>
        </w:rPr>
        <w:t>On January 16, 2024, the Company announced that its internal audit process had identified to the Audit Committee of the Board of Directors certain matters that the Board of Directors determined after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FCPA. The Company voluntarily disclosed this ongoing investigation to the SEC and the DOJ, and the Company intends to fully cooperate with the SEC and the DOJ in connection with these matters.</w:t>
      </w:r>
    </w:p>
    <w:p>
      <w:pPr>
        <w:spacing w:after="0" w:line="180" w:lineRule="exact"/>
        <w:rPr>
          <w:sz w:val="20"/>
          <w:szCs w:val="20"/>
          <w:color w:val="auto"/>
        </w:rPr>
      </w:pPr>
    </w:p>
    <w:p>
      <w:pPr>
        <w:ind w:left="40" w:right="159" w:firstLine="241"/>
        <w:spacing w:after="0" w:line="265" w:lineRule="auto"/>
        <w:rPr>
          <w:sz w:val="20"/>
          <w:szCs w:val="20"/>
          <w:color w:val="auto"/>
        </w:rPr>
      </w:pPr>
      <w:r>
        <w:rPr>
          <w:rFonts w:ascii="Times New Roman" w:cs="Times New Roman" w:eastAsia="Times New Roman" w:hAnsi="Times New Roman"/>
          <w:sz w:val="16"/>
          <w:szCs w:val="16"/>
          <w:color w:val="auto"/>
        </w:rPr>
        <w:t>Any determination that the Company’s operations or activities are not or were not in compliance with laws, including the FCPA, could result in a broad range of civil and criminal sanctions against the Company and certain of its personnel, including injunctive relief, disgorgement, substantial fines or penalties, imprisonment,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 Violations of these laws may result in criminal or civil sanctions, which could disrupt our business and result in a material adverse effect on our reputation, business, results of operations or financial condition. Moreover, our ongoing internal investigation, and cooperating with and responding to the SEC and the DOJ in connection with potential investigations they may undertake, as well as responding to any future U.S. or foreign governmental investigations or whistleblower lawsuits, have resulted in, and may continue to result in, substantial expenses, and have diverted and may continue to divert management’s attention from other business concerns, and could have a material adverse effect on our business and financial condition and growth prospects.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7"/>
          <w:szCs w:val="17"/>
          <w:b w:val="1"/>
          <w:bCs w:val="1"/>
          <w:color w:val="auto"/>
        </w:rPr>
        <w:t>International Risks</w:t>
      </w:r>
    </w:p>
    <w:p>
      <w:pPr>
        <w:spacing w:after="0" w:line="206" w:lineRule="exact"/>
        <w:rPr>
          <w:sz w:val="20"/>
          <w:szCs w:val="20"/>
          <w:color w:val="auto"/>
        </w:rPr>
      </w:pPr>
    </w:p>
    <w:p>
      <w:pPr>
        <w:ind w:left="40" w:right="59"/>
        <w:spacing w:after="0" w:line="277" w:lineRule="auto"/>
        <w:rPr>
          <w:sz w:val="20"/>
          <w:szCs w:val="20"/>
          <w:color w:val="auto"/>
        </w:rPr>
      </w:pPr>
      <w:r>
        <w:rPr>
          <w:rFonts w:ascii="Times New Roman" w:cs="Times New Roman" w:eastAsia="Times New Roman" w:hAnsi="Times New Roman"/>
          <w:sz w:val="17"/>
          <w:szCs w:val="17"/>
          <w:i w:val="1"/>
          <w:iCs w:val="1"/>
          <w:color w:val="auto"/>
        </w:rPr>
        <w:t>We work with international third-party suppliers and partners, and our financial results could suffer due to unfavorable international events or regulations.</w:t>
      </w:r>
    </w:p>
    <w:p>
      <w:pPr>
        <w:spacing w:after="0" w:line="155" w:lineRule="exact"/>
        <w:rPr>
          <w:sz w:val="20"/>
          <w:szCs w:val="20"/>
          <w:color w:val="auto"/>
        </w:rPr>
      </w:pPr>
    </w:p>
    <w:p>
      <w:pPr>
        <w:ind w:left="40" w:right="79" w:firstLine="251"/>
        <w:spacing w:after="0" w:line="249" w:lineRule="auto"/>
        <w:rPr>
          <w:sz w:val="20"/>
          <w:szCs w:val="20"/>
          <w:color w:val="auto"/>
        </w:rPr>
      </w:pPr>
      <w:r>
        <w:rPr>
          <w:rFonts w:ascii="Times New Roman" w:cs="Times New Roman" w:eastAsia="Times New Roman" w:hAnsi="Times New Roman"/>
          <w:sz w:val="17"/>
          <w:szCs w:val="17"/>
          <w:color w:val="auto"/>
        </w:rPr>
        <w:t>We conduct a substantial amount of business with growers and customers who are located outside the United States. We purchase avocados from foreign growers and packers, sell fresh avocados and prepared avocado products to foreign customers, and operate packinghouses and a processing plant in Mexico. Mexico is the largest source of our supply of avocados, and our operations are affected by events in that country. In recent years, there has been an increase in organized crime in Mexico, which could in the future affect avocado farming, packing and shipment activities and increase the costs and risks of doing business in Mexico. We are also subject to regulations imposed by the Mexican government and to examinations by the Mexican tax authorities. Significant changes to these government regulations and to assessments by the Mexican tax authorities can have a negative impact on our operations and operating results in Mexico. Importing avocados from Mexico to the U.S. depends on our border remaining open, which has closed for trading in the past.</w:t>
      </w:r>
    </w:p>
    <w:p>
      <w:pPr>
        <w:spacing w:after="0" w:line="181" w:lineRule="exact"/>
        <w:rPr>
          <w:sz w:val="20"/>
          <w:szCs w:val="20"/>
          <w:color w:val="auto"/>
        </w:rPr>
      </w:pPr>
    </w:p>
    <w:p>
      <w:pPr>
        <w:ind w:left="40" w:right="79" w:firstLine="251"/>
        <w:spacing w:after="0" w:line="252" w:lineRule="auto"/>
        <w:rPr>
          <w:sz w:val="20"/>
          <w:szCs w:val="20"/>
          <w:color w:val="auto"/>
        </w:rPr>
      </w:pPr>
      <w:r>
        <w:rPr>
          <w:rFonts w:ascii="Times New Roman" w:cs="Times New Roman" w:eastAsia="Times New Roman" w:hAnsi="Times New Roman"/>
          <w:sz w:val="17"/>
          <w:szCs w:val="17"/>
          <w:color w:val="auto"/>
        </w:rPr>
        <w:t>In November 2022, the Mexican Secretary of Labor and Social Welfare issued criteria for subcontracting inspections noting that companies engaged in farming, packing, distribution, and export of fruit would have to internalize picking and hauling services. In response to that criteria and subsequent fines, we are appealing the applicability of the criteria to our operations in Mexico, as well as disputing the notification received. An adverse result of this appeal could have an adverse effect on our operations in Mexico, which rely to some extent on external picking and hauling services.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additional information about our Mexican sourced fruit, see the “Business” section included in this Annual Report.</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Our current international operations are subject to various inherent risks, including:</w:t>
      </w:r>
    </w:p>
    <w:p>
      <w:pPr>
        <w:spacing w:after="0" w:line="206" w:lineRule="exact"/>
        <w:rPr>
          <w:sz w:val="20"/>
          <w:szCs w:val="20"/>
          <w:color w:val="auto"/>
        </w:rPr>
      </w:pPr>
    </w:p>
    <w:p>
      <w:pPr>
        <w:ind w:left="600" w:right="339" w:hanging="299"/>
        <w:spacing w:after="0" w:line="25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economic and political conditions, including disruptions in supply, labor, transportation (the transport of consumer goods), trading and capital markets;</w:t>
      </w:r>
    </w:p>
    <w:p>
      <w:pPr>
        <w:ind w:left="600" w:right="219" w:hanging="299"/>
        <w:spacing w:after="0" w:line="246"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Restrictive U.S. and foreign governmental actions, such as restrictions on transfers of funds and trade protection measures, including import/export duties and quotas and customs duties and tariffs; and</w:t>
      </w:r>
    </w:p>
    <w:p>
      <w:pPr>
        <w:ind w:left="600" w:right="619" w:hanging="299"/>
        <w:spacing w:after="0" w:line="239"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Changes in legal or regulatory requirements affecting foreign investment, loans, taxes (including value-added taxes), imports, and exports.</w:t>
      </w:r>
    </w:p>
    <w:p>
      <w:pPr>
        <w:spacing w:after="0" w:line="181" w:lineRule="exact"/>
        <w:rPr>
          <w:sz w:val="20"/>
          <w:szCs w:val="20"/>
          <w:color w:val="auto"/>
        </w:rPr>
      </w:pPr>
    </w:p>
    <w:p>
      <w:pPr>
        <w:ind w:left="40" w:right="139"/>
        <w:spacing w:after="0" w:line="277" w:lineRule="auto"/>
        <w:rPr>
          <w:sz w:val="20"/>
          <w:szCs w:val="20"/>
          <w:color w:val="auto"/>
        </w:rPr>
      </w:pPr>
      <w:r>
        <w:rPr>
          <w:rFonts w:ascii="Times New Roman" w:cs="Times New Roman" w:eastAsia="Times New Roman" w:hAnsi="Times New Roman"/>
          <w:sz w:val="16"/>
          <w:szCs w:val="16"/>
          <w:i w:val="1"/>
          <w:iCs w:val="1"/>
          <w:color w:val="auto"/>
        </w:rPr>
        <w:t>The Hamas-Israel and Russia-Ukraine conflicts, other areas of geopolitical tension around the world, or the worsening of those conflicts or tensions, and any related challenging macroeconomic conditions globally and in various countries in which we and our customers operate may materially adversely affect our customers, vendors, and partners, and the duration and extent to which these factors may impact our future business and operations, results of operations, financial condition and cash flows remain uncertain.</w:t>
      </w:r>
    </w:p>
    <w:p>
      <w:pPr>
        <w:spacing w:after="0" w:line="158" w:lineRule="exact"/>
        <w:rPr>
          <w:sz w:val="20"/>
          <w:szCs w:val="20"/>
          <w:color w:val="auto"/>
        </w:rPr>
      </w:pPr>
    </w:p>
    <w:p>
      <w:pPr>
        <w:ind w:left="40" w:right="79" w:firstLine="167"/>
        <w:spacing w:after="0" w:line="251" w:lineRule="auto"/>
        <w:rPr>
          <w:sz w:val="20"/>
          <w:szCs w:val="20"/>
          <w:color w:val="auto"/>
        </w:rPr>
      </w:pPr>
      <w:r>
        <w:rPr>
          <w:rFonts w:ascii="Times New Roman" w:cs="Times New Roman" w:eastAsia="Times New Roman" w:hAnsi="Times New Roman"/>
          <w:sz w:val="17"/>
          <w:szCs w:val="17"/>
          <w:color w:val="auto"/>
        </w:rPr>
        <w:t>The Hamas-Israel and Russia-Ukraine conflicts, or other areas of geopolitical tension around the world, or any worsening or spread of those conflicts or geopolitical tensions, and any related challenging macroeconomic conditions globally, could decrease the spending of our existing and potential new customers, adversely affect demand for our products, cause one or more of our customers, vendors, and partners to file for bankruptcy protection or go out of business, impact expected spending and pricing levels from existing and potential new customers, and negatively impact collections of accounts receivable, all of which could adversely affect our business, results of operations and financial condition.</w:t>
      </w:r>
    </w:p>
    <w:p>
      <w:pPr>
        <w:spacing w:after="0" w:line="178" w:lineRule="exact"/>
        <w:rPr>
          <w:sz w:val="20"/>
          <w:szCs w:val="20"/>
          <w:color w:val="auto"/>
        </w:rPr>
      </w:pPr>
    </w:p>
    <w:p>
      <w:pPr>
        <w:ind w:left="40" w:right="59" w:firstLine="209"/>
        <w:spacing w:after="0" w:line="252" w:lineRule="auto"/>
        <w:rPr>
          <w:sz w:val="20"/>
          <w:szCs w:val="20"/>
          <w:color w:val="auto"/>
        </w:rPr>
      </w:pPr>
      <w:r>
        <w:rPr>
          <w:rFonts w:ascii="Times New Roman" w:cs="Times New Roman" w:eastAsia="Times New Roman" w:hAnsi="Times New Roman"/>
          <w:sz w:val="17"/>
          <w:szCs w:val="17"/>
          <w:color w:val="auto"/>
        </w:rPr>
        <w:t>Any of the negative impacts of the Hamas-Israel and Russia-Ukraine conflicts, other areas of geopolitical tension around the world, or any worsening of those conflicts or geopolitical tensions, and any related challenging macroeconomic conditions, may have a material adverse effect on our business and operations, results of operations, financial condition and cash flows. Any of these negative impacts, alone or in combination with others, also could exacerbate many of the other risk factors discussed in this report, including volatility in the trading prices of our common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0" w:name="page21"/>
    <w:bookmarkEnd w:id="20"/>
    <w:p>
      <w:pPr>
        <w:ind w:left="40" w:right="139"/>
        <w:spacing w:after="0" w:line="255" w:lineRule="auto"/>
        <w:rPr>
          <w:sz w:val="20"/>
          <w:szCs w:val="20"/>
          <w:color w:val="auto"/>
        </w:rPr>
      </w:pPr>
      <w:r>
        <w:rPr>
          <w:rFonts w:ascii="Times New Roman" w:cs="Times New Roman" w:eastAsia="Times New Roman" w:hAnsi="Times New Roman"/>
          <w:sz w:val="17"/>
          <w:szCs w:val="17"/>
          <w:color w:val="auto"/>
        </w:rPr>
        <w:t>stock. The full extent to which these factors will negatively affect our business and operations, results of operations, financial condition and cash flows will depend on future developments that are highly uncertain and cannot be predicted, including the scope, severity and duration of the Hamas-Israel and Russia-Ukraine conflicts, other areas of geopolitical tension around the world and any economic downturns and the actions taken by governmental authorities and other third parties in response.</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Currency exchange fluctuations may impact the results of our operations.</w:t>
      </w:r>
    </w:p>
    <w:p>
      <w:pPr>
        <w:spacing w:after="0" w:line="210" w:lineRule="exact"/>
        <w:rPr>
          <w:sz w:val="20"/>
          <w:szCs w:val="20"/>
          <w:color w:val="auto"/>
        </w:rPr>
      </w:pPr>
    </w:p>
    <w:p>
      <w:pPr>
        <w:ind w:left="40" w:right="39" w:firstLine="241"/>
        <w:spacing w:after="0" w:line="250" w:lineRule="auto"/>
        <w:rPr>
          <w:sz w:val="20"/>
          <w:szCs w:val="20"/>
          <w:color w:val="auto"/>
        </w:rPr>
      </w:pPr>
      <w:r>
        <w:rPr>
          <w:rFonts w:ascii="Times New Roman" w:cs="Times New Roman" w:eastAsia="Times New Roman" w:hAnsi="Times New Roman"/>
          <w:sz w:val="17"/>
          <w:szCs w:val="17"/>
          <w:color w:val="auto"/>
        </w:rPr>
        <w:t>Currency exchange rate fluctuations, depending upon the nature of the changes, may make our domestic-sourced products more expensive compared to foreign-grown products or may increase our cost of obtaining foreign-sourced products. These foreign currency fluctuations also affect the ultimate realization of foreign currency denominated assets and liabilities in U.S. dollar terms. While hedging instruments may help reduce the volatility associated with currency rate changes, hedging instruments may not be readily available, may be too expensive or may be ineffective for the respective reduction in volatility desired. To date, the Company has not hedged against foreign currency exposure and we may not hedge against foreign currency exposure in the future, which could increase our susceptibility to foreign currency fluctuations.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Financial Risks</w:t>
      </w:r>
    </w:p>
    <w:p>
      <w:pPr>
        <w:spacing w:after="0" w:line="206" w:lineRule="exact"/>
        <w:rPr>
          <w:sz w:val="20"/>
          <w:szCs w:val="20"/>
          <w:color w:val="auto"/>
        </w:rPr>
      </w:pPr>
    </w:p>
    <w:p>
      <w:pPr>
        <w:ind w:left="40" w:right="79"/>
        <w:spacing w:after="0" w:line="277" w:lineRule="auto"/>
        <w:rPr>
          <w:sz w:val="20"/>
          <w:szCs w:val="20"/>
          <w:color w:val="auto"/>
        </w:rPr>
      </w:pPr>
      <w:r>
        <w:rPr>
          <w:rFonts w:ascii="Times New Roman" w:cs="Times New Roman" w:eastAsia="Times New Roman" w:hAnsi="Times New Roman"/>
          <w:sz w:val="17"/>
          <w:szCs w:val="17"/>
          <w:i w:val="1"/>
          <w:iCs w:val="1"/>
          <w:color w:val="auto"/>
        </w:rPr>
        <w:t>Our ability to raise capital in the future may be limited, and our failure to raise capital when needed could prevent us from executing our growth strategy.</w:t>
      </w:r>
    </w:p>
    <w:p>
      <w:pPr>
        <w:spacing w:after="0" w:line="155" w:lineRule="exact"/>
        <w:rPr>
          <w:sz w:val="20"/>
          <w:szCs w:val="20"/>
          <w:color w:val="auto"/>
        </w:rPr>
      </w:pPr>
    </w:p>
    <w:p>
      <w:pPr>
        <w:ind w:left="40" w:right="219" w:firstLine="241"/>
        <w:spacing w:after="0" w:line="272" w:lineRule="auto"/>
        <w:rPr>
          <w:sz w:val="20"/>
          <w:szCs w:val="20"/>
          <w:color w:val="auto"/>
        </w:rPr>
      </w:pPr>
      <w:r>
        <w:rPr>
          <w:rFonts w:ascii="Times New Roman" w:cs="Times New Roman" w:eastAsia="Times New Roman" w:hAnsi="Times New Roman"/>
          <w:sz w:val="17"/>
          <w:szCs w:val="17"/>
          <w:color w:val="auto"/>
        </w:rPr>
        <w:t>The timing and amount of our working capital and capital expenditure requirements may vary significantly depending on many factors, including:</w:t>
      </w:r>
    </w:p>
    <w:p>
      <w:pPr>
        <w:spacing w:after="0" w:line="159" w:lineRule="exact"/>
        <w:rPr>
          <w:sz w:val="20"/>
          <w:szCs w:val="20"/>
          <w:color w:val="auto"/>
        </w:rPr>
      </w:pPr>
    </w:p>
    <w:p>
      <w:pPr>
        <w:ind w:left="600" w:hanging="299"/>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products; and</w:t>
      </w:r>
    </w:p>
    <w:p>
      <w:pPr>
        <w:spacing w:after="0" w:line="21"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Opportunities for expansion.</w:t>
      </w:r>
    </w:p>
    <w:p>
      <w:pPr>
        <w:spacing w:after="0" w:line="189"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We may not be able to obtain additional financing, if required, in amounts or on terms acceptable to us, or at all.</w:t>
      </w:r>
    </w:p>
    <w:p>
      <w:pPr>
        <w:spacing w:after="0" w:line="168" w:lineRule="exact"/>
        <w:rPr>
          <w:sz w:val="20"/>
          <w:szCs w:val="20"/>
          <w:color w:val="auto"/>
        </w:rPr>
      </w:pPr>
    </w:p>
    <w:p>
      <w:pPr>
        <w:ind w:left="40" w:right="59"/>
        <w:spacing w:after="0" w:line="277" w:lineRule="auto"/>
        <w:rPr>
          <w:sz w:val="20"/>
          <w:szCs w:val="20"/>
          <w:color w:val="auto"/>
        </w:rPr>
      </w:pPr>
      <w:r>
        <w:rPr>
          <w:rFonts w:ascii="Times New Roman" w:cs="Times New Roman" w:eastAsia="Times New Roman" w:hAnsi="Times New Roman"/>
          <w:sz w:val="17"/>
          <w:szCs w:val="17"/>
          <w:i w:val="1"/>
          <w:iCs w:val="1"/>
          <w:color w:val="auto"/>
        </w:rPr>
        <w:t>We are subject to restrictive debt covenants and other requirements related to our debt that limit our flexibility by imposing operating and financial restrictions on our operations.</w:t>
      </w:r>
    </w:p>
    <w:p>
      <w:pPr>
        <w:spacing w:after="0" w:line="155" w:lineRule="exact"/>
        <w:rPr>
          <w:sz w:val="20"/>
          <w:szCs w:val="20"/>
          <w:color w:val="auto"/>
        </w:rPr>
      </w:pPr>
    </w:p>
    <w:p>
      <w:pPr>
        <w:ind w:left="40" w:right="219" w:firstLine="167"/>
        <w:spacing w:after="0" w:line="272" w:lineRule="auto"/>
        <w:rPr>
          <w:sz w:val="20"/>
          <w:szCs w:val="20"/>
          <w:color w:val="auto"/>
        </w:rPr>
      </w:pPr>
      <w:r>
        <w:rPr>
          <w:rFonts w:ascii="Times New Roman" w:cs="Times New Roman" w:eastAsia="Times New Roman" w:hAnsi="Times New Roman"/>
          <w:sz w:val="16"/>
          <w:szCs w:val="16"/>
          <w:color w:val="auto"/>
        </w:rPr>
        <w:t>The Credit Agreement originally provided for a revolving credit facility of up to $90.0 million, along with a capex credit facility of up to $10.0 million. On August 15, 2024 in conjunction with the sale of the Fresh Cut business, the Credit Agreement was amended to, among other things, reduce revolving commitments thereunder to $75.0 million from $90.0 million. Later in August 2024 the capex credit facility (also known as the “Term Loan”) was fully repaid with proceeds from the sale of the Fresh Cut business. See Note 6 of the consolidated financial statements for further information regarding the August 15, 2024 amendment.</w:t>
      </w:r>
    </w:p>
    <w:p>
      <w:pPr>
        <w:spacing w:after="0" w:line="161" w:lineRule="exact"/>
        <w:rPr>
          <w:sz w:val="20"/>
          <w:szCs w:val="20"/>
          <w:color w:val="auto"/>
        </w:rPr>
      </w:pPr>
    </w:p>
    <w:p>
      <w:pPr>
        <w:ind w:left="40" w:right="59" w:firstLine="167"/>
        <w:spacing w:after="0" w:line="270" w:lineRule="auto"/>
        <w:rPr>
          <w:sz w:val="20"/>
          <w:szCs w:val="20"/>
          <w:color w:val="auto"/>
        </w:rPr>
      </w:pPr>
      <w:r>
        <w:rPr>
          <w:rFonts w:ascii="Times New Roman" w:cs="Times New Roman" w:eastAsia="Times New Roman" w:hAnsi="Times New Roman"/>
          <w:sz w:val="16"/>
          <w:szCs w:val="16"/>
          <w:color w:val="auto"/>
        </w:rPr>
        <w:t>The Credit Agreement imposes significant operating and financial restrictions on us. These restrictions prohibit or limit our ability to: incur indebtedness; grant liens on assets; enter into certain investments; consummate fundamental change transactions; engage in mergers or acquisitions or dispose of assets; enter into certain transactions with affiliates; make changes to our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to borrow under the Credit Facility is less than 10% of the total revolving credit facility.</w:t>
      </w:r>
    </w:p>
    <w:p>
      <w:pPr>
        <w:spacing w:after="0" w:line="263" w:lineRule="exact"/>
        <w:rPr>
          <w:sz w:val="20"/>
          <w:szCs w:val="20"/>
          <w:color w:val="auto"/>
        </w:rPr>
      </w:pPr>
    </w:p>
    <w:p>
      <w:pPr>
        <w:jc w:val="both"/>
        <w:ind w:left="40" w:right="179" w:firstLine="209"/>
        <w:spacing w:after="0" w:line="259" w:lineRule="auto"/>
        <w:rPr>
          <w:sz w:val="20"/>
          <w:szCs w:val="20"/>
          <w:color w:val="auto"/>
        </w:rPr>
      </w:pPr>
      <w:r>
        <w:rPr>
          <w:rFonts w:ascii="Times New Roman" w:cs="Times New Roman" w:eastAsia="Times New Roman" w:hAnsi="Times New Roman"/>
          <w:sz w:val="17"/>
          <w:szCs w:val="17"/>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 w:name="page22"/>
    <w:bookmarkEnd w:id="21"/>
    <w:p>
      <w:pPr>
        <w:ind w:left="40" w:right="139" w:firstLine="209"/>
        <w:spacing w:after="0" w:line="250" w:lineRule="auto"/>
        <w:rPr>
          <w:sz w:val="20"/>
          <w:szCs w:val="20"/>
          <w:color w:val="auto"/>
        </w:rPr>
      </w:pPr>
      <w:r>
        <w:rPr>
          <w:rFonts w:ascii="Times New Roman" w:cs="Times New Roman" w:eastAsia="Times New Roman" w:hAnsi="Times New Roman"/>
          <w:sz w:val="17"/>
          <w:szCs w:val="17"/>
          <w:color w:val="auto"/>
        </w:rPr>
        <w:t>Our ability to comply with the ratios or tests may be affected by events beyond our control, including prevailing economic, financial and industry conditions. A breach of any of these covenants, or failure to meet or maintain ratios or tests could result in a default under the Credit Agreement. Certain events of default under the Credit Agreement would prohibit us from paying dividends on our common stock. In addition, upon the occurrence of an event of default under the Credit Agreement, the lenders could elect to declare all amounts outstanding under the Credit Agreement, together with accrued interest, to be immediately due and payable. If we were unable to repay those amounts, the Credit Agreement lenders could proceed against the security granted to them to secure that indebtedness. If the lenders accelerate the payment of the indebtedness, our assets may not be sufficient to repay in full this indebtedness and our other indebtedness.</w:t>
      </w:r>
    </w:p>
    <w:p>
      <w:pPr>
        <w:spacing w:after="0" w:line="72"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7"/>
          <w:szCs w:val="17"/>
          <w:i w:val="1"/>
          <w:iCs w:val="1"/>
          <w:color w:val="212529"/>
        </w:rPr>
        <w:t>Our ownership in unconsolidated subsidiaries, our loans/notes or advances to unconsolidated subsidiaries and other future debt or equity investments that we may make in unconsolidated subsidiaries, present risks and challenges that could have a material adverse effect on our business, financial position and results of operations.</w:t>
      </w:r>
    </w:p>
    <w:p>
      <w:pPr>
        <w:spacing w:after="0" w:line="169" w:lineRule="exact"/>
        <w:rPr>
          <w:sz w:val="20"/>
          <w:szCs w:val="20"/>
          <w:color w:val="auto"/>
        </w:rPr>
      </w:pPr>
    </w:p>
    <w:p>
      <w:pPr>
        <w:ind w:left="40" w:right="159" w:firstLine="241"/>
        <w:spacing w:after="0" w:line="259" w:lineRule="auto"/>
        <w:rPr>
          <w:sz w:val="20"/>
          <w:szCs w:val="20"/>
          <w:color w:val="auto"/>
        </w:rPr>
      </w:pPr>
      <w:r>
        <w:rPr>
          <w:rFonts w:ascii="Times New Roman" w:cs="Times New Roman" w:eastAsia="Times New Roman" w:hAnsi="Times New Roman"/>
          <w:sz w:val="17"/>
          <w:szCs w:val="17"/>
          <w:color w:val="212529"/>
        </w:rPr>
        <w:t>Income/(loss) from unconsolidated entities includes our allocation of earnings or losses from our investments in Don Memo. We do not control the operations of this investment, and our allocation of potential income or loss can increase or decrease our overall profitability significantly.</w:t>
      </w:r>
    </w:p>
    <w:p>
      <w:pPr>
        <w:spacing w:after="0" w:line="170" w:lineRule="exact"/>
        <w:rPr>
          <w:sz w:val="20"/>
          <w:szCs w:val="20"/>
          <w:color w:val="auto"/>
        </w:rPr>
      </w:pPr>
    </w:p>
    <w:p>
      <w:pPr>
        <w:ind w:left="40" w:right="139" w:firstLine="241"/>
        <w:spacing w:after="0" w:line="252" w:lineRule="auto"/>
        <w:rPr>
          <w:sz w:val="20"/>
          <w:szCs w:val="20"/>
          <w:color w:val="auto"/>
        </w:rPr>
      </w:pPr>
      <w:r>
        <w:rPr>
          <w:rFonts w:ascii="Times New Roman" w:cs="Times New Roman" w:eastAsia="Times New Roman" w:hAnsi="Times New Roman"/>
          <w:sz w:val="17"/>
          <w:szCs w:val="17"/>
          <w:color w:val="212529"/>
        </w:rPr>
        <w:t>Any loans/notes or advances that we make to unconsolidated entities (such as the existing advances to Don Memo) may at some point in the future be deemed uncollectible and as such may materially and negatively impact our financial results in the period such determination is made. As noted earlier, we do not control the operations of Don Memo, and their future operating performance and/or their future ability to raise capital from other third parties could negatively impact our ability to collect on our loans/notes or advances.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206" w:lineRule="exact"/>
        <w:rPr>
          <w:sz w:val="20"/>
          <w:szCs w:val="20"/>
          <w:color w:val="auto"/>
        </w:rPr>
      </w:pPr>
    </w:p>
    <w:p>
      <w:pPr>
        <w:ind w:left="40" w:right="239"/>
        <w:spacing w:after="0" w:line="277" w:lineRule="auto"/>
        <w:rPr>
          <w:sz w:val="20"/>
          <w:szCs w:val="20"/>
          <w:color w:val="auto"/>
        </w:rPr>
      </w:pPr>
      <w:r>
        <w:rPr>
          <w:rFonts w:ascii="Times New Roman" w:cs="Times New Roman" w:eastAsia="Times New Roman" w:hAnsi="Times New Roman"/>
          <w:sz w:val="17"/>
          <w:szCs w:val="17"/>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55" w:lineRule="exact"/>
        <w:rPr>
          <w:sz w:val="20"/>
          <w:szCs w:val="20"/>
          <w:color w:val="auto"/>
        </w:rPr>
      </w:pPr>
    </w:p>
    <w:p>
      <w:pPr>
        <w:ind w:left="40" w:right="119"/>
        <w:spacing w:after="0" w:line="272" w:lineRule="auto"/>
        <w:rPr>
          <w:sz w:val="20"/>
          <w:szCs w:val="20"/>
          <w:color w:val="auto"/>
        </w:rPr>
      </w:pPr>
      <w:r>
        <w:rPr>
          <w:rFonts w:ascii="Times New Roman" w:cs="Times New Roman" w:eastAsia="Times New Roman" w:hAnsi="Times New Roman"/>
          <w:sz w:val="17"/>
          <w:szCs w:val="17"/>
          <w:color w:val="auto"/>
        </w:rPr>
        <w:t>Investors should not rely on recent or historical trends to predict future stock prices, financial condition, results of operations or cash flows. Our common stock price, like that of other companies, can be volatile and can be affected by many factors, including:</w:t>
      </w:r>
    </w:p>
    <w:p>
      <w:pPr>
        <w:spacing w:after="0" w:line="159" w:lineRule="exact"/>
        <w:rPr>
          <w:sz w:val="20"/>
          <w:szCs w:val="20"/>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and financial performance and prospects;</w:t>
      </w:r>
    </w:p>
    <w:p>
      <w:pPr>
        <w:spacing w:after="0" w:line="21"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and public SEC filings we make about our business, financial performance and prospects;</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our customers or competitors make regarding their business, financial performance and prospects;</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Short-interest in our common stock, which may be significant from time-to-time;</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depth and liquidity of the market for our common stock;</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us and the industry and markets in which we operate;</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inclusion in, or removal from, any equity market indices;</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or buy/sell recommendations by analysts;</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we meet earnings estimates of analysts who follow our Company;</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in common markets; and</w:t>
      </w:r>
    </w:p>
    <w:p>
      <w:pPr>
        <w:spacing w:after="0" w:line="5" w:lineRule="exact"/>
        <w:rPr>
          <w:rFonts w:ascii="Times New Roman" w:cs="Times New Roman" w:eastAsia="Times New Roman" w:hAnsi="Times New Roman"/>
          <w:sz w:val="17"/>
          <w:szCs w:val="17"/>
          <w:color w:val="auto"/>
        </w:rPr>
      </w:pPr>
    </w:p>
    <w:p>
      <w:pPr>
        <w:ind w:left="600" w:hanging="299"/>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financial, domestic, international, economic, industry and other market trends or conditions.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Our performance may be impacted by general economic conditions or an economic downturn.</w:t>
      </w:r>
    </w:p>
    <w:p>
      <w:pPr>
        <w:spacing w:after="0" w:line="210"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2" w:name="page23"/>
    <w:bookmarkEnd w:id="22"/>
    <w:p>
      <w:pPr>
        <w:ind w:left="40" w:right="199"/>
        <w:spacing w:after="0" w:line="255" w:lineRule="auto"/>
        <w:rPr>
          <w:sz w:val="20"/>
          <w:szCs w:val="20"/>
          <w:color w:val="auto"/>
        </w:rPr>
      </w:pPr>
      <w:r>
        <w:rPr>
          <w:rFonts w:ascii="Times New Roman" w:cs="Times New Roman" w:eastAsia="Times New Roman" w:hAnsi="Times New Roman"/>
          <w:sz w:val="17"/>
          <w:szCs w:val="17"/>
          <w:color w:val="auto"/>
        </w:rPr>
        <w:t>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168" w:lineRule="exact"/>
        <w:rPr>
          <w:sz w:val="20"/>
          <w:szCs w:val="20"/>
          <w:color w:val="auto"/>
        </w:rPr>
      </w:pPr>
    </w:p>
    <w:p>
      <w:pPr>
        <w:ind w:left="40" w:right="459"/>
        <w:spacing w:after="0" w:line="277" w:lineRule="auto"/>
        <w:rPr>
          <w:sz w:val="20"/>
          <w:szCs w:val="20"/>
          <w:color w:val="auto"/>
        </w:rPr>
      </w:pPr>
      <w:r>
        <w:rPr>
          <w:rFonts w:ascii="Times New Roman" w:cs="Times New Roman" w:eastAsia="Times New Roman" w:hAnsi="Times New Roman"/>
          <w:sz w:val="17"/>
          <w:szCs w:val="17"/>
          <w:i w:val="1"/>
          <w:iCs w:val="1"/>
          <w:color w:val="auto"/>
        </w:rPr>
        <w:t>Our insurance policies may not adequately protect us from liability and they may negatively impact our financial condition and results of operations due to the increasing premiums.</w:t>
      </w:r>
    </w:p>
    <w:p>
      <w:pPr>
        <w:spacing w:after="0" w:line="155" w:lineRule="exact"/>
        <w:rPr>
          <w:sz w:val="20"/>
          <w:szCs w:val="20"/>
          <w:color w:val="auto"/>
        </w:rPr>
      </w:pPr>
    </w:p>
    <w:p>
      <w:pPr>
        <w:ind w:left="40" w:right="179" w:firstLine="241"/>
        <w:spacing w:after="0" w:line="250" w:lineRule="auto"/>
        <w:rPr>
          <w:sz w:val="20"/>
          <w:szCs w:val="20"/>
          <w:color w:val="auto"/>
        </w:rPr>
      </w:pPr>
      <w:r>
        <w:rPr>
          <w:rFonts w:ascii="Times New Roman" w:cs="Times New Roman" w:eastAsia="Times New Roman" w:hAnsi="Times New Roman"/>
          <w:sz w:val="17"/>
          <w:szCs w:val="17"/>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None.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60" w:lineRule="exact"/>
        <w:rPr>
          <w:sz w:val="20"/>
          <w:szCs w:val="20"/>
          <w:color w:val="auto"/>
        </w:rPr>
      </w:pPr>
    </w:p>
    <w:p>
      <w:pPr>
        <w:ind w:left="40" w:right="539" w:firstLine="241"/>
        <w:spacing w:after="0" w:line="255" w:lineRule="auto"/>
        <w:rPr>
          <w:sz w:val="20"/>
          <w:szCs w:val="20"/>
          <w:color w:val="auto"/>
        </w:rPr>
      </w:pPr>
      <w:r>
        <w:rPr>
          <w:rFonts w:ascii="Times New Roman" w:cs="Times New Roman" w:eastAsia="Times New Roman" w:hAnsi="Times New Roman"/>
          <w:sz w:val="17"/>
          <w:szCs w:val="17"/>
          <w:color w:val="auto"/>
        </w:rPr>
        <w:t>Our cybersecurity risk management program is integrated with our overall enterprise risk management program and shares common methodologies, reporting channels and governance processes that apply across functions to other legal, compliance, strategic, operational, and financial risk areas. This integration ensures a holistic approach to risk management, enabling us to address cybersecurity risks in the context of broader organizational risks.</w:t>
      </w:r>
    </w:p>
    <w:p>
      <w:pPr>
        <w:spacing w:after="0" w:line="172" w:lineRule="exact"/>
        <w:rPr>
          <w:sz w:val="20"/>
          <w:szCs w:val="20"/>
          <w:color w:val="auto"/>
        </w:rPr>
      </w:pPr>
    </w:p>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We build and evaluate our cybersecurity risk management program based on the National Institute of Standards and Technology Cybersecurity Framework (NIST CSF). The NIST CSF offers a thorough set of guidelines and best practices to help us establish a strong cybersecurity posture. Utilizing the NIST CSF enables us to systematically identify, assess, and manage cybersecurity risks pertinent to our business operations. However, it's important to highlight that using the NIST CSF as a guide does not imply that our cybersecurity program meets any specific technical standards, specifications, or requirements.</w:t>
      </w:r>
    </w:p>
    <w:p>
      <w:pPr>
        <w:spacing w:after="0" w:line="177" w:lineRule="exact"/>
        <w:rPr>
          <w:sz w:val="20"/>
          <w:szCs w:val="20"/>
          <w:color w:val="auto"/>
        </w:rPr>
      </w:pPr>
    </w:p>
    <w:p>
      <w:pPr>
        <w:ind w:left="40" w:right="399" w:firstLine="241"/>
        <w:spacing w:after="0" w:line="272" w:lineRule="auto"/>
        <w:rPr>
          <w:sz w:val="20"/>
          <w:szCs w:val="20"/>
          <w:color w:val="auto"/>
        </w:rPr>
      </w:pPr>
      <w:r>
        <w:rPr>
          <w:rFonts w:ascii="Times New Roman" w:cs="Times New Roman" w:eastAsia="Times New Roman" w:hAnsi="Times New Roman"/>
          <w:sz w:val="17"/>
          <w:szCs w:val="17"/>
          <w:color w:val="auto"/>
        </w:rPr>
        <w:t>Our cybersecurity risk management program is grounded in a zero-trust framework and employs a multi-layered approach to ensure comprehensive protection. This approach includes:</w:t>
      </w:r>
    </w:p>
    <w:p>
      <w:pPr>
        <w:spacing w:after="0" w:line="196" w:lineRule="exact"/>
        <w:rPr>
          <w:sz w:val="20"/>
          <w:szCs w:val="20"/>
          <w:color w:val="auto"/>
        </w:rPr>
      </w:pPr>
    </w:p>
    <w:p>
      <w:pPr>
        <w:jc w:val="both"/>
        <w:ind w:left="340" w:right="59" w:hanging="302"/>
        <w:spacing w:after="0" w:line="252"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Awareness and Training for Employees:</w:t>
      </w:r>
      <w:r>
        <w:rPr>
          <w:rFonts w:ascii="Times New Roman" w:cs="Times New Roman" w:eastAsia="Times New Roman" w:hAnsi="Times New Roman"/>
          <w:sz w:val="17"/>
          <w:szCs w:val="17"/>
          <w:color w:val="auto"/>
        </w:rPr>
        <w:t xml:space="preserve"> We conduct regular phishing campaigns, informational sessions at management meetings, and annual mandatory training with simulations of common cybersecurity threats. These initiatives aim to enhance employee awareness and preparedness against potential cyber threats.</w:t>
      </w:r>
    </w:p>
    <w:p>
      <w:pPr>
        <w:spacing w:after="0" w:line="2" w:lineRule="exact"/>
        <w:rPr>
          <w:rFonts w:ascii="Times New Roman" w:cs="Times New Roman" w:eastAsia="Times New Roman" w:hAnsi="Times New Roman"/>
          <w:sz w:val="17"/>
          <w:szCs w:val="17"/>
          <w:color w:val="auto"/>
        </w:rPr>
      </w:pPr>
    </w:p>
    <w:p>
      <w:pPr>
        <w:jc w:val="both"/>
        <w:ind w:left="340" w:right="59" w:hanging="302"/>
        <w:spacing w:after="0" w:line="246"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Security Tools and Technologies:</w:t>
      </w:r>
      <w:r>
        <w:rPr>
          <w:rFonts w:ascii="Times New Roman" w:cs="Times New Roman" w:eastAsia="Times New Roman" w:hAnsi="Times New Roman"/>
          <w:sz w:val="17"/>
          <w:szCs w:val="17"/>
          <w:color w:val="auto"/>
        </w:rPr>
        <w:t xml:space="preserve"> We utilize advanced security tools and technologies, along with control policies and active review procedures, to strengthen authentication and access protection. This includes implementing multi-factor authentication, encryption, and continuous monitoring of network activities.</w:t>
      </w:r>
    </w:p>
    <w:p>
      <w:pPr>
        <w:jc w:val="both"/>
        <w:ind w:left="340" w:right="59" w:hanging="302"/>
        <w:spacing w:after="0" w:line="246"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Third-Party Risk Management:</w:t>
      </w:r>
      <w:r>
        <w:rPr>
          <w:rFonts w:ascii="Times New Roman" w:cs="Times New Roman" w:eastAsia="Times New Roman" w:hAnsi="Times New Roman"/>
          <w:sz w:val="17"/>
          <w:szCs w:val="17"/>
          <w:color w:val="auto"/>
        </w:rPr>
        <w:t xml:space="preserve"> We have established a rigorous third-party risk management process and monitoring procedures for service providers, suppliers, and vendors who have access to critical systems and information. This ensures that our partners adhere to our cybersecurity standards and do not introduce vulnerabilities into our environment.</w:t>
      </w:r>
    </w:p>
    <w:p>
      <w:pPr>
        <w:jc w:val="both"/>
        <w:ind w:left="340" w:right="59" w:hanging="302"/>
        <w:spacing w:after="0" w:line="249"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Risk and Vulnerability Management:</w:t>
      </w:r>
      <w:r>
        <w:rPr>
          <w:rFonts w:ascii="Times New Roman" w:cs="Times New Roman" w:eastAsia="Times New Roman" w:hAnsi="Times New Roman"/>
          <w:sz w:val="17"/>
          <w:szCs w:val="17"/>
          <w:color w:val="auto"/>
        </w:rPr>
        <w:t xml:space="preserve"> Our risk and vulnerability management program encompasses both proactive and predictive defenses. We regularly assess, remediate, and validate our security measures to address emerging threats and vulnerabilities. This includes conducting vulnerability scans, penetration testing, and threat intelligence analysis.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jc w:val="both"/>
        <w:ind w:left="340" w:right="59" w:hanging="302"/>
        <w:spacing w:after="0" w:line="259" w:lineRule="auto"/>
        <w:tabs>
          <w:tab w:leader="none" w:pos="3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Managed Detection and Incident Response:</w:t>
      </w:r>
      <w:r>
        <w:rPr>
          <w:rFonts w:ascii="Times New Roman" w:cs="Times New Roman" w:eastAsia="Times New Roman" w:hAnsi="Times New Roman"/>
          <w:sz w:val="17"/>
          <w:szCs w:val="17"/>
          <w:color w:val="auto"/>
        </w:rPr>
        <w:t xml:space="preserve"> We employ advanced endpoint protection and managed detection and response services to quickly identify and respond to potential security incidents. Our incident response team is equipped to handle various types of cyber threats and minimize their impact on our operations.</w:t>
      </w:r>
    </w:p>
    <w:p>
      <w:pPr>
        <w:spacing w:after="0" w:line="207" w:lineRule="exact"/>
        <w:rPr>
          <w:sz w:val="20"/>
          <w:szCs w:val="20"/>
          <w:color w:val="auto"/>
        </w:rPr>
      </w:pPr>
    </w:p>
    <w:p>
      <w:pPr>
        <w:ind w:left="40" w:right="319" w:firstLine="241"/>
        <w:spacing w:after="0" w:line="259" w:lineRule="auto"/>
        <w:rPr>
          <w:sz w:val="20"/>
          <w:szCs w:val="20"/>
          <w:color w:val="auto"/>
        </w:rPr>
      </w:pPr>
      <w:r>
        <w:rPr>
          <w:rFonts w:ascii="Times New Roman" w:cs="Times New Roman" w:eastAsia="Times New Roman" w:hAnsi="Times New Roman"/>
          <w:sz w:val="17"/>
          <w:szCs w:val="17"/>
          <w:color w:val="auto"/>
        </w:rPr>
        <w:t>In evaluating the risks identified as a part of the annual assessment process, our information technology team considers the likelihood and severity of the respective risk and the potential impact of the risk, including any potential impact on our customers and our employees. These risks are then prioritized and monitored by the information technology team.</w:t>
      </w:r>
    </w:p>
    <w:p>
      <w:pPr>
        <w:spacing w:after="0" w:line="94" w:lineRule="exact"/>
        <w:rPr>
          <w:sz w:val="20"/>
          <w:szCs w:val="20"/>
          <w:color w:val="auto"/>
        </w:rPr>
      </w:pPr>
    </w:p>
    <w:p>
      <w:pPr>
        <w:ind w:left="40" w:right="199" w:firstLine="241"/>
        <w:spacing w:after="0" w:line="255" w:lineRule="auto"/>
        <w:rPr>
          <w:sz w:val="20"/>
          <w:szCs w:val="20"/>
          <w:color w:val="auto"/>
        </w:rPr>
      </w:pPr>
      <w:r>
        <w:rPr>
          <w:rFonts w:ascii="Times New Roman" w:cs="Times New Roman" w:eastAsia="Times New Roman" w:hAnsi="Times New Roman"/>
          <w:sz w:val="17"/>
          <w:szCs w:val="17"/>
          <w:color w:val="auto"/>
        </w:rPr>
        <w:t>We conduct periodic testing of software, hardware, defensive capabilities, and other information security systems to assess our cybersecurity readiness and maturity of the cybersecurity program. Tests are conducted by the information technology team and reputable third-party consultants and auditors. In developing and evaluating the testing procedures, we consider both our individual risks and industry standards.</w:t>
      </w:r>
    </w:p>
    <w:p>
      <w:pPr>
        <w:spacing w:after="0" w:line="110" w:lineRule="exact"/>
        <w:rPr>
          <w:sz w:val="20"/>
          <w:szCs w:val="20"/>
          <w:color w:val="auto"/>
        </w:rPr>
      </w:pPr>
    </w:p>
    <w:p>
      <w:pPr>
        <w:ind w:left="40" w:right="219" w:firstLine="241"/>
        <w:spacing w:after="0" w:line="255" w:lineRule="auto"/>
        <w:rPr>
          <w:sz w:val="20"/>
          <w:szCs w:val="20"/>
          <w:color w:val="auto"/>
        </w:rPr>
      </w:pPr>
      <w:r>
        <w:rPr>
          <w:rFonts w:ascii="Times New Roman" w:cs="Times New Roman" w:eastAsia="Times New Roman" w:hAnsi="Times New Roman"/>
          <w:sz w:val="17"/>
          <w:szCs w:val="17"/>
          <w:color w:val="auto"/>
        </w:rPr>
        <w:t>The cybersecurity risk management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spacing w:after="0" w:line="110"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As of the date of this report, we are not aware of any cybersecurity incidents that have materially affected or are reasonably likely to materially affect us, including our business strategy, results of operations, or financial condition that are required to be reported in this Form 10-K. For further discussion of the risks associated with cybersecurity incidents and potential impact on us, see the cybersecurity risk factor within “Item 1A. Risk Factors” in this Form 10-K.</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Governance</w:t>
      </w:r>
    </w:p>
    <w:p>
      <w:pPr>
        <w:spacing w:after="0" w:line="206"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The information technology department, led by our Director of Information Technology &amp; Services (“IT Director”), is responsible for our cybersecurity program. The IT Director, along with a third party provider with significant cybersecurity experience, manages information security, infrastructure, and compliance. This collaboration ensures that our cybersecurity practices are aligned with industry standards and best practices.</w:t>
      </w:r>
    </w:p>
    <w:p>
      <w:pPr>
        <w:spacing w:after="0" w:line="172" w:lineRule="exact"/>
        <w:rPr>
          <w:sz w:val="20"/>
          <w:szCs w:val="20"/>
          <w:color w:val="auto"/>
        </w:rPr>
      </w:pPr>
    </w:p>
    <w:p>
      <w:pPr>
        <w:ind w:left="40" w:right="219" w:firstLine="241"/>
        <w:spacing w:after="0" w:line="255" w:lineRule="auto"/>
        <w:rPr>
          <w:sz w:val="20"/>
          <w:szCs w:val="20"/>
          <w:color w:val="auto"/>
        </w:rPr>
      </w:pPr>
      <w:r>
        <w:rPr>
          <w:rFonts w:ascii="Times New Roman" w:cs="Times New Roman" w:eastAsia="Times New Roman" w:hAnsi="Times New Roman"/>
          <w:sz w:val="17"/>
          <w:szCs w:val="17"/>
          <w:color w:val="auto"/>
        </w:rPr>
        <w:t>The Board of Directors considers cybersecurity risk as part of its overall risk oversight function. The Audit Committee receives briefings from the IT Director regarding our cybersecurity risk management program at least annually. These briefings include updates on our cybersecurity risks and threats, the status of projects to strengthen the information security systems, assessments of the information security program, and the emerging cybersecurity threat landscape.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10" w:lineRule="exact"/>
        <w:rPr>
          <w:sz w:val="20"/>
          <w:szCs w:val="20"/>
          <w:color w:val="auto"/>
        </w:rPr>
      </w:pPr>
    </w:p>
    <w:p>
      <w:pPr>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Our corporate headquarters is located in Santa Paula, California, in a leased building. Our RFG Business leased a corporate office in Rancho Cordova, California, which the lease expired in November 2024. We also operate numerous facilities across the United States and maintain three facilities in Mexico. See the following table for a summary of our locations: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United States Locations: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Packinghouses: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Leased or Owned:</w:t>
            </w:r>
          </w:p>
        </w:tc>
        <w:tc>
          <w:tcPr>
            <w:tcW w:w="2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City</w:t>
            </w:r>
          </w:p>
        </w:tc>
        <w:tc>
          <w:tcPr>
            <w:tcW w:w="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80" w:type="dxa"/>
            <w:vAlign w:val="bottom"/>
          </w:tcPr>
          <w:p>
            <w:pPr>
              <w:ind w:left="20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14"/>
                <w:szCs w:val="14"/>
                <w:color w:val="auto"/>
              </w:rPr>
            </w:pPr>
          </w:p>
        </w:tc>
      </w:tr>
      <w:tr>
        <w:trPr>
          <w:trHeight w:val="177"/>
        </w:trPr>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7"/>
              </w:rPr>
              <w:t>Owned</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Santa Paula</w:t>
            </w: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8"/>
              </w:rPr>
              <w:t>California</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960" w:type="dxa"/>
            <w:vAlign w:val="bottom"/>
            <w:tcBorders>
              <w:top w:val="single" w:sz="8" w:color="auto"/>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Primarily handles fresh avocados. The facility was purchased in 1955</w:t>
            </w:r>
          </w:p>
        </w:tc>
        <w:tc>
          <w:tcPr>
            <w:tcW w:w="20" w:type="dxa"/>
            <w:vAlign w:val="bottom"/>
          </w:tcPr>
          <w:p>
            <w:pPr>
              <w:spacing w:after="0"/>
              <w:rPr>
                <w:sz w:val="15"/>
                <w:szCs w:val="15"/>
                <w:color w:val="auto"/>
              </w:rPr>
            </w:pP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8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9"/>
              </w:rPr>
              <w:t>and has been improved in capacity and efficiency since then. We believe</w:t>
            </w:r>
          </w:p>
        </w:tc>
        <w:tc>
          <w:tcPr>
            <w:tcW w:w="20" w:type="dxa"/>
            <w:vAlign w:val="bottom"/>
          </w:tcPr>
          <w:p>
            <w:pPr>
              <w:spacing w:after="0"/>
              <w:rPr>
                <w:sz w:val="17"/>
                <w:szCs w:val="17"/>
                <w:color w:val="auto"/>
              </w:rPr>
            </w:pP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8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that the annual capacity of this facility will be sufficient to handle its</w:t>
            </w:r>
          </w:p>
        </w:tc>
        <w:tc>
          <w:tcPr>
            <w:tcW w:w="20" w:type="dxa"/>
            <w:vAlign w:val="bottom"/>
          </w:tcPr>
          <w:p>
            <w:pPr>
              <w:spacing w:after="0"/>
              <w:rPr>
                <w:sz w:val="17"/>
                <w:szCs w:val="17"/>
                <w:color w:val="auto"/>
              </w:rPr>
            </w:pPr>
          </w:p>
        </w:tc>
      </w:tr>
      <w:tr>
        <w:trPr>
          <w:trHeight w:val="217"/>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8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forecasted annual production needs.</w:t>
            </w:r>
          </w:p>
        </w:tc>
        <w:tc>
          <w:tcPr>
            <w:tcW w:w="20" w:type="dxa"/>
            <w:vAlign w:val="bottom"/>
          </w:tcPr>
          <w:p>
            <w:pPr>
              <w:spacing w:after="0"/>
              <w:rPr>
                <w:sz w:val="18"/>
                <w:szCs w:val="18"/>
                <w:color w:val="auto"/>
              </w:rPr>
            </w:pPr>
          </w:p>
        </w:tc>
      </w:tr>
      <w:tr>
        <w:trPr>
          <w:trHeight w:val="201"/>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1580" w:type="dxa"/>
            <w:vAlign w:val="bottom"/>
            <w:gridSpan w:val="3"/>
            <w:shd w:val="clear" w:color="auto" w:fill="CCEEFF"/>
          </w:tcPr>
          <w:p>
            <w:pPr>
              <w:jc w:val="center"/>
              <w:ind w:right="240"/>
              <w:spacing w:after="0" w:line="185" w:lineRule="exact"/>
              <w:rPr>
                <w:sz w:val="20"/>
                <w:szCs w:val="20"/>
                <w:color w:val="auto"/>
              </w:rPr>
            </w:pPr>
            <w:r>
              <w:rPr>
                <w:rFonts w:ascii="Times New Roman" w:cs="Times New Roman" w:eastAsia="Times New Roman" w:hAnsi="Times New Roman"/>
                <w:sz w:val="17"/>
                <w:szCs w:val="17"/>
                <w:color w:val="auto"/>
                <w:w w:val="95"/>
              </w:rPr>
              <w:t>Leased</w:t>
            </w:r>
          </w:p>
        </w:tc>
        <w:tc>
          <w:tcPr>
            <w:tcW w:w="2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center"/>
              <w:ind w:right="280"/>
              <w:spacing w:after="0" w:line="185" w:lineRule="exact"/>
              <w:rPr>
                <w:sz w:val="20"/>
                <w:szCs w:val="20"/>
                <w:color w:val="auto"/>
              </w:rPr>
            </w:pPr>
            <w:r>
              <w:rPr>
                <w:rFonts w:ascii="Times New Roman" w:cs="Times New Roman" w:eastAsia="Times New Roman" w:hAnsi="Times New Roman"/>
                <w:sz w:val="17"/>
                <w:szCs w:val="17"/>
                <w:color w:val="auto"/>
                <w:w w:val="95"/>
              </w:rPr>
              <w:t>Temecula</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8"/>
              </w:rPr>
              <w:t>California</w:t>
            </w:r>
          </w:p>
        </w:tc>
        <w:tc>
          <w:tcPr>
            <w:tcW w:w="20" w:type="dxa"/>
            <w:vAlign w:val="bottom"/>
            <w:shd w:val="clear" w:color="auto" w:fill="CCEEFF"/>
          </w:tcPr>
          <w:p>
            <w:pPr>
              <w:spacing w:after="0"/>
              <w:rPr>
                <w:sz w:val="16"/>
                <w:szCs w:val="16"/>
                <w:color w:val="auto"/>
              </w:rPr>
            </w:pPr>
          </w:p>
        </w:tc>
        <w:tc>
          <w:tcPr>
            <w:tcW w:w="5180" w:type="dxa"/>
            <w:vAlign w:val="bottom"/>
            <w:tcBorders>
              <w:right w:val="single" w:sz="8" w:color="CCEEFF"/>
            </w:tcBorders>
            <w:gridSpan w:val="3"/>
            <w:shd w:val="clear" w:color="auto" w:fill="CCEEFF"/>
          </w:tcPr>
          <w:p>
            <w:pPr>
              <w:ind w:left="220"/>
              <w:spacing w:after="0" w:line="185" w:lineRule="exact"/>
              <w:rPr>
                <w:sz w:val="20"/>
                <w:szCs w:val="20"/>
                <w:color w:val="auto"/>
              </w:rPr>
            </w:pPr>
            <w:r>
              <w:rPr>
                <w:rFonts w:ascii="Times New Roman" w:cs="Times New Roman" w:eastAsia="Times New Roman" w:hAnsi="Times New Roman"/>
                <w:sz w:val="17"/>
                <w:szCs w:val="17"/>
                <w:color w:val="auto"/>
                <w:w w:val="98"/>
              </w:rPr>
              <w:t>Primarily ripens, sorts, packs and ships fresh avocados. We sort and pack</w:t>
            </w:r>
          </w:p>
        </w:tc>
        <w:tc>
          <w:tcPr>
            <w:tcW w:w="20" w:type="dxa"/>
            <w:vAlign w:val="bottom"/>
          </w:tcPr>
          <w:p>
            <w:pPr>
              <w:spacing w:after="0"/>
              <w:rPr>
                <w:sz w:val="16"/>
                <w:szCs w:val="16"/>
                <w:color w:val="auto"/>
              </w:rPr>
            </w:pP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18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certain other fresh products as well. We sold this facility in 2019 and</w:t>
            </w:r>
          </w:p>
        </w:tc>
        <w:tc>
          <w:tcPr>
            <w:tcW w:w="20" w:type="dxa"/>
            <w:vAlign w:val="bottom"/>
          </w:tcPr>
          <w:p>
            <w:pPr>
              <w:spacing w:after="0"/>
              <w:rPr>
                <w:sz w:val="17"/>
                <w:szCs w:val="17"/>
                <w:color w:val="auto"/>
              </w:rPr>
            </w:pPr>
          </w:p>
        </w:tc>
      </w:tr>
      <w:tr>
        <w:trPr>
          <w:trHeight w:val="217"/>
        </w:trPr>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18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leased back a portion of it.</w:t>
            </w:r>
          </w:p>
        </w:tc>
        <w:tc>
          <w:tcPr>
            <w:tcW w:w="20" w:type="dxa"/>
            <w:vAlign w:val="bottom"/>
          </w:tcPr>
          <w:p>
            <w:pPr>
              <w:spacing w:after="0"/>
              <w:rPr>
                <w:sz w:val="18"/>
                <w:szCs w:val="18"/>
                <w:color w:val="auto"/>
              </w:rPr>
            </w:pPr>
          </w:p>
        </w:tc>
      </w:tr>
      <w:tr>
        <w:trPr>
          <w:trHeight w:val="221"/>
        </w:trPr>
        <w:tc>
          <w:tcPr>
            <w:tcW w:w="292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and Distributing Facilities: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3"/>
        </w:trPr>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Leased or Owned:</w:t>
            </w:r>
          </w:p>
        </w:tc>
        <w:tc>
          <w:tcPr>
            <w:tcW w:w="2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City</w:t>
            </w: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State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tcPr>
          <w:p>
            <w:pPr>
              <w:ind w:left="21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20" w:type="dxa"/>
            <w:vAlign w:val="bottom"/>
          </w:tcPr>
          <w:p>
            <w:pPr>
              <w:spacing w:after="0"/>
              <w:rPr>
                <w:sz w:val="24"/>
                <w:szCs w:val="24"/>
                <w:color w:val="auto"/>
              </w:rPr>
            </w:pPr>
          </w:p>
        </w:tc>
      </w:tr>
      <w:tr>
        <w:trPr>
          <w:trHeight w:val="130"/>
        </w:trPr>
        <w:tc>
          <w:tcPr>
            <w:tcW w:w="1360" w:type="dxa"/>
            <w:vAlign w:val="bottom"/>
            <w:tcBorders>
              <w:top w:val="single" w:sz="8" w:color="auto"/>
            </w:tcBorders>
            <w:gridSpan w:val="2"/>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Owned</w:t>
            </w: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gridSpan w:val="2"/>
            <w:shd w:val="clear" w:color="auto" w:fill="CCEEFF"/>
          </w:tcPr>
          <w:p>
            <w:pPr>
              <w:jc w:val="center"/>
              <w:ind w:right="20"/>
              <w:spacing w:after="0" w:line="131" w:lineRule="exact"/>
              <w:rPr>
                <w:sz w:val="20"/>
                <w:szCs w:val="20"/>
                <w:color w:val="auto"/>
              </w:rPr>
            </w:pPr>
            <w:r>
              <w:rPr>
                <w:rFonts w:ascii="Times New Roman" w:cs="Times New Roman" w:eastAsia="Times New Roman" w:hAnsi="Times New Roman"/>
                <w:sz w:val="15"/>
                <w:szCs w:val="15"/>
                <w:color w:val="auto"/>
              </w:rPr>
              <w:t>Santa Paula</w:t>
            </w:r>
          </w:p>
        </w:tc>
        <w:tc>
          <w:tcPr>
            <w:tcW w:w="2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31" w:lineRule="exact"/>
              <w:rPr>
                <w:sz w:val="20"/>
                <w:szCs w:val="20"/>
                <w:color w:val="auto"/>
              </w:rPr>
            </w:pPr>
            <w:r>
              <w:rPr>
                <w:rFonts w:ascii="Times New Roman" w:cs="Times New Roman" w:eastAsia="Times New Roman" w:hAnsi="Times New Roman"/>
                <w:sz w:val="15"/>
                <w:szCs w:val="15"/>
                <w:color w:val="auto"/>
              </w:rPr>
              <w:t>California</w:t>
            </w:r>
          </w:p>
        </w:tc>
        <w:tc>
          <w:tcPr>
            <w:tcW w:w="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80" w:type="dxa"/>
            <w:vAlign w:val="bottom"/>
            <w:tcBorders>
              <w:top w:val="single" w:sz="8" w:color="auto"/>
              <w:right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5"/>
                <w:szCs w:val="15"/>
                <w:color w:val="auto"/>
              </w:rPr>
              <w:t>Primarily ripens, sorts, packs and ships fresh avocados. We sort and pack</w:t>
            </w:r>
          </w:p>
        </w:tc>
        <w:tc>
          <w:tcPr>
            <w:tcW w:w="20" w:type="dxa"/>
            <w:vAlign w:val="bottom"/>
            <w:tcBorders>
              <w:top w:val="single" w:sz="8" w:color="CCEEFF"/>
            </w:tcBorders>
            <w:shd w:val="clear" w:color="auto" w:fill="CCEEFF"/>
          </w:tcPr>
          <w:p>
            <w:pPr>
              <w:spacing w:after="0"/>
              <w:rPr>
                <w:sz w:val="11"/>
                <w:szCs w:val="11"/>
                <w:color w:val="auto"/>
              </w:rPr>
            </w:pPr>
          </w:p>
        </w:tc>
      </w:tr>
      <w:tr>
        <w:trPr>
          <w:trHeight w:val="172"/>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72" w:lineRule="exact"/>
              <w:rPr>
                <w:sz w:val="20"/>
                <w:szCs w:val="20"/>
                <w:color w:val="auto"/>
              </w:rPr>
            </w:pPr>
            <w:r>
              <w:rPr>
                <w:rFonts w:ascii="Times New Roman" w:cs="Times New Roman" w:eastAsia="Times New Roman" w:hAnsi="Times New Roman"/>
                <w:sz w:val="17"/>
                <w:szCs w:val="17"/>
                <w:color w:val="auto"/>
                <w:w w:val="99"/>
              </w:rPr>
              <w:t>certain other fresh products as well. We believe that the annual capacity</w:t>
            </w:r>
          </w:p>
        </w:tc>
        <w:tc>
          <w:tcPr>
            <w:tcW w:w="20" w:type="dxa"/>
            <w:vAlign w:val="bottom"/>
            <w:shd w:val="clear" w:color="auto" w:fill="CCEEFF"/>
          </w:tcPr>
          <w:p>
            <w:pPr>
              <w:spacing w:after="0"/>
              <w:rPr>
                <w:sz w:val="14"/>
                <w:szCs w:val="14"/>
                <w:color w:val="auto"/>
              </w:rPr>
            </w:pPr>
          </w:p>
        </w:tc>
      </w:tr>
      <w:tr>
        <w:trPr>
          <w:trHeight w:val="167"/>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of this facility will be sufficient to pack and ripen, if necessary, its</w:t>
            </w:r>
          </w:p>
        </w:tc>
        <w:tc>
          <w:tcPr>
            <w:tcW w:w="20" w:type="dxa"/>
            <w:vAlign w:val="bottom"/>
            <w:shd w:val="clear" w:color="auto" w:fill="CCEEFF"/>
          </w:tcPr>
          <w:p>
            <w:pPr>
              <w:spacing w:after="0"/>
              <w:rPr>
                <w:sz w:val="14"/>
                <w:szCs w:val="14"/>
                <w:color w:val="auto"/>
              </w:rPr>
            </w:pPr>
          </w:p>
        </w:tc>
      </w:tr>
      <w:tr>
        <w:trPr>
          <w:trHeight w:val="163"/>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63" w:lineRule="exact"/>
              <w:rPr>
                <w:sz w:val="20"/>
                <w:szCs w:val="20"/>
                <w:color w:val="auto"/>
              </w:rPr>
            </w:pPr>
            <w:r>
              <w:rPr>
                <w:rFonts w:ascii="Times New Roman" w:cs="Times New Roman" w:eastAsia="Times New Roman" w:hAnsi="Times New Roman"/>
                <w:sz w:val="17"/>
                <w:szCs w:val="17"/>
                <w:color w:val="auto"/>
                <w:w w:val="99"/>
              </w:rPr>
              <w:t>expected annual volume of avocados and other fresh products delivered</w:t>
            </w:r>
          </w:p>
        </w:tc>
        <w:tc>
          <w:tcPr>
            <w:tcW w:w="20" w:type="dxa"/>
            <w:vAlign w:val="bottom"/>
            <w:shd w:val="clear" w:color="auto" w:fill="CCEEFF"/>
          </w:tcPr>
          <w:p>
            <w:pPr>
              <w:spacing w:after="0"/>
              <w:rPr>
                <w:sz w:val="14"/>
                <w:szCs w:val="14"/>
                <w:color w:val="auto"/>
              </w:rPr>
            </w:pP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 us.</w:t>
            </w:r>
          </w:p>
        </w:tc>
        <w:tc>
          <w:tcPr>
            <w:tcW w:w="20" w:type="dxa"/>
            <w:vAlign w:val="bottom"/>
            <w:shd w:val="clear" w:color="auto" w:fill="CCEEFF"/>
          </w:tcPr>
          <w:p>
            <w:pPr>
              <w:spacing w:after="0"/>
              <w:rPr>
                <w:sz w:val="17"/>
                <w:szCs w:val="17"/>
                <w:color w:val="auto"/>
              </w:rPr>
            </w:pPr>
          </w:p>
        </w:tc>
      </w:tr>
      <w:tr>
        <w:trPr>
          <w:trHeight w:val="188"/>
        </w:trPr>
        <w:tc>
          <w:tcPr>
            <w:tcW w:w="13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8"/>
        </w:trPr>
        <w:tc>
          <w:tcPr>
            <w:tcW w:w="1580" w:type="dxa"/>
            <w:vAlign w:val="bottom"/>
            <w:gridSpan w:val="3"/>
            <w:shd w:val="clear" w:color="auto" w:fill="CCEEFF"/>
          </w:tcPr>
          <w:p>
            <w:pPr>
              <w:jc w:val="center"/>
              <w:ind w:right="220"/>
              <w:spacing w:after="0" w:line="138" w:lineRule="exact"/>
              <w:rPr>
                <w:sz w:val="20"/>
                <w:szCs w:val="20"/>
                <w:color w:val="auto"/>
              </w:rPr>
            </w:pPr>
            <w:r>
              <w:rPr>
                <w:rFonts w:ascii="Times New Roman" w:cs="Times New Roman" w:eastAsia="Times New Roman" w:hAnsi="Times New Roman"/>
                <w:sz w:val="15"/>
                <w:szCs w:val="15"/>
                <w:color w:val="auto"/>
              </w:rPr>
              <w:t>Leased</w:t>
            </w:r>
          </w:p>
        </w:tc>
        <w:tc>
          <w:tcPr>
            <w:tcW w:w="2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60"/>
              <w:spacing w:after="0" w:line="138" w:lineRule="exact"/>
              <w:rPr>
                <w:sz w:val="20"/>
                <w:szCs w:val="20"/>
                <w:color w:val="auto"/>
              </w:rPr>
            </w:pPr>
            <w:r>
              <w:rPr>
                <w:rFonts w:ascii="Times New Roman" w:cs="Times New Roman" w:eastAsia="Times New Roman" w:hAnsi="Times New Roman"/>
                <w:sz w:val="15"/>
                <w:szCs w:val="15"/>
                <w:color w:val="auto"/>
              </w:rPr>
              <w:t>Swedesboro</w:t>
            </w: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New Jersey</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960" w:type="dxa"/>
            <w:vAlign w:val="bottom"/>
            <w:tcBorders>
              <w:right w:val="single" w:sz="8" w:color="CCEEFF"/>
            </w:tcBorders>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5"/>
                <w:szCs w:val="15"/>
                <w:color w:val="auto"/>
              </w:rPr>
              <w:t>Primarily ripens, sorts, packs, and ships fresh avocados. Additionally, it</w:t>
            </w:r>
          </w:p>
        </w:tc>
        <w:tc>
          <w:tcPr>
            <w:tcW w:w="2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72" w:lineRule="exact"/>
              <w:rPr>
                <w:sz w:val="20"/>
                <w:szCs w:val="20"/>
                <w:color w:val="auto"/>
              </w:rPr>
            </w:pPr>
            <w:r>
              <w:rPr>
                <w:rFonts w:ascii="Times New Roman" w:cs="Times New Roman" w:eastAsia="Times New Roman" w:hAnsi="Times New Roman"/>
                <w:sz w:val="17"/>
                <w:szCs w:val="17"/>
                <w:color w:val="auto"/>
              </w:rPr>
              <w:t>also serves to store and ship certain other fresh products, as well as</w:t>
            </w:r>
          </w:p>
        </w:tc>
        <w:tc>
          <w:tcPr>
            <w:tcW w:w="20" w:type="dxa"/>
            <w:vAlign w:val="bottom"/>
            <w:shd w:val="clear" w:color="auto" w:fill="CCEEFF"/>
          </w:tcPr>
          <w:p>
            <w:pPr>
              <w:spacing w:after="0"/>
              <w:rPr>
                <w:sz w:val="14"/>
                <w:szCs w:val="14"/>
                <w:color w:val="auto"/>
              </w:rPr>
            </w:pPr>
          </w:p>
        </w:tc>
      </w:tr>
      <w:tr>
        <w:trPr>
          <w:trHeight w:val="167"/>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80" w:type="dxa"/>
            <w:vAlign w:val="bottom"/>
            <w:tcBorders>
              <w:right w:val="single" w:sz="8" w:color="CCEEFF"/>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prepared foods and prepared guacamole products. We believe that the</w:t>
            </w:r>
          </w:p>
        </w:tc>
        <w:tc>
          <w:tcPr>
            <w:tcW w:w="20" w:type="dxa"/>
            <w:vAlign w:val="bottom"/>
            <w:shd w:val="clear" w:color="auto" w:fill="CCEEFF"/>
          </w:tcPr>
          <w:p>
            <w:pPr>
              <w:spacing w:after="0"/>
              <w:rPr>
                <w:sz w:val="14"/>
                <w:szCs w:val="14"/>
                <w:color w:val="auto"/>
              </w:rPr>
            </w:pPr>
          </w:p>
        </w:tc>
      </w:tr>
      <w:tr>
        <w:trPr>
          <w:trHeight w:val="163"/>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63" w:lineRule="exact"/>
              <w:rPr>
                <w:sz w:val="20"/>
                <w:szCs w:val="20"/>
                <w:color w:val="auto"/>
              </w:rPr>
            </w:pPr>
            <w:r>
              <w:rPr>
                <w:rFonts w:ascii="Times New Roman" w:cs="Times New Roman" w:eastAsia="Times New Roman" w:hAnsi="Times New Roman"/>
                <w:sz w:val="17"/>
                <w:szCs w:val="17"/>
                <w:color w:val="auto"/>
                <w:w w:val="99"/>
              </w:rPr>
              <w:t>annual capacity of this facility will be sufficient to handle its forecasted</w:t>
            </w:r>
          </w:p>
        </w:tc>
        <w:tc>
          <w:tcPr>
            <w:tcW w:w="20" w:type="dxa"/>
            <w:vAlign w:val="bottom"/>
            <w:shd w:val="clear" w:color="auto" w:fill="CCEEFF"/>
          </w:tcPr>
          <w:p>
            <w:pPr>
              <w:spacing w:after="0"/>
              <w:rPr>
                <w:sz w:val="14"/>
                <w:szCs w:val="14"/>
                <w:color w:val="auto"/>
              </w:rPr>
            </w:pPr>
          </w:p>
        </w:tc>
      </w:tr>
      <w:tr>
        <w:trPr>
          <w:trHeight w:val="201"/>
        </w:trPr>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9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annual production needs.</w:t>
            </w:r>
          </w:p>
        </w:tc>
        <w:tc>
          <w:tcPr>
            <w:tcW w:w="20" w:type="dxa"/>
            <w:vAlign w:val="bottom"/>
            <w:shd w:val="clear" w:color="auto" w:fill="CCEEFF"/>
          </w:tcPr>
          <w:p>
            <w:pPr>
              <w:spacing w:after="0"/>
              <w:rPr>
                <w:sz w:val="17"/>
                <w:szCs w:val="17"/>
                <w:color w:val="auto"/>
              </w:rPr>
            </w:pPr>
          </w:p>
        </w:tc>
      </w:tr>
      <w:tr>
        <w:trPr>
          <w:trHeight w:val="188"/>
        </w:trPr>
        <w:tc>
          <w:tcPr>
            <w:tcW w:w="13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8"/>
        </w:trPr>
        <w:tc>
          <w:tcPr>
            <w:tcW w:w="1580" w:type="dxa"/>
            <w:vAlign w:val="bottom"/>
            <w:gridSpan w:val="3"/>
            <w:shd w:val="clear" w:color="auto" w:fill="CCEEFF"/>
          </w:tcPr>
          <w:p>
            <w:pPr>
              <w:jc w:val="center"/>
              <w:ind w:right="220"/>
              <w:spacing w:after="0" w:line="138" w:lineRule="exact"/>
              <w:rPr>
                <w:sz w:val="20"/>
                <w:szCs w:val="20"/>
                <w:color w:val="auto"/>
              </w:rPr>
            </w:pPr>
            <w:r>
              <w:rPr>
                <w:rFonts w:ascii="Times New Roman" w:cs="Times New Roman" w:eastAsia="Times New Roman" w:hAnsi="Times New Roman"/>
                <w:sz w:val="15"/>
                <w:szCs w:val="15"/>
                <w:color w:val="auto"/>
              </w:rPr>
              <w:t>Leased</w:t>
            </w:r>
          </w:p>
        </w:tc>
        <w:tc>
          <w:tcPr>
            <w:tcW w:w="2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60"/>
              <w:spacing w:after="0" w:line="138" w:lineRule="exact"/>
              <w:rPr>
                <w:sz w:val="20"/>
                <w:szCs w:val="20"/>
                <w:color w:val="auto"/>
              </w:rPr>
            </w:pPr>
            <w:r>
              <w:rPr>
                <w:rFonts w:ascii="Times New Roman" w:cs="Times New Roman" w:eastAsia="Times New Roman" w:hAnsi="Times New Roman"/>
                <w:sz w:val="15"/>
                <w:szCs w:val="15"/>
                <w:color w:val="auto"/>
              </w:rPr>
              <w:t>Garland</w:t>
            </w: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Texas</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960" w:type="dxa"/>
            <w:vAlign w:val="bottom"/>
            <w:tcBorders>
              <w:right w:val="single" w:sz="8" w:color="CCEEFF"/>
            </w:tcBorders>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5"/>
                <w:szCs w:val="15"/>
                <w:color w:val="auto"/>
              </w:rPr>
              <w:t>Primarily ripens, sorts, packs and ships fresh avocados. Additionally, it</w:t>
            </w:r>
          </w:p>
        </w:tc>
        <w:tc>
          <w:tcPr>
            <w:tcW w:w="2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72" w:lineRule="exact"/>
              <w:rPr>
                <w:sz w:val="20"/>
                <w:szCs w:val="20"/>
                <w:color w:val="auto"/>
              </w:rPr>
            </w:pPr>
            <w:r>
              <w:rPr>
                <w:rFonts w:ascii="Times New Roman" w:cs="Times New Roman" w:eastAsia="Times New Roman" w:hAnsi="Times New Roman"/>
                <w:sz w:val="17"/>
                <w:szCs w:val="17"/>
                <w:color w:val="auto"/>
              </w:rPr>
              <w:t>also serves to store and ship prepared guacamole products. We believe</w:t>
            </w:r>
          </w:p>
        </w:tc>
        <w:tc>
          <w:tcPr>
            <w:tcW w:w="20" w:type="dxa"/>
            <w:vAlign w:val="bottom"/>
            <w:shd w:val="clear" w:color="auto" w:fill="CCEEFF"/>
          </w:tcPr>
          <w:p>
            <w:pPr>
              <w:spacing w:after="0"/>
              <w:rPr>
                <w:sz w:val="14"/>
                <w:szCs w:val="14"/>
                <w:color w:val="auto"/>
              </w:rPr>
            </w:pPr>
          </w:p>
        </w:tc>
      </w:tr>
      <w:tr>
        <w:trPr>
          <w:trHeight w:val="167"/>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that the annual capacity of this facility will be sufficient to handle its</w:t>
            </w:r>
          </w:p>
        </w:tc>
        <w:tc>
          <w:tcPr>
            <w:tcW w:w="20" w:type="dxa"/>
            <w:vAlign w:val="bottom"/>
            <w:shd w:val="clear" w:color="auto" w:fill="CCEEFF"/>
          </w:tcPr>
          <w:p>
            <w:pPr>
              <w:spacing w:after="0"/>
              <w:rPr>
                <w:sz w:val="14"/>
                <w:szCs w:val="14"/>
                <w:color w:val="auto"/>
              </w:rPr>
            </w:pPr>
          </w:p>
        </w:tc>
      </w:tr>
      <w:tr>
        <w:trPr>
          <w:trHeight w:val="188"/>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60" w:type="dxa"/>
            <w:vAlign w:val="bottom"/>
            <w:tcBorders>
              <w:right w:val="single" w:sz="8" w:color="CCEEFF"/>
            </w:tcBorders>
            <w:gridSpan w:val="2"/>
            <w:shd w:val="clear" w:color="auto" w:fill="CCEEFF"/>
          </w:tcPr>
          <w:p>
            <w:pPr>
              <w:ind w:left="60"/>
              <w:spacing w:after="0" w:line="188" w:lineRule="exact"/>
              <w:rPr>
                <w:sz w:val="20"/>
                <w:szCs w:val="20"/>
                <w:color w:val="auto"/>
              </w:rPr>
            </w:pPr>
            <w:r>
              <w:rPr>
                <w:rFonts w:ascii="Times New Roman" w:cs="Times New Roman" w:eastAsia="Times New Roman" w:hAnsi="Times New Roman"/>
                <w:sz w:val="17"/>
                <w:szCs w:val="17"/>
                <w:color w:val="auto"/>
              </w:rPr>
              <w:t>forecasted annual production needs.</w:t>
            </w:r>
          </w:p>
        </w:tc>
        <w:tc>
          <w:tcPr>
            <w:tcW w:w="20" w:type="dxa"/>
            <w:vAlign w:val="bottom"/>
            <w:shd w:val="clear" w:color="auto" w:fill="CCEEFF"/>
          </w:tcPr>
          <w:p>
            <w:pPr>
              <w:spacing w:after="0"/>
              <w:rPr>
                <w:sz w:val="16"/>
                <w:szCs w:val="16"/>
                <w:color w:val="auto"/>
              </w:rPr>
            </w:pPr>
          </w:p>
        </w:tc>
      </w:tr>
      <w:tr>
        <w:trPr>
          <w:trHeight w:val="188"/>
        </w:trPr>
        <w:tc>
          <w:tcPr>
            <w:tcW w:w="136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8"/>
        </w:trPr>
        <w:tc>
          <w:tcPr>
            <w:tcW w:w="1580" w:type="dxa"/>
            <w:vAlign w:val="bottom"/>
            <w:gridSpan w:val="3"/>
            <w:shd w:val="clear" w:color="auto" w:fill="CCEEFF"/>
          </w:tcPr>
          <w:p>
            <w:pPr>
              <w:jc w:val="center"/>
              <w:ind w:right="220"/>
              <w:spacing w:after="0" w:line="138" w:lineRule="exact"/>
              <w:rPr>
                <w:sz w:val="20"/>
                <w:szCs w:val="20"/>
                <w:color w:val="auto"/>
              </w:rPr>
            </w:pPr>
            <w:r>
              <w:rPr>
                <w:rFonts w:ascii="Times New Roman" w:cs="Times New Roman" w:eastAsia="Times New Roman" w:hAnsi="Times New Roman"/>
                <w:sz w:val="15"/>
                <w:szCs w:val="15"/>
                <w:color w:val="auto"/>
              </w:rPr>
              <w:t>Leased</w:t>
            </w:r>
          </w:p>
        </w:tc>
        <w:tc>
          <w:tcPr>
            <w:tcW w:w="2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40"/>
              <w:spacing w:after="0" w:line="138" w:lineRule="exact"/>
              <w:rPr>
                <w:sz w:val="20"/>
                <w:szCs w:val="20"/>
                <w:color w:val="auto"/>
              </w:rPr>
            </w:pPr>
            <w:r>
              <w:rPr>
                <w:rFonts w:ascii="Times New Roman" w:cs="Times New Roman" w:eastAsia="Times New Roman" w:hAnsi="Times New Roman"/>
                <w:sz w:val="15"/>
                <w:szCs w:val="15"/>
                <w:color w:val="auto"/>
              </w:rPr>
              <w:t>Green Cove</w:t>
            </w: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5"/>
                <w:szCs w:val="15"/>
                <w:color w:val="auto"/>
              </w:rPr>
              <w:t>Florida</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960" w:type="dxa"/>
            <w:vAlign w:val="bottom"/>
            <w:tcBorders>
              <w:right w:val="single" w:sz="8" w:color="CCEEFF"/>
            </w:tcBorders>
            <w:gridSpan w:val="2"/>
            <w:shd w:val="clear" w:color="auto" w:fill="CCEEFF"/>
          </w:tcPr>
          <w:p>
            <w:pPr>
              <w:ind w:left="60"/>
              <w:spacing w:after="0" w:line="138" w:lineRule="exact"/>
              <w:rPr>
                <w:sz w:val="20"/>
                <w:szCs w:val="20"/>
                <w:color w:val="auto"/>
              </w:rPr>
            </w:pPr>
            <w:r>
              <w:rPr>
                <w:rFonts w:ascii="Times New Roman" w:cs="Times New Roman" w:eastAsia="Times New Roman" w:hAnsi="Times New Roman"/>
                <w:sz w:val="15"/>
                <w:szCs w:val="15"/>
                <w:color w:val="auto"/>
              </w:rPr>
              <w:t>Primarily ripens, sorts, packs and ships fresh avocados and stores and</w:t>
            </w:r>
          </w:p>
        </w:tc>
        <w:tc>
          <w:tcPr>
            <w:tcW w:w="20" w:type="dxa"/>
            <w:vAlign w:val="bottom"/>
            <w:shd w:val="clear" w:color="auto" w:fill="CCEEFF"/>
          </w:tcPr>
          <w:p>
            <w:pPr>
              <w:spacing w:after="0"/>
              <w:rPr>
                <w:sz w:val="11"/>
                <w:szCs w:val="11"/>
                <w:color w:val="auto"/>
              </w:rPr>
            </w:pPr>
          </w:p>
        </w:tc>
      </w:tr>
      <w:tr>
        <w:trPr>
          <w:trHeight w:val="172"/>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center"/>
              <w:ind w:right="260"/>
              <w:spacing w:after="0" w:line="172" w:lineRule="exact"/>
              <w:rPr>
                <w:sz w:val="20"/>
                <w:szCs w:val="20"/>
                <w:color w:val="auto"/>
              </w:rPr>
            </w:pPr>
            <w:r>
              <w:rPr>
                <w:rFonts w:ascii="Times New Roman" w:cs="Times New Roman" w:eastAsia="Times New Roman" w:hAnsi="Times New Roman"/>
                <w:sz w:val="17"/>
                <w:szCs w:val="17"/>
                <w:color w:val="auto"/>
                <w:w w:val="96"/>
              </w:rPr>
              <w:t>Springs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72" w:lineRule="exact"/>
              <w:rPr>
                <w:sz w:val="20"/>
                <w:szCs w:val="20"/>
                <w:color w:val="auto"/>
              </w:rPr>
            </w:pPr>
            <w:r>
              <w:rPr>
                <w:rFonts w:ascii="Times New Roman" w:cs="Times New Roman" w:eastAsia="Times New Roman" w:hAnsi="Times New Roman"/>
                <w:sz w:val="17"/>
                <w:szCs w:val="17"/>
                <w:color w:val="auto"/>
              </w:rPr>
              <w:t>ships prepared guacamole. We believe that the annual capacity of this</w:t>
            </w:r>
          </w:p>
        </w:tc>
        <w:tc>
          <w:tcPr>
            <w:tcW w:w="20" w:type="dxa"/>
            <w:vAlign w:val="bottom"/>
            <w:shd w:val="clear" w:color="auto" w:fill="CCEEFF"/>
          </w:tcPr>
          <w:p>
            <w:pPr>
              <w:spacing w:after="0"/>
              <w:rPr>
                <w:sz w:val="14"/>
                <w:szCs w:val="14"/>
                <w:color w:val="auto"/>
              </w:rPr>
            </w:pPr>
          </w:p>
        </w:tc>
      </w:tr>
      <w:tr>
        <w:trPr>
          <w:trHeight w:val="167"/>
        </w:trPr>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960" w:type="dxa"/>
            <w:vAlign w:val="bottom"/>
            <w:tcBorders>
              <w:right w:val="single" w:sz="8" w:color="CCEEFF"/>
            </w:tcBorders>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facility will be sufficient to handle its forecasted annual production</w:t>
            </w:r>
          </w:p>
        </w:tc>
        <w:tc>
          <w:tcPr>
            <w:tcW w:w="20" w:type="dxa"/>
            <w:vAlign w:val="bottom"/>
            <w:shd w:val="clear" w:color="auto" w:fill="CCEEFF"/>
          </w:tcPr>
          <w:p>
            <w:pPr>
              <w:spacing w:after="0"/>
              <w:rPr>
                <w:sz w:val="14"/>
                <w:szCs w:val="14"/>
                <w:color w:val="auto"/>
              </w:rPr>
            </w:pPr>
          </w:p>
        </w:tc>
      </w:tr>
      <w:tr>
        <w:trPr>
          <w:trHeight w:val="188"/>
        </w:trPr>
        <w:tc>
          <w:tcPr>
            <w:tcW w:w="1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60" w:type="dxa"/>
            <w:vAlign w:val="bottom"/>
            <w:tcBorders>
              <w:right w:val="single" w:sz="8" w:color="CCEEFF"/>
            </w:tcBorders>
            <w:gridSpan w:val="2"/>
            <w:shd w:val="clear" w:color="auto" w:fill="CCEEFF"/>
          </w:tcPr>
          <w:p>
            <w:pPr>
              <w:ind w:left="60"/>
              <w:spacing w:after="0" w:line="188" w:lineRule="exact"/>
              <w:rPr>
                <w:sz w:val="20"/>
                <w:szCs w:val="20"/>
                <w:color w:val="auto"/>
              </w:rPr>
            </w:pPr>
            <w:r>
              <w:rPr>
                <w:rFonts w:ascii="Times New Roman" w:cs="Times New Roman" w:eastAsia="Times New Roman" w:hAnsi="Times New Roman"/>
                <w:sz w:val="17"/>
                <w:szCs w:val="17"/>
                <w:color w:val="auto"/>
              </w:rPr>
              <w:t>needs.</w:t>
            </w:r>
          </w:p>
        </w:tc>
        <w:tc>
          <w:tcPr>
            <w:tcW w:w="20" w:type="dxa"/>
            <w:vAlign w:val="bottom"/>
            <w:shd w:val="clear" w:color="auto" w:fill="CCEEFF"/>
          </w:tcPr>
          <w:p>
            <w:pPr>
              <w:spacing w:after="0"/>
              <w:rPr>
                <w:sz w:val="16"/>
                <w:szCs w:val="16"/>
                <w:color w:val="auto"/>
              </w:rPr>
            </w:pPr>
          </w:p>
        </w:tc>
      </w:tr>
      <w:tr>
        <w:trPr>
          <w:trHeight w:val="326"/>
        </w:trPr>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9"/>
              </w:rPr>
              <w:t>Leased</w:t>
            </w:r>
          </w:p>
        </w:tc>
        <w:tc>
          <w:tcPr>
            <w:tcW w:w="20" w:type="dxa"/>
            <w:vAlign w:val="bottom"/>
          </w:tcPr>
          <w:p>
            <w:pPr>
              <w:spacing w:after="0"/>
              <w:rPr>
                <w:sz w:val="24"/>
                <w:szCs w:val="24"/>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color w:val="auto"/>
                <w:w w:val="99"/>
              </w:rPr>
              <w:t>Hilo</w:t>
            </w:r>
          </w:p>
        </w:tc>
        <w:tc>
          <w:tcPr>
            <w:tcW w:w="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Hawaii</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Primarily sorts, packs, and ships papayas. We believe that the annual</w:t>
            </w:r>
          </w:p>
        </w:tc>
        <w:tc>
          <w:tcPr>
            <w:tcW w:w="20" w:type="dxa"/>
            <w:vAlign w:val="bottom"/>
          </w:tcPr>
          <w:p>
            <w:pPr>
              <w:spacing w:after="0"/>
              <w:rPr>
                <w:sz w:val="24"/>
                <w:szCs w:val="24"/>
                <w:color w:val="auto"/>
              </w:rPr>
            </w:pPr>
          </w:p>
        </w:tc>
      </w:tr>
      <w:tr>
        <w:trPr>
          <w:trHeight w:val="190"/>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6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7"/>
                <w:szCs w:val="17"/>
                <w:color w:val="auto"/>
              </w:rPr>
              <w:t>capacity will be sufficient to handle its forecasted annual production</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-207645</wp:posOffset>
            </wp:positionV>
            <wp:extent cx="5669280" cy="318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69280" cy="318770"/>
                    </a:xfrm>
                    <a:prstGeom prst="rect">
                      <a:avLst/>
                    </a:prstGeom>
                    <a:noFill/>
                  </pic:spPr>
                </pic:pic>
              </a:graphicData>
            </a:graphic>
          </wp:anchor>
        </w:drawing>
      </w:r>
    </w:p>
    <w:p>
      <w:pPr>
        <w:ind w:left="4060"/>
        <w:spacing w:after="0"/>
        <w:rPr>
          <w:sz w:val="20"/>
          <w:szCs w:val="20"/>
          <w:color w:val="auto"/>
        </w:rPr>
      </w:pPr>
      <w:r>
        <w:rPr>
          <w:rFonts w:ascii="Times New Roman" w:cs="Times New Roman" w:eastAsia="Times New Roman" w:hAnsi="Times New Roman"/>
          <w:sz w:val="17"/>
          <w:szCs w:val="17"/>
          <w:color w:val="auto"/>
        </w:rPr>
        <w:t>needs.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0"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Mexico Locations: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Packinghouses and Processing Facility:</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Leased or Owned:</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City</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State</w:t>
            </w:r>
          </w:p>
        </w:tc>
        <w:tc>
          <w:tcPr>
            <w:tcW w:w="240" w:type="dxa"/>
            <w:vAlign w:val="bottom"/>
          </w:tcPr>
          <w:p>
            <w:pPr>
              <w:spacing w:after="0"/>
              <w:rPr>
                <w:sz w:val="14"/>
                <w:szCs w:val="14"/>
                <w:color w:val="auto"/>
              </w:rPr>
            </w:pPr>
          </w:p>
        </w:tc>
        <w:tc>
          <w:tcPr>
            <w:tcW w:w="4980" w:type="dxa"/>
            <w:vAlign w:val="bottom"/>
            <w:gridSpan w:val="2"/>
          </w:tcPr>
          <w:p>
            <w:pPr>
              <w:ind w:left="214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7"/>
        </w:trPr>
        <w:tc>
          <w:tcPr>
            <w:tcW w:w="13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7"/>
              </w:rPr>
              <w:t>Owned</w:t>
            </w: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Uruapan</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7"/>
              </w:rPr>
              <w:t>Michoacan</w:t>
            </w:r>
          </w:p>
        </w:tc>
        <w:tc>
          <w:tcPr>
            <w:tcW w:w="240" w:type="dxa"/>
            <w:vAlign w:val="bottom"/>
            <w:tcBorders>
              <w:top w:val="single" w:sz="8" w:color="CCEEFF"/>
            </w:tcBorders>
            <w:shd w:val="clear" w:color="auto" w:fill="CCEEFF"/>
          </w:tcPr>
          <w:p>
            <w:pPr>
              <w:spacing w:after="0"/>
              <w:rPr>
                <w:sz w:val="15"/>
                <w:szCs w:val="15"/>
                <w:color w:val="auto"/>
              </w:rPr>
            </w:pPr>
          </w:p>
        </w:tc>
        <w:tc>
          <w:tcPr>
            <w:tcW w:w="49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w w:val="98"/>
              </w:rPr>
              <w:t>Our guacamole processing facility produces our guacamole products. We</w:t>
            </w:r>
          </w:p>
        </w:tc>
        <w:tc>
          <w:tcPr>
            <w:tcW w:w="40" w:type="dxa"/>
            <w:vAlign w:val="bottom"/>
            <w:tcBorders>
              <w:top w:val="single" w:sz="8" w:color="CCEEFF"/>
            </w:tcBorders>
            <w:shd w:val="clear" w:color="auto" w:fill="CCEEFF"/>
          </w:tcPr>
          <w:p>
            <w:pPr>
              <w:spacing w:after="0"/>
              <w:rPr>
                <w:sz w:val="15"/>
                <w:szCs w:val="15"/>
                <w:color w:val="auto"/>
              </w:rPr>
            </w:pPr>
          </w:p>
        </w:tc>
      </w:tr>
      <w:tr>
        <w:trPr>
          <w:trHeight w:val="201"/>
        </w:trPr>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w w:val="99"/>
              </w:rPr>
              <w:t>believe that the annual capacity of this facility will be sufficient to handle</w:t>
            </w:r>
          </w:p>
        </w:tc>
      </w:tr>
      <w:tr>
        <w:trPr>
          <w:trHeight w:val="217"/>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its forecasted annual production needs.</w:t>
            </w:r>
          </w:p>
        </w:tc>
      </w:tr>
      <w:tr>
        <w:trPr>
          <w:trHeight w:val="201"/>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4"/>
        </w:trPr>
        <w:tc>
          <w:tcPr>
            <w:tcW w:w="1580" w:type="dxa"/>
            <w:vAlign w:val="bottom"/>
            <w:gridSpan w:val="2"/>
            <w:shd w:val="clear" w:color="auto" w:fill="CCEEFF"/>
          </w:tcPr>
          <w:p>
            <w:pPr>
              <w:jc w:val="center"/>
              <w:ind w:right="260"/>
              <w:spacing w:after="0" w:line="185" w:lineRule="exact"/>
              <w:rPr>
                <w:sz w:val="20"/>
                <w:szCs w:val="20"/>
                <w:color w:val="auto"/>
              </w:rPr>
            </w:pPr>
            <w:r>
              <w:rPr>
                <w:rFonts w:ascii="Times New Roman" w:cs="Times New Roman" w:eastAsia="Times New Roman" w:hAnsi="Times New Roman"/>
                <w:sz w:val="17"/>
                <w:szCs w:val="17"/>
                <w:color w:val="auto"/>
                <w:w w:val="97"/>
              </w:rPr>
              <w:t>Owned</w:t>
            </w:r>
          </w:p>
        </w:tc>
        <w:tc>
          <w:tcPr>
            <w:tcW w:w="1320" w:type="dxa"/>
            <w:vAlign w:val="bottom"/>
            <w:gridSpan w:val="2"/>
            <w:shd w:val="clear" w:color="auto" w:fill="CCEEFF"/>
          </w:tcPr>
          <w:p>
            <w:pPr>
              <w:jc w:val="center"/>
              <w:ind w:right="260"/>
              <w:spacing w:after="0" w:line="185" w:lineRule="exact"/>
              <w:rPr>
                <w:sz w:val="20"/>
                <w:szCs w:val="20"/>
                <w:color w:val="auto"/>
              </w:rPr>
            </w:pPr>
            <w:r>
              <w:rPr>
                <w:rFonts w:ascii="Times New Roman" w:cs="Times New Roman" w:eastAsia="Times New Roman" w:hAnsi="Times New Roman"/>
                <w:sz w:val="17"/>
                <w:szCs w:val="17"/>
                <w:color w:val="auto"/>
                <w:w w:val="99"/>
              </w:rPr>
              <w:t>Uruapan</w:t>
            </w:r>
          </w:p>
        </w:tc>
        <w:tc>
          <w:tcPr>
            <w:tcW w:w="8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7"/>
              </w:rPr>
              <w:t>Michoacan</w:t>
            </w:r>
          </w:p>
        </w:tc>
        <w:tc>
          <w:tcPr>
            <w:tcW w:w="5220" w:type="dxa"/>
            <w:vAlign w:val="bottom"/>
            <w:gridSpan w:val="3"/>
            <w:shd w:val="clear" w:color="auto" w:fill="CCEEFF"/>
          </w:tcPr>
          <w:p>
            <w:pPr>
              <w:ind w:left="240"/>
              <w:spacing w:after="0" w:line="185" w:lineRule="exact"/>
              <w:rPr>
                <w:sz w:val="20"/>
                <w:szCs w:val="20"/>
                <w:color w:val="auto"/>
              </w:rPr>
            </w:pPr>
            <w:r>
              <w:rPr>
                <w:rFonts w:ascii="Times New Roman" w:cs="Times New Roman" w:eastAsia="Times New Roman" w:hAnsi="Times New Roman"/>
                <w:sz w:val="17"/>
                <w:szCs w:val="17"/>
                <w:color w:val="auto"/>
              </w:rPr>
              <w:t>Primarily handles fresh avocados. The facility was built in 1985 and has</w:t>
            </w:r>
          </w:p>
        </w:tc>
      </w:tr>
      <w:tr>
        <w:trPr>
          <w:trHeight w:val="201"/>
        </w:trPr>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been significantly and continually improved in capacity and efficiency</w:t>
            </w:r>
          </w:p>
        </w:tc>
      </w:tr>
      <w:tr>
        <w:trPr>
          <w:trHeight w:val="201"/>
        </w:trPr>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since then. We believe that the annual capacity of this facility will be</w:t>
            </w:r>
          </w:p>
        </w:tc>
      </w:tr>
      <w:tr>
        <w:trPr>
          <w:trHeight w:val="217"/>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sufficient to process its forecasted annual production needs.</w:t>
            </w:r>
          </w:p>
        </w:tc>
      </w:tr>
      <w:tr>
        <w:trPr>
          <w:trHeight w:val="201"/>
        </w:trPr>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4"/>
        </w:trPr>
        <w:tc>
          <w:tcPr>
            <w:tcW w:w="1580" w:type="dxa"/>
            <w:vAlign w:val="bottom"/>
            <w:gridSpan w:val="2"/>
            <w:shd w:val="clear" w:color="auto" w:fill="CCEEFF"/>
          </w:tcPr>
          <w:p>
            <w:pPr>
              <w:jc w:val="center"/>
              <w:ind w:right="260"/>
              <w:spacing w:after="0" w:line="185" w:lineRule="exact"/>
              <w:rPr>
                <w:sz w:val="20"/>
                <w:szCs w:val="20"/>
                <w:color w:val="auto"/>
              </w:rPr>
            </w:pPr>
            <w:r>
              <w:rPr>
                <w:rFonts w:ascii="Times New Roman" w:cs="Times New Roman" w:eastAsia="Times New Roman" w:hAnsi="Times New Roman"/>
                <w:sz w:val="17"/>
                <w:szCs w:val="17"/>
                <w:color w:val="auto"/>
                <w:w w:val="97"/>
              </w:rPr>
              <w:t>Owned</w:t>
            </w:r>
          </w:p>
        </w:tc>
        <w:tc>
          <w:tcPr>
            <w:tcW w:w="1320" w:type="dxa"/>
            <w:vAlign w:val="bottom"/>
            <w:gridSpan w:val="2"/>
            <w:shd w:val="clear" w:color="auto" w:fill="CCEEFF"/>
          </w:tcPr>
          <w:p>
            <w:pPr>
              <w:jc w:val="center"/>
              <w:ind w:right="280"/>
              <w:spacing w:after="0" w:line="185" w:lineRule="exact"/>
              <w:rPr>
                <w:sz w:val="20"/>
                <w:szCs w:val="20"/>
                <w:color w:val="auto"/>
              </w:rPr>
            </w:pPr>
            <w:r>
              <w:rPr>
                <w:rFonts w:ascii="Times New Roman" w:cs="Times New Roman" w:eastAsia="Times New Roman" w:hAnsi="Times New Roman"/>
                <w:sz w:val="17"/>
                <w:szCs w:val="17"/>
                <w:color w:val="auto"/>
                <w:w w:val="97"/>
              </w:rPr>
              <w:t>Ciudad</w:t>
            </w:r>
          </w:p>
        </w:tc>
        <w:tc>
          <w:tcPr>
            <w:tcW w:w="82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7"/>
                <w:szCs w:val="17"/>
                <w:color w:val="auto"/>
                <w:w w:val="99"/>
              </w:rPr>
              <w:t>Jalisco</w:t>
            </w:r>
          </w:p>
        </w:tc>
        <w:tc>
          <w:tcPr>
            <w:tcW w:w="5220" w:type="dxa"/>
            <w:vAlign w:val="bottom"/>
            <w:gridSpan w:val="3"/>
            <w:shd w:val="clear" w:color="auto" w:fill="CCEEFF"/>
          </w:tcPr>
          <w:p>
            <w:pPr>
              <w:ind w:left="240"/>
              <w:spacing w:after="0" w:line="185" w:lineRule="exact"/>
              <w:rPr>
                <w:sz w:val="20"/>
                <w:szCs w:val="20"/>
                <w:color w:val="auto"/>
              </w:rPr>
            </w:pPr>
            <w:r>
              <w:rPr>
                <w:rFonts w:ascii="Times New Roman" w:cs="Times New Roman" w:eastAsia="Times New Roman" w:hAnsi="Times New Roman"/>
                <w:sz w:val="17"/>
                <w:szCs w:val="17"/>
                <w:color w:val="auto"/>
              </w:rPr>
              <w:t>Opened in the third quarter of 2017, this facility primarily handles fresh</w:t>
            </w:r>
          </w:p>
        </w:tc>
      </w:tr>
      <w:tr>
        <w:trPr>
          <w:trHeight w:val="201"/>
        </w:trPr>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7"/>
                <w:szCs w:val="17"/>
                <w:color w:val="auto"/>
                <w:w w:val="97"/>
              </w:rPr>
              <w:t>Guzman</w:t>
            </w:r>
          </w:p>
        </w:tc>
        <w:tc>
          <w:tcPr>
            <w:tcW w:w="820" w:type="dxa"/>
            <w:vAlign w:val="bottom"/>
            <w:shd w:val="clear" w:color="auto" w:fill="CCEEFF"/>
          </w:tcPr>
          <w:p>
            <w:pPr>
              <w:spacing w:after="0"/>
              <w:rPr>
                <w:sz w:val="17"/>
                <w:szCs w:val="17"/>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avocados. We believe that the annual capacity of this facility will be</w:t>
            </w:r>
          </w:p>
        </w:tc>
      </w:tr>
      <w:tr>
        <w:trPr>
          <w:trHeight w:val="217"/>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sufficient to process its forecasted annual production needs.</w:t>
            </w: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See Note 7 of our consolidated financial statements for further information regarding certain legal and compliance matters.</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Our common stock trades on The Nasdaq Global Select Market under the symbol "CVGW".</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As of December 31, 2024, there were 735 stockholders of record of our common stock.</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0" w:lineRule="exact"/>
        <w:rPr>
          <w:sz w:val="20"/>
          <w:szCs w:val="20"/>
          <w:color w:val="auto"/>
        </w:rPr>
      </w:pPr>
    </w:p>
    <w:p>
      <w:pPr>
        <w:ind w:left="40" w:right="179" w:firstLine="226"/>
        <w:spacing w:after="0" w:line="259" w:lineRule="auto"/>
        <w:rPr>
          <w:sz w:val="20"/>
          <w:szCs w:val="20"/>
          <w:color w:val="auto"/>
        </w:rPr>
      </w:pPr>
      <w:r>
        <w:rPr>
          <w:rFonts w:ascii="Times New Roman" w:cs="Times New Roman" w:eastAsia="Times New Roman" w:hAnsi="Times New Roman"/>
          <w:sz w:val="17"/>
          <w:szCs w:val="17"/>
          <w:color w:val="auto"/>
        </w:rPr>
        <w:t>Our dividend policy has historically provided for an annual dividend payment, as determined by the Board of Directors. In November 2022, we announced that we would begin declaring and paying dividends quarterly rather than annually, as had been our practice.</w:t>
      </w:r>
    </w:p>
    <w:p>
      <w:pPr>
        <w:spacing w:after="0" w:line="170"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On January 31, 2024, we paid a dividend of $0.10 per share, or an aggregate of $1.8 million, to shareholders of record on January 26, 2024. On April 29, 2024, we paid a dividend of $0.10 per share, or an aggregate of $1.8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6" w:name="page27"/>
    <w:bookmarkEnd w:id="26"/>
    <w:p>
      <w:pPr>
        <w:ind w:left="280"/>
        <w:spacing w:after="0"/>
        <w:rPr>
          <w:sz w:val="20"/>
          <w:szCs w:val="20"/>
          <w:color w:val="auto"/>
        </w:rPr>
      </w:pPr>
      <w:r>
        <w:rPr>
          <w:rFonts w:ascii="Times New Roman" w:cs="Times New Roman" w:eastAsia="Times New Roman" w:hAnsi="Times New Roman"/>
          <w:sz w:val="20"/>
          <w:szCs w:val="20"/>
          <w:b w:val="1"/>
          <w:bCs w:val="1"/>
          <w:color w:val="auto"/>
        </w:rPr>
        <w:t>Shareholder Return Performance Graph</w:t>
      </w:r>
    </w:p>
    <w:p>
      <w:pPr>
        <w:spacing w:after="0" w:line="210" w:lineRule="exact"/>
        <w:rPr>
          <w:sz w:val="20"/>
          <w:szCs w:val="20"/>
          <w:color w:val="auto"/>
        </w:rPr>
      </w:pPr>
    </w:p>
    <w:p>
      <w:pPr>
        <w:ind w:left="40" w:right="159" w:firstLine="241"/>
        <w:spacing w:after="0" w:line="270" w:lineRule="auto"/>
        <w:rPr>
          <w:sz w:val="20"/>
          <w:szCs w:val="20"/>
          <w:color w:val="auto"/>
        </w:rPr>
      </w:pPr>
      <w:r>
        <w:rPr>
          <w:rFonts w:ascii="Times New Roman" w:cs="Times New Roman" w:eastAsia="Times New Roman" w:hAnsi="Times New Roman"/>
          <w:sz w:val="16"/>
          <w:szCs w:val="16"/>
          <w:color w:val="auto"/>
        </w:rPr>
        <w:t>The following graph compares the performance of our common stock with the performance of the Nasdaq Market Index and a Peer Group of major diversified companies in our industry for approximately the 60-month period beginning October 31, 2019 and ending October 31, 2024. In making this comparison, we have assumed an investment of $100 in Calavo Growers, Inc. common stock, the Nasdaq Market Index, the Peer Group Index as of October 31, 2019. We have also assumed the reinvestment of all dividends. Our Peer Group Index includes the companies of: Andersons, Inc., B&amp;G Foods, Inc., Boston Beer Company, Inc., Fresh Del Monte Produce, Inc., Hain Celestial Group, Inc., J&amp;J Snack Foods, Corp., John B Sanfilippo &amp; Son, Inc., and Landec,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113665</wp:posOffset>
            </wp:positionV>
            <wp:extent cx="5159375" cy="3933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59375" cy="393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20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10/19</w:t>
            </w:r>
          </w:p>
        </w:tc>
        <w:tc>
          <w:tcPr>
            <w:tcW w:w="8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10/20</w:t>
            </w:r>
          </w:p>
        </w:tc>
        <w:tc>
          <w:tcPr>
            <w:tcW w:w="8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10/21</w:t>
            </w:r>
          </w:p>
        </w:tc>
        <w:tc>
          <w:tcPr>
            <w:tcW w:w="82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10/22</w:t>
            </w:r>
          </w:p>
        </w:tc>
        <w:tc>
          <w:tcPr>
            <w:tcW w:w="84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10/24</w:t>
            </w:r>
          </w:p>
        </w:tc>
      </w:tr>
      <w:tr>
        <w:trPr>
          <w:trHeight w:val="156"/>
        </w:trPr>
        <w:tc>
          <w:tcPr>
            <w:tcW w:w="20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Calavo Growers, Inc.</w:t>
            </w:r>
          </w:p>
        </w:tc>
        <w:tc>
          <w:tcPr>
            <w:tcW w:w="1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100.00</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78.41</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47.72</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42.22</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31.52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33.69</w:t>
            </w:r>
          </w:p>
        </w:tc>
      </w:tr>
      <w:tr>
        <w:trPr>
          <w:trHeight w:val="176"/>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NASDAQ Composite</w:t>
            </w: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100.00</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132.84</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189.96</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135.70</w:t>
            </w: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160.11</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227.14</w:t>
            </w:r>
          </w:p>
        </w:tc>
      </w:tr>
      <w:tr>
        <w:trPr>
          <w:trHeight w:val="17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Peer Group</w:t>
            </w:r>
          </w:p>
        </w:tc>
        <w:tc>
          <w:tcPr>
            <w:tcW w:w="1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100.00</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152.09</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129.09</w:t>
            </w:r>
          </w:p>
        </w:tc>
        <w:tc>
          <w:tcPr>
            <w:tcW w:w="8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95.65</w:t>
            </w:r>
          </w:p>
        </w:tc>
        <w:tc>
          <w:tcPr>
            <w:tcW w:w="8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90.11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87.27</w:t>
            </w:r>
          </w:p>
        </w:tc>
      </w:tr>
    </w:tbl>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06" w:lineRule="exact"/>
        <w:rPr>
          <w:sz w:val="20"/>
          <w:szCs w:val="20"/>
          <w:color w:val="auto"/>
        </w:rPr>
      </w:pPr>
    </w:p>
    <w:p>
      <w:pPr>
        <w:ind w:left="40" w:right="99" w:firstLine="241"/>
        <w:spacing w:after="0" w:line="254"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consolidated financial statements and notes thereto that appear elsewhere in this Annual Report. This discussion and analysis contain forward-looking statements that involve risks, uncertainties, and assumptions. Actual results may differ materially from those anticipated in these forward-looking statements because of various factors, including, but not limited to, those presented under "Business and Operational Risks", included in Item 1A and elsewhere in this Annual Report.</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0" w:lineRule="exact"/>
        <w:rPr>
          <w:sz w:val="20"/>
          <w:szCs w:val="20"/>
          <w:color w:val="auto"/>
        </w:rPr>
      </w:pPr>
    </w:p>
    <w:p>
      <w:pPr>
        <w:ind w:left="40" w:right="379" w:firstLine="241"/>
        <w:spacing w:after="0" w:line="255" w:lineRule="auto"/>
        <w:rPr>
          <w:sz w:val="20"/>
          <w:szCs w:val="20"/>
          <w:color w:val="auto"/>
        </w:rPr>
      </w:pPr>
      <w:r>
        <w:rPr>
          <w:rFonts w:ascii="Times New Roman" w:cs="Times New Roman" w:eastAsia="Times New Roman" w:hAnsi="Times New Roman"/>
          <w:sz w:val="17"/>
          <w:szCs w:val="17"/>
          <w:color w:val="auto"/>
        </w:rPr>
        <w:t>We are a leading marketer, processor, and distributor of avocados and other value-added fresh foods, serving customers worldwide. Our expertise in marketing and distributing avocados, as well as developing and manufacturing prepared avocado products and other value-added fresh foods, enables us to deliver a diverse range of products to retail grocery stores, foodservice providers, club stores, mass merchandisers, food distributors, and wholesalers—primarily in the United States.</w:t>
      </w:r>
    </w:p>
    <w:p>
      <w:pPr>
        <w:spacing w:after="0" w:line="172" w:lineRule="exact"/>
        <w:rPr>
          <w:sz w:val="20"/>
          <w:szCs w:val="20"/>
          <w:color w:val="auto"/>
        </w:rPr>
      </w:pPr>
    </w:p>
    <w:p>
      <w:pPr>
        <w:ind w:left="40" w:right="319" w:firstLine="241"/>
        <w:spacing w:after="0" w:line="259" w:lineRule="auto"/>
        <w:rPr>
          <w:sz w:val="20"/>
          <w:szCs w:val="20"/>
          <w:color w:val="auto"/>
        </w:rPr>
      </w:pPr>
      <w:r>
        <w:rPr>
          <w:rFonts w:ascii="Times New Roman" w:cs="Times New Roman" w:eastAsia="Times New Roman" w:hAnsi="Times New Roman"/>
          <w:sz w:val="17"/>
          <w:szCs w:val="17"/>
          <w:color w:val="auto"/>
        </w:rPr>
        <w:t>We source avocados from multiple regions, including California, Mexico, Peru, and Colombia. Across our various operating facilities, we (i) sort, pack, and ripen avocados, tomatoes, and Hawaiian-grown papayas, and (ii) process and package guacamole. We distribute our products both domestically and internationally.</w:t>
      </w:r>
    </w:p>
    <w:p>
      <w:pPr>
        <w:spacing w:after="0" w:line="170"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We report our operations in two different business segments: Grown and Prepared. The Grown segment consists of fresh avocados, tomatoes and papayas. The Prepared segment consists of guacamole sold at retail and foodservice companies as well as avocado pulp sold to foodservice companies. See Note 10 in our consolidated financial statements included elsewhere in this Annual Report on Form 10-K for further information about our business segments.</w:t>
      </w:r>
    </w:p>
    <w:p>
      <w:pPr>
        <w:spacing w:after="0" w:line="172" w:lineRule="exact"/>
        <w:rPr>
          <w:sz w:val="20"/>
          <w:szCs w:val="20"/>
          <w:color w:val="auto"/>
        </w:rPr>
      </w:pPr>
    </w:p>
    <w:p>
      <w:pPr>
        <w:ind w:left="40" w:right="159" w:firstLine="241"/>
        <w:spacing w:after="0" w:line="259" w:lineRule="auto"/>
        <w:rPr>
          <w:sz w:val="20"/>
          <w:szCs w:val="20"/>
          <w:color w:val="auto"/>
        </w:rPr>
      </w:pPr>
      <w:r>
        <w:rPr>
          <w:rFonts w:ascii="Times New Roman" w:cs="Times New Roman" w:eastAsia="Times New Roman" w:hAnsi="Times New Roman"/>
          <w:sz w:val="17"/>
          <w:szCs w:val="17"/>
          <w:color w:val="auto"/>
        </w:rPr>
        <w:t>Our Grown products business grades, sizes, packs, cools, and, when requested, ripens avocados for delivery to our customers. In fiscal 2024, we operated three packinghouses, and five regional distribution facilities all of which perform value-added operations that handle avocados for distribution to our customers.</w:t>
      </w:r>
    </w:p>
    <w:p>
      <w:pPr>
        <w:spacing w:after="0" w:line="170"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We believe our continued success in marketing avocados depends on maintaining a reliable, high-quality supply at reasonable prices, while controlling handling costs as we ship fruit through our packinghouses and distribution centers. Our diverse sourcing network, including California, Mexico, Peru, and Colombia, enhances supply stability, which we believe supports long-term growth in the availability and demand for avocados in the United States and global markets.</w:t>
      </w:r>
    </w:p>
    <w:p>
      <w:pPr>
        <w:spacing w:after="0" w:line="172"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Because fluctuations in avocado volumes impact per-pound handling costs, larger crops generally result in lower unit costs. Our investments in packinghouse equipment, value-added ripening and packing capabilities, and skilled personnel position us to efficiently handle larger volumes and optimize cost structures.</w:t>
      </w:r>
    </w:p>
    <w:p>
      <w:pPr>
        <w:spacing w:after="0" w:line="170" w:lineRule="exact"/>
        <w:rPr>
          <w:sz w:val="20"/>
          <w:szCs w:val="20"/>
          <w:color w:val="auto"/>
        </w:rPr>
      </w:pPr>
    </w:p>
    <w:p>
      <w:pPr>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In addition to avocados, we distribute other perishable foods, including tomatoes and Hawaiian-grown papayas, which we believe complement our avocado offerings. We also periodically evaluate opportunities to distribute other crops that align with our business model and deliver reasonable returns.</w:t>
      </w:r>
    </w:p>
    <w:p>
      <w:pPr>
        <w:spacing w:after="0" w:line="170" w:lineRule="exact"/>
        <w:rPr>
          <w:sz w:val="20"/>
          <w:szCs w:val="20"/>
          <w:color w:val="auto"/>
        </w:rPr>
      </w:pPr>
    </w:p>
    <w:p>
      <w:pPr>
        <w:ind w:left="40" w:right="219" w:firstLine="241"/>
        <w:spacing w:after="0" w:line="255" w:lineRule="auto"/>
        <w:rPr>
          <w:sz w:val="20"/>
          <w:szCs w:val="20"/>
          <w:color w:val="auto"/>
        </w:rPr>
      </w:pPr>
      <w:r>
        <w:rPr>
          <w:rFonts w:ascii="Times New Roman" w:cs="Times New Roman" w:eastAsia="Times New Roman" w:hAnsi="Times New Roman"/>
          <w:sz w:val="17"/>
          <w:szCs w:val="17"/>
          <w:color w:val="auto"/>
        </w:rPr>
        <w:t>Prepared products include guacamole sold at retail and foodservice as well as avocado pulp sold to foodservice. Prepared products are marketed under Calavo-owned brands, as well as store-brand and private label programs. Our Prepared business maintains relationships with foodservice companies and food retailers. We continue to seek to expand our relationships with major foodservice companies and food retailers and develop alliances that will allow our products to reach more consumers.</w:t>
      </w:r>
    </w:p>
    <w:p>
      <w:pPr>
        <w:spacing w:after="0" w:line="172" w:lineRule="exact"/>
        <w:rPr>
          <w:sz w:val="20"/>
          <w:szCs w:val="20"/>
          <w:color w:val="auto"/>
        </w:rPr>
      </w:pPr>
    </w:p>
    <w:p>
      <w:pPr>
        <w:ind w:left="40" w:right="119" w:firstLine="241"/>
        <w:spacing w:after="0" w:line="255" w:lineRule="auto"/>
        <w:rPr>
          <w:sz w:val="20"/>
          <w:szCs w:val="20"/>
          <w:color w:val="auto"/>
        </w:rPr>
      </w:pPr>
      <w:r>
        <w:rPr>
          <w:rFonts w:ascii="Times New Roman" w:cs="Times New Roman" w:eastAsia="Times New Roman" w:hAnsi="Times New Roman"/>
          <w:sz w:val="17"/>
          <w:szCs w:val="17"/>
          <w:color w:val="auto"/>
        </w:rPr>
        <w:t>The operating results of our business are, and will continue to be, influenced by quarterly and annual fluctuations, as well as market declines, due to various factors. These include, but are not limited to, pests and diseases, weather patterns, shifts in consumer demand, food safety advisories, timing, reduction, or cancellation of significant customer orders, gains or losses of key customers, market acceptance of our products, and our ability to develop, introduce, and market new products in a timely manner.</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7"/>
          <w:szCs w:val="17"/>
          <w:color w:val="auto"/>
        </w:rPr>
        <w:t>Additional factors include the availability, quality, and cost of raw materials, new product launches by competitors, utilization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rates at our production facilities, changes in product mix across our Grown and Prepared segments, and general economic conditions.</w:t>
      </w:r>
    </w:p>
    <w:p>
      <w:pPr>
        <w:spacing w:after="0" w:line="201" w:lineRule="exact"/>
        <w:rPr>
          <w:sz w:val="20"/>
          <w:szCs w:val="20"/>
          <w:color w:val="auto"/>
        </w:rPr>
      </w:pPr>
    </w:p>
    <w:p>
      <w:pPr>
        <w:ind w:left="40" w:right="459" w:firstLine="241"/>
        <w:spacing w:after="0" w:line="304" w:lineRule="auto"/>
        <w:rPr>
          <w:sz w:val="20"/>
          <w:szCs w:val="20"/>
          <w:color w:val="auto"/>
        </w:rPr>
      </w:pPr>
      <w:r>
        <w:rPr>
          <w:rFonts w:ascii="Times New Roman" w:cs="Times New Roman" w:eastAsia="Times New Roman" w:hAnsi="Times New Roman"/>
          <w:sz w:val="16"/>
          <w:szCs w:val="16"/>
          <w:color w:val="auto"/>
        </w:rPr>
        <w:t>Despite these challenges, we believe our diversified sourcing capabilities, value-added production infrastructure, and strong customer relationships position us well to manage risks and achieve favorable operating results for the foreseeable future.</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Dividend payment</w:t>
      </w:r>
    </w:p>
    <w:p>
      <w:pPr>
        <w:spacing w:after="0" w:line="210"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On January 31, 2024, we paid a dividend of $0.10 per share, or an aggregate of $1.8 million, to shareholders of record on January 26, 2024. On April 29, 2024, we paid a dividend of $0.10 per share, or an aggregate of $1.8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12529"/>
        </w:rPr>
        <w:t>Sale of Fresh Cut and Discontinued Operations</w:t>
      </w:r>
    </w:p>
    <w:p>
      <w:pPr>
        <w:spacing w:after="0" w:line="210" w:lineRule="exact"/>
        <w:rPr>
          <w:sz w:val="20"/>
          <w:szCs w:val="20"/>
          <w:color w:val="auto"/>
        </w:rPr>
      </w:pPr>
    </w:p>
    <w:p>
      <w:pPr>
        <w:ind w:left="40" w:right="339" w:firstLine="167"/>
        <w:spacing w:after="0" w:line="255" w:lineRule="auto"/>
        <w:rPr>
          <w:sz w:val="20"/>
          <w:szCs w:val="20"/>
          <w:color w:val="auto"/>
        </w:rPr>
      </w:pPr>
      <w:r>
        <w:rPr>
          <w:rFonts w:ascii="Times New Roman" w:cs="Times New Roman" w:eastAsia="Times New Roman" w:hAnsi="Times New Roman"/>
          <w:sz w:val="17"/>
          <w:szCs w:val="17"/>
          <w:color w:val="212529"/>
        </w:rPr>
        <w:t>We completed the sale of our Fresh Cut business (“Fresh Cut”, formerly “RFG”) and related real estate on August 15, 2024 for $83 million, subject to various closing adjustments. The Fresh Cut business represented substantially all of the business of the Prepared segment other than the guacamole business, which was retained. For more information, see Note 16 and 17 of the consolidated financial statements.</w:t>
      </w:r>
    </w:p>
    <w:p>
      <w:pPr>
        <w:spacing w:after="0" w:line="172" w:lineRule="exact"/>
        <w:rPr>
          <w:sz w:val="20"/>
          <w:szCs w:val="20"/>
          <w:color w:val="auto"/>
        </w:rPr>
      </w:pPr>
    </w:p>
    <w:p>
      <w:pPr>
        <w:ind w:left="40" w:right="79" w:firstLine="241"/>
        <w:spacing w:after="0" w:line="283" w:lineRule="auto"/>
        <w:rPr>
          <w:sz w:val="20"/>
          <w:szCs w:val="20"/>
          <w:color w:val="auto"/>
        </w:rPr>
      </w:pPr>
      <w:r>
        <w:rPr>
          <w:rFonts w:ascii="Times New Roman" w:cs="Times New Roman" w:eastAsia="Times New Roman" w:hAnsi="Times New Roman"/>
          <w:sz w:val="16"/>
          <w:szCs w:val="16"/>
          <w:color w:val="auto"/>
        </w:rPr>
        <w:t>The financial results of the Fresh Cut business have been classified as discontinued operations in the statements of operations and its assets and liabilities have been classified as held for sale in the balance sheets included herein. Unless otherwise noted, amounts and disclosures in this section relate to our continuing operations (except for the Liquidity and Capital Resources section).</w:t>
      </w:r>
    </w:p>
    <w:p>
      <w:pPr>
        <w:spacing w:after="0" w:line="152"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Prior to the decision to divest our Fresh Cut business, our Prepared reporting segment included the Fresh Cut business unit and our guacamole business. As a result of the divestiture, the Fresh Cut business unit is no longer included in our Prepared business segment. All segment information included herein reflect these changes. See Note 10 of the consolidated financial statements for further information.</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12529"/>
        </w:rPr>
        <w:t>Goodwill Impairment</w:t>
      </w:r>
    </w:p>
    <w:p>
      <w:pPr>
        <w:spacing w:after="0" w:line="210" w:lineRule="exact"/>
        <w:rPr>
          <w:sz w:val="20"/>
          <w:szCs w:val="20"/>
          <w:color w:val="auto"/>
        </w:rPr>
      </w:pPr>
    </w:p>
    <w:p>
      <w:pPr>
        <w:ind w:left="40" w:right="79" w:firstLine="241"/>
        <w:spacing w:after="0" w:line="248" w:lineRule="auto"/>
        <w:rPr>
          <w:sz w:val="20"/>
          <w:szCs w:val="20"/>
          <w:color w:val="auto"/>
        </w:rPr>
      </w:pPr>
      <w:r>
        <w:rPr>
          <w:rFonts w:ascii="Times New Roman" w:cs="Times New Roman" w:eastAsia="Times New Roman" w:hAnsi="Times New Roman"/>
          <w:sz w:val="17"/>
          <w:szCs w:val="17"/>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 estimates and assumptions such as the weighted-average cost of capital, revenue growth rates, and profitability.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 (See Note 16 of the consolidated financial statements for further information).</w:t>
      </w:r>
    </w:p>
    <w:p>
      <w:pPr>
        <w:spacing w:after="0" w:line="185" w:lineRule="exact"/>
        <w:rPr>
          <w:sz w:val="20"/>
          <w:szCs w:val="20"/>
          <w:color w:val="auto"/>
        </w:rPr>
      </w:pPr>
    </w:p>
    <w:p>
      <w:pPr>
        <w:ind w:left="40" w:right="219" w:firstLine="241"/>
        <w:spacing w:after="0" w:line="259" w:lineRule="auto"/>
        <w:rPr>
          <w:sz w:val="20"/>
          <w:szCs w:val="20"/>
          <w:color w:val="auto"/>
        </w:rPr>
      </w:pPr>
      <w:r>
        <w:rPr>
          <w:rFonts w:ascii="Times New Roman" w:cs="Times New Roman" w:eastAsia="Times New Roman" w:hAnsi="Times New Roman"/>
          <w:sz w:val="17"/>
          <w:szCs w:val="17"/>
          <w:color w:val="auto"/>
        </w:rPr>
        <w:t>In fiscal 2024 and 2023, the Company performed a qualitative assessment for its Grown reporting unit by reviewing macroeconomic conditions, industry and market conditions, cost factors, and overall performance compared with prior projections, and other relevant entity-specific events, and performed a quantitative assessment for its Prepared reporting</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bookmarkStart w:id="29" w:name="page30"/>
    <w:bookmarkEnd w:id="29"/>
    <w:p>
      <w:pPr>
        <w:ind w:left="40" w:right="59"/>
        <w:spacing w:after="0" w:line="265" w:lineRule="auto"/>
        <w:rPr>
          <w:sz w:val="20"/>
          <w:szCs w:val="20"/>
          <w:color w:val="auto"/>
        </w:rPr>
      </w:pPr>
      <w:r>
        <w:rPr>
          <w:rFonts w:ascii="Times New Roman" w:cs="Times New Roman" w:eastAsia="Times New Roman" w:hAnsi="Times New Roman"/>
          <w:sz w:val="16"/>
          <w:szCs w:val="16"/>
          <w:color w:val="auto"/>
        </w:rPr>
        <w:t>unit. The quantitative assessment of the Company’s Prepared reporting unit was determined using a combination of valuation techniques, including a discounted cash flow methodology. To corroborate the discounted cash flow analysis, a market approach was utilized using observable market data such as comparable companies in similar lines of business that are publicly traded. Other than the goodwill impairment charge of $9.3 million, as discussed above, the Company concluded based on quantitative assessment tests that no goodwill impairment existed in the fiscal years ended October 31, 2024, and 2023. Goodwill impairment testing requires significant judgment and management estimates, including, but not limited to, the determination of (i) the number of reporting units,</w:t>
      </w:r>
    </w:p>
    <w:p>
      <w:pPr>
        <w:spacing w:after="0" w:line="1" w:lineRule="exact"/>
        <w:rPr>
          <w:sz w:val="20"/>
          <w:szCs w:val="20"/>
          <w:color w:val="auto"/>
        </w:rPr>
      </w:pPr>
    </w:p>
    <w:p>
      <w:pPr>
        <w:ind w:left="40" w:right="99" w:hanging="2"/>
        <w:spacing w:after="0" w:line="249" w:lineRule="auto"/>
        <w:tabs>
          <w:tab w:leader="none" w:pos="28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Compliance matters</w:t>
      </w:r>
    </w:p>
    <w:p>
      <w:pPr>
        <w:spacing w:after="0" w:line="210" w:lineRule="exact"/>
        <w:rPr>
          <w:sz w:val="20"/>
          <w:szCs w:val="20"/>
          <w:color w:val="auto"/>
        </w:rPr>
      </w:pPr>
    </w:p>
    <w:p>
      <w:pPr>
        <w:ind w:left="40" w:right="139" w:firstLine="251"/>
        <w:spacing w:after="0" w:line="265" w:lineRule="auto"/>
        <w:rPr>
          <w:sz w:val="20"/>
          <w:szCs w:val="20"/>
          <w:color w:val="auto"/>
        </w:rPr>
      </w:pPr>
      <w:r>
        <w:rPr>
          <w:rFonts w:ascii="Times New Roman" w:cs="Times New Roman" w:eastAsia="Times New Roman" w:hAnsi="Times New Roman"/>
          <w:sz w:val="16"/>
          <w:szCs w:val="16"/>
          <w:color w:val="auto"/>
        </w:rPr>
        <w:t>On January 16, 2024, the Company announced that its internal audit process had identified to the Audit Committee of the Board of Directors certain matters that the Board of Directors determined merited enhanced evaluation.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FCPA. The Company has voluntarily disclosed this ongoing internal investigation to the SEC and the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See “Risk Factors” included in this Annual Report.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Mexican Tax Issues</w:t>
      </w:r>
    </w:p>
    <w:p>
      <w:pPr>
        <w:spacing w:after="0" w:line="210" w:lineRule="exact"/>
        <w:rPr>
          <w:sz w:val="20"/>
          <w:szCs w:val="20"/>
          <w:color w:val="auto"/>
        </w:rPr>
      </w:pPr>
    </w:p>
    <w:p>
      <w:pPr>
        <w:ind w:left="40" w:right="379" w:firstLine="241"/>
        <w:spacing w:after="0" w:line="272" w:lineRule="auto"/>
        <w:rPr>
          <w:sz w:val="20"/>
          <w:szCs w:val="20"/>
          <w:color w:val="auto"/>
        </w:rPr>
      </w:pPr>
      <w:r>
        <w:rPr>
          <w:rFonts w:ascii="Times New Roman" w:cs="Times New Roman" w:eastAsia="Times New Roman" w:hAnsi="Times New Roman"/>
          <w:sz w:val="17"/>
          <w:szCs w:val="17"/>
          <w:color w:val="auto"/>
        </w:rPr>
        <w:t>See footnotes 7 and 14 of the consolidated financial statements for information on Mexican tax matters and the Mexican IVA taxes receivable.</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0" w:lineRule="exact"/>
        <w:rPr>
          <w:sz w:val="20"/>
          <w:szCs w:val="20"/>
          <w:color w:val="auto"/>
        </w:rPr>
      </w:pPr>
    </w:p>
    <w:p>
      <w:pPr>
        <w:ind w:left="40" w:right="59" w:firstLine="241"/>
        <w:spacing w:after="0" w:line="248"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On an ongoing basis, we re-evaluate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185" w:lineRule="exact"/>
        <w:rPr>
          <w:sz w:val="20"/>
          <w:szCs w:val="20"/>
          <w:color w:val="auto"/>
        </w:rPr>
      </w:pPr>
    </w:p>
    <w:p>
      <w:pPr>
        <w:ind w:left="40" w:right="59" w:firstLine="241"/>
        <w:spacing w:after="0" w:line="304" w:lineRule="auto"/>
        <w:rPr>
          <w:sz w:val="20"/>
          <w:szCs w:val="20"/>
          <w:color w:val="auto"/>
        </w:rPr>
      </w:pPr>
      <w:r>
        <w:rPr>
          <w:rFonts w:ascii="Times New Roman" w:cs="Times New Roman" w:eastAsia="Times New Roman" w:hAnsi="Times New Roman"/>
          <w:sz w:val="16"/>
          <w:szCs w:val="16"/>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the following are the critical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0" w:name="page31"/>
    <w:bookmarkEnd w:id="30"/>
    <w:p>
      <w:pPr>
        <w:ind w:left="40" w:right="299" w:firstLine="226"/>
        <w:spacing w:after="0" w:line="255" w:lineRule="auto"/>
        <w:rPr>
          <w:sz w:val="20"/>
          <w:szCs w:val="20"/>
          <w:color w:val="auto"/>
        </w:rPr>
      </w:pPr>
      <w:r>
        <w:rPr>
          <w:rFonts w:ascii="Times New Roman" w:cs="Times New Roman" w:eastAsia="Times New Roman" w:hAnsi="Times New Roman"/>
          <w:sz w:val="17"/>
          <w:szCs w:val="17"/>
          <w:color w:val="auto"/>
        </w:rPr>
        <w:t>As discussed in Notes 7 and 14 in the consolidated financial statements, our accounting for Mexican tax matters, including the 2013 tax assessment and IVA receivables, involves significant judgment and estimation uncertainty. These estimates require management to evaluate complex tax regulations, assess the probability of outcomes, and determine the appropriate accounting treatment for potential liabilities and asset recoverability.</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u w:val="single" w:color="auto"/>
          <w:color w:val="auto"/>
        </w:rPr>
        <w:t>2013 Tax Assessment and IVA Receivables</w:t>
      </w:r>
    </w:p>
    <w:p>
      <w:pPr>
        <w:spacing w:after="0" w:line="206" w:lineRule="exact"/>
        <w:rPr>
          <w:sz w:val="20"/>
          <w:szCs w:val="20"/>
          <w:color w:val="auto"/>
        </w:rPr>
      </w:pPr>
    </w:p>
    <w:p>
      <w:pPr>
        <w:ind w:left="40" w:right="299" w:firstLine="226"/>
        <w:spacing w:after="0" w:line="255" w:lineRule="auto"/>
        <w:rPr>
          <w:sz w:val="20"/>
          <w:szCs w:val="20"/>
          <w:color w:val="auto"/>
        </w:rPr>
      </w:pPr>
      <w:r>
        <w:rPr>
          <w:rFonts w:ascii="Times New Roman" w:cs="Times New Roman" w:eastAsia="Times New Roman" w:hAnsi="Times New Roman"/>
          <w:sz w:val="17"/>
          <w:szCs w:val="17"/>
          <w:color w:val="auto"/>
        </w:rPr>
        <w:t>As discussed in Notes 7 and 14 in the consolidated financial statements, our accounting for Mexican tax matters, including the 2013 tax assessment and IVA receivables, involves significant judgment and estimation uncertainty. These estimates require management to evaluate complex tax regulations, assess the probability of outcomes, and determine the appropriate accounting treatment for potential liabilities and asset recoverability.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Provision for 2013 Tax Assessment:</w:t>
      </w:r>
    </w:p>
    <w:p>
      <w:pPr>
        <w:spacing w:after="0" w:line="206" w:lineRule="exact"/>
        <w:rPr>
          <w:sz w:val="20"/>
          <w:szCs w:val="20"/>
          <w:color w:val="auto"/>
        </w:rPr>
      </w:pPr>
    </w:p>
    <w:p>
      <w:pPr>
        <w:ind w:left="640" w:right="99" w:firstLine="602"/>
        <w:spacing w:after="0" w:line="255" w:lineRule="auto"/>
        <w:rPr>
          <w:sz w:val="20"/>
          <w:szCs w:val="20"/>
          <w:color w:val="auto"/>
        </w:rPr>
      </w:pPr>
      <w:r>
        <w:rPr>
          <w:rFonts w:ascii="Times New Roman" w:cs="Times New Roman" w:eastAsia="Times New Roman" w:hAnsi="Times New Roman"/>
          <w:sz w:val="17"/>
          <w:szCs w:val="17"/>
          <w:color w:val="auto"/>
        </w:rPr>
        <w:t>We have recorded a provision of $11.0 million, representing our best estimate of the potential outcome related to the 2013 tax assessment. This estimate incorporates assumptions regarding non-deductible expenses, penalties, interest, inflationary adjustments, and other potential miscellaneous factors. Future changes in legal interpretations, court rulings, or settlement negotiations could have a material impact on this provision.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IVA Receivables Recoverability:</w:t>
      </w:r>
    </w:p>
    <w:p>
      <w:pPr>
        <w:spacing w:after="0" w:line="206" w:lineRule="exact"/>
        <w:rPr>
          <w:sz w:val="20"/>
          <w:szCs w:val="20"/>
          <w:color w:val="auto"/>
        </w:rPr>
      </w:pPr>
    </w:p>
    <w:p>
      <w:pPr>
        <w:ind w:left="640" w:right="179" w:firstLine="602"/>
        <w:spacing w:after="0" w:line="255" w:lineRule="auto"/>
        <w:rPr>
          <w:sz w:val="20"/>
          <w:szCs w:val="20"/>
          <w:color w:val="auto"/>
        </w:rPr>
      </w:pPr>
      <w:r>
        <w:rPr>
          <w:rFonts w:ascii="Times New Roman" w:cs="Times New Roman" w:eastAsia="Times New Roman" w:hAnsi="Times New Roman"/>
          <w:sz w:val="17"/>
          <w:szCs w:val="17"/>
          <w:color w:val="auto"/>
        </w:rPr>
        <w:t>We have recognized IVA receivables totaling $48.7 million as of October 31, 2024. Our estimate assumes that the supporting documentation for our tax structure will be upheld, and that administrative appeals or legal processes will ultimately result in collection of these receivables. However, delays in the appeals process, adverse rulings, or changes in tax enforcement practices could materially impact the timing and amount of recovery.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u w:val="single" w:color="auto"/>
          <w:color w:val="auto"/>
        </w:rPr>
        <w:t>Sensitivity Analysis:</w:t>
      </w:r>
    </w:p>
    <w:p>
      <w:pPr>
        <w:spacing w:after="0" w:line="206" w:lineRule="exact"/>
        <w:rPr>
          <w:sz w:val="20"/>
          <w:szCs w:val="20"/>
          <w:color w:val="auto"/>
        </w:rPr>
      </w:pPr>
    </w:p>
    <w:p>
      <w:pPr>
        <w:jc w:val="both"/>
        <w:ind w:left="640" w:right="259" w:firstLine="602"/>
        <w:spacing w:after="0" w:line="259" w:lineRule="auto"/>
        <w:rPr>
          <w:sz w:val="20"/>
          <w:szCs w:val="20"/>
          <w:color w:val="auto"/>
        </w:rPr>
      </w:pPr>
      <w:r>
        <w:rPr>
          <w:rFonts w:ascii="Times New Roman" w:cs="Times New Roman" w:eastAsia="Times New Roman" w:hAnsi="Times New Roman"/>
          <w:sz w:val="17"/>
          <w:szCs w:val="17"/>
          <w:color w:val="auto"/>
        </w:rPr>
        <w:t>Given the uncertainties associated with these matters, even small changes in assumptions or legal interpretations could significantly affect the reported amounts. We continue to monitor developments, and any material changes will be reflected in future periods as they occur.</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u w:val="single" w:color="auto"/>
          <w:color w:val="auto"/>
        </w:rPr>
        <w:t>Goodwill</w:t>
      </w:r>
    </w:p>
    <w:p>
      <w:pPr>
        <w:spacing w:after="0" w:line="206" w:lineRule="exact"/>
        <w:rPr>
          <w:sz w:val="20"/>
          <w:szCs w:val="20"/>
          <w:color w:val="auto"/>
        </w:rPr>
      </w:pPr>
    </w:p>
    <w:p>
      <w:pPr>
        <w:ind w:left="40" w:right="99" w:firstLine="226"/>
        <w:spacing w:after="0" w:line="248" w:lineRule="auto"/>
        <w:rPr>
          <w:sz w:val="20"/>
          <w:szCs w:val="20"/>
          <w:color w:val="auto"/>
        </w:rPr>
      </w:pPr>
      <w:r>
        <w:rPr>
          <w:rFonts w:ascii="Times New Roman" w:cs="Times New Roman" w:eastAsia="Times New Roman" w:hAnsi="Times New Roman"/>
          <w:sz w:val="17"/>
          <w:szCs w:val="17"/>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Additionally, when a business within a reporting unit is disposed of, goodwill is allocated to the disposed business using the relative fair value method. Relative fair value is estimated using a combination of a discounted cash flow analysis and market valuation approach. We perform a goodwill impairment test on an annual basis, and between annual tests whenever events or changes in circumstances indicate that the carrying amount may not be recoverable. When evaluating goodwill for impairment, we may first perform a qualitative assessment (“step zero” of the impairment test) to determine whether it is more likely than not that a reporting unit is impaired. If we decide not to perform a qualitative assessment, or if we determine that it is more likely than not the carrying amount of a reporting unit exceeds its fair value, then we perform a quantitative assessment (“step one” of the impairment test), and calculate the estimated fair value of the reporting unit. To the extent the carrying amount of the reporting unit’s allocated goodwill exceeds the unit’s fair value, we recognize an impairment of goodwill for the excess up to the amount of goodwill of that reporting unit.</w:t>
      </w:r>
    </w:p>
    <w:p>
      <w:pPr>
        <w:spacing w:after="0" w:line="183" w:lineRule="exact"/>
        <w:rPr>
          <w:sz w:val="20"/>
          <w:szCs w:val="20"/>
          <w:color w:val="auto"/>
        </w:rPr>
      </w:pPr>
    </w:p>
    <w:p>
      <w:pPr>
        <w:ind w:left="40" w:right="339" w:firstLine="226"/>
        <w:spacing w:after="0" w:line="255" w:lineRule="auto"/>
        <w:rPr>
          <w:sz w:val="20"/>
          <w:szCs w:val="20"/>
          <w:color w:val="auto"/>
        </w:rPr>
      </w:pPr>
      <w:r>
        <w:rPr>
          <w:rFonts w:ascii="Times New Roman" w:cs="Times New Roman" w:eastAsia="Times New Roman" w:hAnsi="Times New Roman"/>
          <w:sz w:val="17"/>
          <w:szCs w:val="17"/>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1" w:name="page32"/>
    <w:bookmarkEnd w:id="31"/>
    <w:p>
      <w:pPr>
        <w:ind w:left="40" w:right="119"/>
        <w:spacing w:after="0" w:line="270" w:lineRule="auto"/>
        <w:rPr>
          <w:sz w:val="20"/>
          <w:szCs w:val="20"/>
          <w:color w:val="auto"/>
        </w:rPr>
      </w:pPr>
      <w:r>
        <w:rPr>
          <w:rFonts w:ascii="Times New Roman" w:cs="Times New Roman" w:eastAsia="Times New Roman" w:hAnsi="Times New Roman"/>
          <w:sz w:val="16"/>
          <w:szCs w:val="16"/>
          <w:color w:val="auto"/>
        </w:rPr>
        <w:t>estimates to assumptions such as the weighted-average cost of capital, revenue growth rates, and profitability assumptions.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w:t>
      </w:r>
    </w:p>
    <w:p>
      <w:pPr>
        <w:spacing w:after="0" w:line="162" w:lineRule="exact"/>
        <w:rPr>
          <w:sz w:val="20"/>
          <w:szCs w:val="20"/>
          <w:color w:val="auto"/>
        </w:rPr>
      </w:pPr>
    </w:p>
    <w:p>
      <w:pPr>
        <w:ind w:left="40" w:right="79" w:firstLine="226"/>
        <w:spacing w:after="0" w:line="248" w:lineRule="auto"/>
        <w:rPr>
          <w:sz w:val="20"/>
          <w:szCs w:val="20"/>
          <w:color w:val="auto"/>
        </w:rPr>
      </w:pPr>
      <w:r>
        <w:rPr>
          <w:rFonts w:ascii="Times New Roman" w:cs="Times New Roman" w:eastAsia="Times New Roman" w:hAnsi="Times New Roman"/>
          <w:sz w:val="17"/>
          <w:szCs w:val="17"/>
          <w:color w:val="auto"/>
        </w:rPr>
        <w:t>In fiscal 2024 and 2023, the Company performed a qualitative assessment for its Grown reporting unit by reviewing macroeconomic conditions, industry and market conditions, cost factors, overall performance compared with prior projections, and other relevant entity-specific events, and performed a quantitative assessment for its Prepared reporting unit. The quantitative assessment of the Company’s Prepared reporting unit was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Other than the goodwill impairment charge of $9.3 million, as discussed above, the Company concluded based on quantitative assessment tests that no goodwill impairment existed in the fiscal years ended October 31, 2024 and 2023.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7"/>
          <w:szCs w:val="17"/>
          <w:b w:val="1"/>
          <w:bCs w:val="1"/>
          <w:color w:val="auto"/>
        </w:rPr>
        <w:t>Reclassified Quarterly Financial Information for Fiscal 2023</w:t>
      </w:r>
    </w:p>
    <w:p>
      <w:pPr>
        <w:spacing w:after="0" w:line="210" w:lineRule="exact"/>
        <w:rPr>
          <w:sz w:val="20"/>
          <w:szCs w:val="20"/>
          <w:color w:val="auto"/>
        </w:rPr>
      </w:pPr>
    </w:p>
    <w:p>
      <w:pPr>
        <w:ind w:left="40" w:right="239" w:firstLine="602"/>
        <w:spacing w:after="0" w:line="250" w:lineRule="auto"/>
        <w:rPr>
          <w:sz w:val="20"/>
          <w:szCs w:val="20"/>
          <w:color w:val="auto"/>
        </w:rPr>
      </w:pPr>
      <w:r>
        <w:rPr>
          <w:rFonts w:ascii="Times New Roman" w:cs="Times New Roman" w:eastAsia="Times New Roman" w:hAnsi="Times New Roman"/>
          <w:sz w:val="17"/>
          <w:szCs w:val="17"/>
          <w:color w:val="auto"/>
        </w:rPr>
        <w:t>The following table sets forth our unaudited quarterly statements of operations for the most recent eight quarters. The information for each quarter has been prepared on a basis consistent with our consolidated financial statements and reflects, in the opinion of management, all adjustments of a normal, recurring nature that are necessary for a fair presentation of the financial information contained in those statements. This quarterly schedule is provided due to the sale of our Fresh Cut business, which resulted in amounts related to discontinued operations being reclassified to reflect only continuing operations in the prior year. The following quarterly financial data should be read in conjunction with our consolidated financial statements (in $000s, except share and per share amounts).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January 31,</w:t>
            </w:r>
          </w:p>
        </w:tc>
        <w:tc>
          <w:tcPr>
            <w:tcW w:w="176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restart"/>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0" w:type="dxa"/>
            <w:vAlign w:val="bottom"/>
          </w:tcPr>
          <w:p>
            <w:pPr>
              <w:spacing w:after="0"/>
              <w:rPr>
                <w:sz w:val="1"/>
                <w:szCs w:val="1"/>
                <w:color w:val="auto"/>
              </w:rPr>
            </w:pPr>
          </w:p>
        </w:tc>
      </w:tr>
      <w:tr>
        <w:trPr>
          <w:trHeight w:val="138"/>
        </w:trPr>
        <w:tc>
          <w:tcPr>
            <w:tcW w:w="4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1180" w:type="dxa"/>
            <w:vAlign w:val="bottom"/>
            <w:gridSpan w:val="4"/>
          </w:tcPr>
          <w:p>
            <w:pPr>
              <w:ind w:left="280"/>
              <w:spacing w:after="0" w:line="13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1180" w:type="dxa"/>
            <w:vAlign w:val="bottom"/>
            <w:gridSpan w:val="4"/>
          </w:tcPr>
          <w:p>
            <w:pPr>
              <w:ind w:left="320"/>
              <w:spacing w:after="0" w:line="138" w:lineRule="exact"/>
              <w:rPr>
                <w:sz w:val="20"/>
                <w:szCs w:val="20"/>
                <w:color w:val="auto"/>
              </w:rPr>
            </w:pPr>
            <w:r>
              <w:rPr>
                <w:rFonts w:ascii="Times New Roman" w:cs="Times New Roman" w:eastAsia="Times New Roman" w:hAnsi="Times New Roman"/>
                <w:sz w:val="13"/>
                <w:szCs w:val="13"/>
                <w:b w:val="1"/>
                <w:bCs w:val="1"/>
                <w:color w:val="auto"/>
              </w:rPr>
              <w:t>July 31,</w:t>
            </w:r>
          </w:p>
        </w:tc>
        <w:tc>
          <w:tcPr>
            <w:tcW w:w="11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640" w:type="dxa"/>
            <w:vAlign w:val="bottom"/>
            <w:gridSpan w:val="2"/>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gridSpan w:val="2"/>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Net sales</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127,606</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132,763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184,383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158,279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9"/>
              </w:rPr>
              <w:t>179,596</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160,856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w w:val="99"/>
              </w:rPr>
              <w:t>169,959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142,204</w:t>
            </w:r>
          </w:p>
        </w:tc>
        <w:tc>
          <w:tcPr>
            <w:tcW w:w="0" w:type="dxa"/>
            <w:vAlign w:val="bottom"/>
          </w:tcPr>
          <w:p>
            <w:pPr>
              <w:spacing w:after="0"/>
              <w:rPr>
                <w:sz w:val="1"/>
                <w:szCs w:val="1"/>
                <w:color w:val="auto"/>
              </w:rPr>
            </w:pPr>
          </w:p>
        </w:tc>
      </w:tr>
      <w:tr>
        <w:trPr>
          <w:trHeight w:val="276"/>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116,846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121,031</w:t>
            </w: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163,722</w:t>
            </w: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143,671</w:t>
            </w: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159,503</w:t>
            </w: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138,852</w:t>
            </w:r>
          </w:p>
        </w:tc>
        <w:tc>
          <w:tcPr>
            <w:tcW w:w="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153,669</w:t>
            </w: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127,936</w:t>
            </w:r>
          </w:p>
        </w:tc>
        <w:tc>
          <w:tcPr>
            <w:tcW w:w="0" w:type="dxa"/>
            <w:vAlign w:val="bottom"/>
          </w:tcPr>
          <w:p>
            <w:pPr>
              <w:spacing w:after="0"/>
              <w:rPr>
                <w:sz w:val="1"/>
                <w:szCs w:val="1"/>
                <w:color w:val="auto"/>
              </w:rPr>
            </w:pPr>
          </w:p>
        </w:tc>
      </w:tr>
      <w:tr>
        <w:trPr>
          <w:trHeight w:val="130"/>
        </w:trPr>
        <w:tc>
          <w:tcPr>
            <w:tcW w:w="4160" w:type="dxa"/>
            <w:vAlign w:val="bottom"/>
            <w:tcBorders>
              <w:top w:val="single" w:sz="8" w:color="CCEEFF"/>
            </w:tcBorders>
            <w:shd w:val="clear" w:color="auto" w:fill="CCEEFF"/>
          </w:tcPr>
          <w:p>
            <w:pPr>
              <w:ind w:left="100"/>
              <w:spacing w:after="0" w:line="131"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10,760</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11,732</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20,661</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14,608</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20,093</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22,004</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16,290</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14,268</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13,463</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11,642</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13,020</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13,361</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10,510</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12,994</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13,045</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9,279</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Expenses related to Mexican tax matters</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383</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2,048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386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225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(1,203)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233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1,897</w:t>
            </w:r>
          </w:p>
        </w:tc>
        <w:tc>
          <w:tcPr>
            <w:tcW w:w="0" w:type="dxa"/>
            <w:vAlign w:val="bottom"/>
          </w:tcPr>
          <w:p>
            <w:pPr>
              <w:spacing w:after="0"/>
              <w:rPr>
                <w:sz w:val="1"/>
                <w:szCs w:val="1"/>
                <w:color w:val="auto"/>
              </w:rPr>
            </w:pPr>
          </w:p>
        </w:tc>
      </w:tr>
      <w:tr>
        <w:trPr>
          <w:trHeight w:val="130"/>
        </w:trPr>
        <w:tc>
          <w:tcPr>
            <w:tcW w:w="416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Operating income (loss)</w:t>
            </w:r>
          </w:p>
        </w:tc>
        <w:tc>
          <w:tcPr>
            <w:tcW w:w="14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(3,086)</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(1,958)</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7,439</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861</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9,358</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10,213</w:t>
            </w:r>
          </w:p>
        </w:tc>
        <w:tc>
          <w:tcPr>
            <w:tcW w:w="8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3,012</w:t>
            </w: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3,092</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Foreign currency gain (loss)</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1,708</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1,353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1,063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(4,203)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2,019</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(3,041)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(3,057)</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Interest expense</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(824)</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(962)</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(244)</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(833)</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(766)</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(984)</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Interest and other income, net</w:t>
            </w:r>
          </w:p>
        </w:tc>
        <w:tc>
          <w:tcPr>
            <w:tcW w:w="14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340</w:t>
            </w: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520</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307</w:t>
            </w: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760</w:t>
            </w:r>
          </w:p>
        </w:tc>
        <w:tc>
          <w:tcPr>
            <w:tcW w:w="8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98"/>
        </w:trPr>
        <w:tc>
          <w:tcPr>
            <w:tcW w:w="4160" w:type="dxa"/>
            <w:vAlign w:val="bottom"/>
          </w:tcPr>
          <w:p>
            <w:pPr>
              <w:ind w:left="60"/>
              <w:spacing w:after="0" w:line="98" w:lineRule="exact"/>
              <w:rPr>
                <w:sz w:val="20"/>
                <w:szCs w:val="20"/>
                <w:color w:val="auto"/>
              </w:rPr>
            </w:pPr>
            <w:r>
              <w:rPr>
                <w:rFonts w:ascii="Times New Roman" w:cs="Times New Roman" w:eastAsia="Times New Roman" w:hAnsi="Times New Roman"/>
                <w:sz w:val="11"/>
                <w:szCs w:val="11"/>
                <w:color w:val="auto"/>
              </w:rPr>
              <w:t>Income (loss) before income taxes and income (loss) from unconsolidated</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(2,002)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6,693</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4,503</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11,643</w:t>
            </w:r>
          </w:p>
        </w:tc>
        <w:tc>
          <w:tcPr>
            <w:tcW w:w="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8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(908)</w:t>
            </w:r>
          </w:p>
        </w:tc>
        <w:tc>
          <w:tcPr>
            <w:tcW w:w="0" w:type="dxa"/>
            <w:vAlign w:val="bottom"/>
          </w:tcPr>
          <w:p>
            <w:pPr>
              <w:spacing w:after="0"/>
              <w:rPr>
                <w:sz w:val="1"/>
                <w:szCs w:val="1"/>
                <w:color w:val="auto"/>
              </w:rPr>
            </w:pPr>
          </w:p>
        </w:tc>
      </w:tr>
      <w:tr>
        <w:trPr>
          <w:trHeight w:val="158"/>
        </w:trPr>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entities</w:t>
            </w:r>
          </w:p>
        </w:tc>
        <w:tc>
          <w:tcPr>
            <w:tcW w:w="64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Income tax benefit (expense)</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(573)</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(390)</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(484)</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1,441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(2,408)</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(2,803)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(3,297)</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(loss) from unconsolidated entities</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156</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(579)</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(498)</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30"/>
        </w:trPr>
        <w:tc>
          <w:tcPr>
            <w:tcW w:w="4160" w:type="dxa"/>
            <w:vAlign w:val="bottom"/>
            <w:tcBorders>
              <w:top w:val="single" w:sz="8" w:color="CCEEFF"/>
            </w:tcBorders>
            <w:shd w:val="clear" w:color="auto" w:fill="CCEEFF"/>
          </w:tcPr>
          <w:p>
            <w:pPr>
              <w:ind w:left="60"/>
              <w:spacing w:after="0" w:line="131" w:lineRule="exact"/>
              <w:rPr>
                <w:sz w:val="20"/>
                <w:szCs w:val="20"/>
                <w:color w:val="auto"/>
              </w:rPr>
            </w:pPr>
            <w:r>
              <w:rPr>
                <w:rFonts w:ascii="Times New Roman" w:cs="Times New Roman" w:eastAsia="Times New Roman" w:hAnsi="Times New Roman"/>
                <w:sz w:val="13"/>
                <w:szCs w:val="13"/>
                <w:color w:val="auto"/>
              </w:rPr>
              <w:t>Net income (loss) from continuing operations</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(2,574)</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(445)</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6,507</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1,447</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5,365</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8,737</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(2,450)</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(4,686)</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income (loss) from discontinued operations</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(3,683)</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(2,350)</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(5,407)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(6,127)</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(2,029)</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2,346</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(3,234)</w:t>
            </w:r>
          </w:p>
        </w:tc>
        <w:tc>
          <w:tcPr>
            <w:tcW w:w="0" w:type="dxa"/>
            <w:vAlign w:val="bottom"/>
          </w:tcPr>
          <w:p>
            <w:pPr>
              <w:spacing w:after="0"/>
              <w:rPr>
                <w:sz w:val="1"/>
                <w:szCs w:val="1"/>
                <w:color w:val="auto"/>
              </w:rPr>
            </w:pPr>
          </w:p>
        </w:tc>
      </w:tr>
      <w:tr>
        <w:trPr>
          <w:trHeight w:val="130"/>
        </w:trPr>
        <w:tc>
          <w:tcPr>
            <w:tcW w:w="4160" w:type="dxa"/>
            <w:vAlign w:val="bottom"/>
            <w:tcBorders>
              <w:top w:val="single" w:sz="8" w:color="CCEEFF"/>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(6,257)</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(2,795)</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6,099</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(3,960)</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(762)</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6,708</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(7,920)</w:t>
            </w:r>
          </w:p>
        </w:tc>
        <w:tc>
          <w:tcPr>
            <w:tcW w:w="0" w:type="dxa"/>
            <w:vAlign w:val="bottom"/>
          </w:tcPr>
          <w:p>
            <w:pPr>
              <w:spacing w:after="0"/>
              <w:rPr>
                <w:sz w:val="1"/>
                <w:szCs w:val="1"/>
                <w:color w:val="auto"/>
              </w:rPr>
            </w:pPr>
          </w:p>
        </w:tc>
      </w:tr>
      <w:tr>
        <w:trPr>
          <w:trHeight w:val="13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Add: Net loss (income) attributable to noncontrolling interest</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(10)</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(273)</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0"/>
        </w:trPr>
        <w:tc>
          <w:tcPr>
            <w:tcW w:w="4160" w:type="dxa"/>
            <w:vAlign w:val="bottom"/>
            <w:tcBorders>
              <w:top w:val="single" w:sz="8" w:color="CCEEFF"/>
              <w:bottom w:val="single" w:sz="8" w:color="CCEEFF"/>
            </w:tcBorders>
            <w:shd w:val="clear" w:color="auto" w:fill="CCEEFF"/>
          </w:tcPr>
          <w:p>
            <w:pPr>
              <w:ind w:left="40"/>
              <w:spacing w:after="0" w:line="131" w:lineRule="exact"/>
              <w:rPr>
                <w:sz w:val="20"/>
                <w:szCs w:val="20"/>
                <w:color w:val="auto"/>
              </w:rPr>
            </w:pPr>
            <w:r>
              <w:rPr>
                <w:rFonts w:ascii="Times New Roman" w:cs="Times New Roman" w:eastAsia="Times New Roman" w:hAnsi="Times New Roman"/>
                <w:sz w:val="13"/>
                <w:szCs w:val="13"/>
                <w:color w:val="auto"/>
              </w:rPr>
              <w:t>Net income (loss) attributable to Calavo Growers, Inc.</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(6,267)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(3,068)</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6,062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(3,995)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(732)</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6,626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(139)</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(7,907)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Calavo Growers, Inc.’s net income (loss) per share:</w:t>
            </w: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Basic</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Continuing Operations</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($ 0.15)</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($ 0.04)</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$ 0.36</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$ 0.08</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$ 0.30</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$ 0.49</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($ 0.14)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($ 0.26)</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Discontinued Operations</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($ 0.21)</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($ 0.02)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($ 0.31)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($ 0.34)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($ 0.18)</w:t>
            </w:r>
          </w:p>
        </w:tc>
        <w:tc>
          <w:tcPr>
            <w:tcW w:w="0" w:type="dxa"/>
            <w:vAlign w:val="bottom"/>
          </w:tcPr>
          <w:p>
            <w:pPr>
              <w:spacing w:after="0"/>
              <w:rPr>
                <w:sz w:val="1"/>
                <w:szCs w:val="1"/>
                <w:color w:val="auto"/>
              </w:rPr>
            </w:pPr>
          </w:p>
        </w:tc>
      </w:tr>
      <w:tr>
        <w:trPr>
          <w:trHeight w:val="138"/>
        </w:trPr>
        <w:tc>
          <w:tcPr>
            <w:tcW w:w="41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Net income (loss) attributable to Calavo Growers, Inc</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($ 0.35)</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($ 0.17)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($ 0.23)</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($ 0.01)</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($ 0.45)</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1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Continuing Operations</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($ 0.15)</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($ 0.04)</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$ 0.36</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$ 0.08</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$ 0.30</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$ 0.48</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($ 0.14)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($ 0.26)</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Discontinued Operations</w:t>
            </w:r>
          </w:p>
        </w:tc>
        <w:tc>
          <w:tcPr>
            <w:tcW w:w="64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($ 0.21)</w:t>
            </w:r>
          </w:p>
        </w:tc>
        <w:tc>
          <w:tcPr>
            <w:tcW w:w="600" w:type="dxa"/>
            <w:vAlign w:val="bottom"/>
            <w:gridSpan w:val="2"/>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($ 0.02)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($ 0.31)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($ 0.34)</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($ 0.11)</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($ 0.18)</w:t>
            </w:r>
          </w:p>
        </w:tc>
        <w:tc>
          <w:tcPr>
            <w:tcW w:w="0" w:type="dxa"/>
            <w:vAlign w:val="bottom"/>
          </w:tcPr>
          <w:p>
            <w:pPr>
              <w:spacing w:after="0"/>
              <w:rPr>
                <w:sz w:val="1"/>
                <w:szCs w:val="1"/>
                <w:color w:val="auto"/>
              </w:rPr>
            </w:pPr>
          </w:p>
        </w:tc>
      </w:tr>
      <w:tr>
        <w:trPr>
          <w:trHeight w:val="138"/>
        </w:trPr>
        <w:tc>
          <w:tcPr>
            <w:tcW w:w="41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auto"/>
              </w:rPr>
              <w:t>Net income (loss) attributable to Calavo Growers, Inc</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($ 0.35)</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($ 0.17)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($ 0.23)</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($ 0.04)</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$ 0.37</w:t>
            </w:r>
          </w:p>
        </w:tc>
        <w:tc>
          <w:tcPr>
            <w:tcW w:w="80" w:type="dxa"/>
            <w:vAlign w:val="bottom"/>
          </w:tcPr>
          <w:p>
            <w:pPr>
              <w:spacing w:after="0"/>
              <w:rPr>
                <w:sz w:val="11"/>
                <w:szCs w:val="11"/>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($ 0.01)</w:t>
            </w:r>
          </w:p>
        </w:tc>
        <w:tc>
          <w:tcPr>
            <w:tcW w:w="80" w:type="dxa"/>
            <w:vAlign w:val="bottom"/>
          </w:tcPr>
          <w:p>
            <w:pPr>
              <w:spacing w:after="0"/>
              <w:rPr>
                <w:sz w:val="11"/>
                <w:szCs w:val="11"/>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($ 0.45)</w:t>
            </w:r>
          </w:p>
        </w:tc>
        <w:tc>
          <w:tcPr>
            <w:tcW w:w="0" w:type="dxa"/>
            <w:vAlign w:val="bottom"/>
          </w:tcPr>
          <w:p>
            <w:pPr>
              <w:spacing w:after="0"/>
              <w:rPr>
                <w:sz w:val="1"/>
                <w:szCs w:val="1"/>
                <w:color w:val="auto"/>
              </w:rPr>
            </w:pPr>
          </w:p>
        </w:tc>
      </w:tr>
      <w:tr>
        <w:trPr>
          <w:trHeight w:val="138"/>
        </w:trPr>
        <w:tc>
          <w:tcPr>
            <w:tcW w:w="4160" w:type="dxa"/>
            <w:vAlign w:val="bottom"/>
            <w:shd w:val="clear" w:color="auto" w:fill="CCEEFF"/>
          </w:tcPr>
          <w:p>
            <w:pPr>
              <w:ind w:left="60"/>
              <w:spacing w:after="0" w:line="138" w:lineRule="exact"/>
              <w:rPr>
                <w:sz w:val="20"/>
                <w:szCs w:val="20"/>
                <w:color w:val="auto"/>
              </w:rPr>
            </w:pPr>
            <w:r>
              <w:rPr>
                <w:rFonts w:ascii="Times New Roman" w:cs="Times New Roman" w:eastAsia="Times New Roman" w:hAnsi="Times New Roman"/>
                <w:sz w:val="13"/>
                <w:szCs w:val="13"/>
                <w:color w:val="auto"/>
              </w:rPr>
              <w:t>Number of shares used in per share computation:</w:t>
            </w:r>
          </w:p>
        </w:tc>
        <w:tc>
          <w:tcPr>
            <w:tcW w:w="640" w:type="dxa"/>
            <w:vAlign w:val="bottom"/>
            <w:gridSpan w:val="2"/>
            <w:shd w:val="clear" w:color="auto" w:fill="CCEEFF"/>
          </w:tcPr>
          <w:p>
            <w:pPr>
              <w:jc w:val="right"/>
              <w:ind w:right="413"/>
              <w:spacing w:after="0" w:line="138"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41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Basic</w:t>
            </w:r>
          </w:p>
        </w:tc>
        <w:tc>
          <w:tcPr>
            <w:tcW w:w="64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17,799</w:t>
            </w:r>
          </w:p>
        </w:tc>
        <w:tc>
          <w:tcPr>
            <w:tcW w:w="60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auto"/>
              </w:rPr>
              <w:t>17,673</w:t>
            </w:r>
          </w:p>
        </w:tc>
        <w:tc>
          <w:tcPr>
            <w:tcW w:w="80" w:type="dxa"/>
            <w:vAlign w:val="bottom"/>
          </w:tcPr>
          <w:p>
            <w:pPr>
              <w:spacing w:after="0"/>
              <w:rPr>
                <w:sz w:val="15"/>
                <w:szCs w:val="15"/>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17,800</w:t>
            </w:r>
          </w:p>
        </w:tc>
        <w:tc>
          <w:tcPr>
            <w:tcW w:w="80" w:type="dxa"/>
            <w:vAlign w:val="bottom"/>
          </w:tcPr>
          <w:p>
            <w:pPr>
              <w:spacing w:after="0"/>
              <w:rPr>
                <w:sz w:val="15"/>
                <w:szCs w:val="15"/>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17,721</w:t>
            </w:r>
          </w:p>
        </w:tc>
        <w:tc>
          <w:tcPr>
            <w:tcW w:w="80" w:type="dxa"/>
            <w:vAlign w:val="bottom"/>
          </w:tcPr>
          <w:p>
            <w:pPr>
              <w:spacing w:after="0"/>
              <w:rPr>
                <w:sz w:val="15"/>
                <w:szCs w:val="15"/>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17,801</w:t>
            </w:r>
          </w:p>
        </w:tc>
        <w:tc>
          <w:tcPr>
            <w:tcW w:w="80" w:type="dxa"/>
            <w:vAlign w:val="bottom"/>
          </w:tcPr>
          <w:p>
            <w:pPr>
              <w:spacing w:after="0"/>
              <w:rPr>
                <w:sz w:val="15"/>
                <w:szCs w:val="15"/>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17,756</w:t>
            </w:r>
          </w:p>
        </w:tc>
        <w:tc>
          <w:tcPr>
            <w:tcW w:w="80" w:type="dxa"/>
            <w:vAlign w:val="bottom"/>
          </w:tcPr>
          <w:p>
            <w:pPr>
              <w:spacing w:after="0"/>
              <w:rPr>
                <w:sz w:val="15"/>
                <w:szCs w:val="15"/>
                <w:color w:val="auto"/>
              </w:rPr>
            </w:pPr>
          </w:p>
        </w:tc>
        <w:tc>
          <w:tcPr>
            <w:tcW w:w="50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17,802</w:t>
            </w:r>
          </w:p>
        </w:tc>
        <w:tc>
          <w:tcPr>
            <w:tcW w:w="80" w:type="dxa"/>
            <w:vAlign w:val="bottom"/>
          </w:tcPr>
          <w:p>
            <w:pPr>
              <w:spacing w:after="0"/>
              <w:rPr>
                <w:sz w:val="15"/>
                <w:szCs w:val="15"/>
                <w:color w:val="auto"/>
              </w:rPr>
            </w:pPr>
          </w:p>
        </w:tc>
        <w:tc>
          <w:tcPr>
            <w:tcW w:w="5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17,766</w:t>
            </w:r>
          </w:p>
        </w:tc>
        <w:tc>
          <w:tcPr>
            <w:tcW w:w="0" w:type="dxa"/>
            <w:vAlign w:val="bottom"/>
          </w:tcPr>
          <w:p>
            <w:pPr>
              <w:spacing w:after="0"/>
              <w:rPr>
                <w:sz w:val="1"/>
                <w:szCs w:val="1"/>
                <w:color w:val="auto"/>
              </w:rPr>
            </w:pPr>
          </w:p>
        </w:tc>
      </w:tr>
      <w:tr>
        <w:trPr>
          <w:trHeight w:val="116"/>
        </w:trPr>
        <w:tc>
          <w:tcPr>
            <w:tcW w:w="416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Diluted</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17,799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17,673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17,872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17,883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17,842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17,856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17,871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17,766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0" w:lineRule="exact"/>
        <w:rPr>
          <w:sz w:val="20"/>
          <w:szCs w:val="20"/>
          <w:color w:val="auto"/>
        </w:rPr>
      </w:pPr>
    </w:p>
    <w:p>
      <w:pPr>
        <w:ind w:left="40" w:right="13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sets forth certain items from our consolidated statements of operations, expressed as percentages of our total net sales, for the periods indicated: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30"/>
        </w:trPr>
        <w:tc>
          <w:tcPr>
            <w:tcW w:w="632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jc w:val="right"/>
              <w:ind w:right="39"/>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30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ind w:right="78"/>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58"/>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320" w:type="dxa"/>
            <w:vAlign w:val="bottom"/>
            <w:tcBorders>
              <w:bottom w:val="single" w:sz="8" w:color="CCEEFF"/>
            </w:tcBorders>
          </w:tcPr>
          <w:p>
            <w:pPr>
              <w:spacing w:after="0"/>
              <w:rPr>
                <w:sz w:val="11"/>
                <w:szCs w:val="11"/>
                <w:color w:val="auto"/>
              </w:rPr>
            </w:pPr>
          </w:p>
        </w:tc>
      </w:tr>
      <w:tr>
        <w:trPr>
          <w:trHeight w:val="193"/>
        </w:trPr>
        <w:tc>
          <w:tcPr>
            <w:tcW w:w="6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sales</w:t>
            </w:r>
          </w:p>
        </w:tc>
        <w:tc>
          <w:tcPr>
            <w:tcW w:w="5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84"/>
              </w:rPr>
              <w:t>%</w:t>
            </w: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84"/>
              </w:rPr>
              <w:t>%</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9"/>
              </w:rPr>
              <w:t>100.0</w:t>
            </w:r>
          </w:p>
        </w:tc>
        <w:tc>
          <w:tcPr>
            <w:tcW w:w="320" w:type="dxa"/>
            <w:vAlign w:val="bottom"/>
            <w:shd w:val="clear" w:color="auto" w:fill="CCEEFF"/>
          </w:tcPr>
          <w:p>
            <w:pPr>
              <w:jc w:val="right"/>
              <w:ind w:right="76"/>
              <w:spacing w:after="0" w:line="194" w:lineRule="exact"/>
              <w:rPr>
                <w:sz w:val="20"/>
                <w:szCs w:val="20"/>
                <w:color w:val="auto"/>
              </w:rPr>
            </w:pPr>
            <w:r>
              <w:rPr>
                <w:rFonts w:ascii="Times New Roman" w:cs="Times New Roman" w:eastAsia="Times New Roman" w:hAnsi="Times New Roman"/>
                <w:sz w:val="17"/>
                <w:szCs w:val="17"/>
                <w:color w:val="auto"/>
                <w:w w:val="98"/>
              </w:rPr>
              <w:t>%</w:t>
            </w:r>
          </w:p>
        </w:tc>
      </w:tr>
      <w:tr>
        <w:trPr>
          <w:trHeight w:val="201"/>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10.2 %</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10.5 %</w:t>
            </w:r>
          </w:p>
        </w:tc>
        <w:tc>
          <w:tcPr>
            <w:tcW w:w="140" w:type="dxa"/>
            <w:vAlign w:val="bottom"/>
          </w:tcPr>
          <w:p>
            <w:pPr>
              <w:spacing w:after="0"/>
              <w:rPr>
                <w:sz w:val="17"/>
                <w:szCs w:val="17"/>
                <w:color w:val="auto"/>
              </w:rPr>
            </w:pPr>
          </w:p>
        </w:tc>
        <w:tc>
          <w:tcPr>
            <w:tcW w:w="7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7.1 %</w:t>
            </w:r>
          </w:p>
        </w:tc>
      </w:tr>
      <w:tr>
        <w:trPr>
          <w:trHeight w:val="20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7.6 %</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8.0 %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6.0 %</w:t>
            </w:r>
          </w:p>
        </w:tc>
      </w:tr>
      <w:tr>
        <w:trPr>
          <w:trHeight w:val="201"/>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Expenses related to Mexican tax matters</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0.2 %</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0.5 %</w:t>
            </w:r>
          </w:p>
        </w:tc>
        <w:tc>
          <w:tcPr>
            <w:tcW w:w="140" w:type="dxa"/>
            <w:vAlign w:val="bottom"/>
          </w:tcPr>
          <w:p>
            <w:pPr>
              <w:spacing w:after="0"/>
              <w:rPr>
                <w:sz w:val="17"/>
                <w:szCs w:val="17"/>
                <w:color w:val="auto"/>
              </w:rPr>
            </w:pPr>
          </w:p>
        </w:tc>
        <w:tc>
          <w:tcPr>
            <w:tcW w:w="7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0.2 %</w:t>
            </w:r>
          </w:p>
        </w:tc>
      </w:tr>
      <w:tr>
        <w:trPr>
          <w:trHeight w:val="20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2.5 %</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2.1 %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0.9 %</w:t>
            </w:r>
          </w:p>
        </w:tc>
      </w:tr>
      <w:tr>
        <w:trPr>
          <w:trHeight w:val="201"/>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(0.9)%</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0.2 %</w:t>
            </w:r>
          </w:p>
        </w:tc>
        <w:tc>
          <w:tcPr>
            <w:tcW w:w="140" w:type="dxa"/>
            <w:vAlign w:val="bottom"/>
          </w:tcPr>
          <w:p>
            <w:pPr>
              <w:spacing w:after="0"/>
              <w:rPr>
                <w:sz w:val="17"/>
                <w:szCs w:val="17"/>
                <w:color w:val="auto"/>
              </w:rPr>
            </w:pPr>
          </w:p>
        </w:tc>
        <w:tc>
          <w:tcPr>
            <w:tcW w:w="7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(0.1)%</w:t>
            </w:r>
          </w:p>
        </w:tc>
      </w:tr>
      <w:tr>
        <w:trPr>
          <w:trHeight w:val="20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0.2 %</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0.1 %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0.1 %</w:t>
            </w:r>
          </w:p>
        </w:tc>
      </w:tr>
      <w:tr>
        <w:trPr>
          <w:trHeight w:val="201"/>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(0.4)%</w:t>
            </w:r>
          </w:p>
        </w:tc>
        <w:tc>
          <w:tcPr>
            <w:tcW w:w="88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(0.4)%</w:t>
            </w:r>
          </w:p>
        </w:tc>
        <w:tc>
          <w:tcPr>
            <w:tcW w:w="140" w:type="dxa"/>
            <w:vAlign w:val="bottom"/>
          </w:tcPr>
          <w:p>
            <w:pPr>
              <w:spacing w:after="0"/>
              <w:rPr>
                <w:sz w:val="17"/>
                <w:szCs w:val="17"/>
                <w:color w:val="auto"/>
              </w:rPr>
            </w:pPr>
          </w:p>
        </w:tc>
        <w:tc>
          <w:tcPr>
            <w:tcW w:w="7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(0.2)%</w:t>
            </w:r>
          </w:p>
        </w:tc>
      </w:tr>
      <w:tr>
        <w:trPr>
          <w:trHeight w:val="20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0.1 %</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0.0 %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0.1 %</w:t>
            </w:r>
          </w:p>
        </w:tc>
      </w:tr>
      <w:tr>
        <w:trPr>
          <w:trHeight w:val="201"/>
        </w:trPr>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Unrealized and realized net loss on Limoneira shares</w:t>
            </w:r>
          </w:p>
        </w:tc>
        <w:tc>
          <w:tcPr>
            <w:tcW w:w="82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(1.1)%</w:t>
            </w:r>
          </w:p>
        </w:tc>
      </w:tr>
      <w:tr>
        <w:trPr>
          <w:trHeight w:val="201"/>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1.0 %</w:t>
            </w:r>
          </w:p>
        </w:tc>
        <w:tc>
          <w:tcPr>
            <w:tcW w:w="8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0.9 %</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(0.9)%</w:t>
            </w: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10" w:lineRule="exact"/>
        <w:rPr>
          <w:sz w:val="20"/>
          <w:szCs w:val="20"/>
          <w:color w:val="auto"/>
        </w:rPr>
      </w:pPr>
    </w:p>
    <w:p>
      <w:pPr>
        <w:ind w:left="40" w:right="139" w:firstLine="241"/>
        <w:spacing w:after="0" w:line="252" w:lineRule="auto"/>
        <w:rPr>
          <w:sz w:val="20"/>
          <w:szCs w:val="20"/>
          <w:color w:val="auto"/>
        </w:rPr>
      </w:pPr>
      <w:r>
        <w:rPr>
          <w:rFonts w:ascii="Times New Roman" w:cs="Times New Roman" w:eastAsia="Times New Roman" w:hAnsi="Times New Roman"/>
          <w:sz w:val="17"/>
          <w:szCs w:val="17"/>
          <w:color w:val="auto"/>
        </w:rPr>
        <w:t>We believe that the fundamental consumption trends for our products continue to be favorable. First, U.S. avocado demand continues to grow, with per capita consumption in 2023/2024 per USDA reaching 9.2 pounds per person, and approximately 64% higher than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w:t>
      </w:r>
    </w:p>
    <w:p>
      <w:pPr>
        <w:spacing w:after="0" w:line="177" w:lineRule="exact"/>
        <w:rPr>
          <w:sz w:val="20"/>
          <w:szCs w:val="20"/>
          <w:color w:val="auto"/>
        </w:rPr>
      </w:pPr>
    </w:p>
    <w:p>
      <w:pPr>
        <w:ind w:left="40" w:right="199" w:firstLine="241"/>
        <w:spacing w:after="0" w:line="255" w:lineRule="auto"/>
        <w:rPr>
          <w:sz w:val="20"/>
          <w:szCs w:val="20"/>
          <w:color w:val="auto"/>
        </w:rPr>
      </w:pPr>
      <w:r>
        <w:rPr>
          <w:rFonts w:ascii="Times New Roman" w:cs="Times New Roman" w:eastAsia="Times New Roman" w:hAnsi="Times New Roman"/>
          <w:sz w:val="17"/>
          <w:szCs w:val="17"/>
          <w:color w:val="auto"/>
        </w:rPr>
        <w:t>Additionally, we believe that demographic changes in the U.S. will impact the consumption of avocados and avocado-based products. The Hispanic community currently accounts for approximately 20%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72"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We anticipate avocado products will further penetrate the United States marketplace, driven by year-round availability of imported fresh avocados, a growing Hispanic population, and the promotion of the health benefits of avocados. As one of the largest marketers of avocado products in the United States, we believe that we are well positioned to leverage this trend and to grow our avocado and guacamole products business. Additionally, we also believe that avocados and avocado based products will further penetrate other markets that we currently operate in as interest in avocados continues to expand.</w:t>
      </w:r>
    </w:p>
    <w:p>
      <w:pPr>
        <w:spacing w:after="0" w:line="177" w:lineRule="exact"/>
        <w:rPr>
          <w:sz w:val="20"/>
          <w:szCs w:val="20"/>
          <w:color w:val="auto"/>
        </w:rPr>
      </w:pPr>
    </w:p>
    <w:p>
      <w:pPr>
        <w:ind w:left="40" w:right="119" w:firstLine="241"/>
        <w:spacing w:after="0" w:line="248" w:lineRule="auto"/>
        <w:rPr>
          <w:sz w:val="20"/>
          <w:szCs w:val="20"/>
          <w:color w:val="auto"/>
        </w:rPr>
      </w:pPr>
      <w:r>
        <w:rPr>
          <w:rFonts w:ascii="Times New Roman" w:cs="Times New Roman" w:eastAsia="Times New Roman" w:hAnsi="Times New Roman"/>
          <w:sz w:val="17"/>
          <w:szCs w:val="17"/>
          <w:color w:val="auto"/>
        </w:rPr>
        <w:t>In October 2002, the USDA established the Hass Avocado Board to promote the sale of Hass avocados in the U.S. market. This board created a framework for unified funding of promotional activities through assessments on all avocados sold in the United States. Historically, the California Avocado Commission—funded by California avocado growers—has borne the costs of promotional and advertising efforts to support avocado sales. We believe that the incremental funding for promotional and advertising programs in the U.S. will have a positive long-term impact on average selling prices and will benefit our avocado business. During fiscal 2024, 2023, and 2022, we remitted approximately $2.0 million, $0.5 million, and $1.5 million, to the California Avocado Commission on behalf of avocado growers. Additionally, we remitted approximately $5.6 million, $8.0 million, and $8.1 million to the Hass Avocado Board in support of these activities. Similarly, in 2013, Avocados From Mexico (AFM) was formed as the marketing arm of the Mexican Hass Avocados Importers Association (MHAIA) and the Association of Growers and Packers of Avocados From Mexico (APEAM). During fiscal 2024, 2023, and 2022, we remitted approximately $4.3 million, $5.5 million, and $4.2 million, to APEAM primarily for marketing activities related to Mexican avocados.</w:t>
      </w:r>
    </w:p>
    <w:p>
      <w:pPr>
        <w:spacing w:after="0" w:line="185" w:lineRule="exact"/>
        <w:rPr>
          <w:sz w:val="20"/>
          <w:szCs w:val="20"/>
          <w:color w:val="auto"/>
        </w:rPr>
      </w:pPr>
    </w:p>
    <w:p>
      <w:pPr>
        <w:ind w:left="40" w:right="319" w:firstLine="241"/>
        <w:spacing w:after="0" w:line="259" w:lineRule="auto"/>
        <w:rPr>
          <w:sz w:val="20"/>
          <w:szCs w:val="20"/>
          <w:color w:val="auto"/>
        </w:rPr>
      </w:pPr>
      <w:r>
        <w:rPr>
          <w:rFonts w:ascii="Times New Roman" w:cs="Times New Roman" w:eastAsia="Times New Roman" w:hAnsi="Times New Roman"/>
          <w:sz w:val="17"/>
          <w:szCs w:val="17"/>
          <w:color w:val="auto"/>
        </w:rPr>
        <w:t>We also believe that our other Grown products, primarily tomatoes, are positioned for future growth. The tomato is the fourth most popular fresh-market vegetable (though a fruit scientifically speaking, tomatoes are often considered a vegetable) behind potatoes, lettuce, and onions in the U.S. Over the past few decades, per capita consumption of</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4" w:name="page35"/>
    <w:bookmarkEnd w:id="34"/>
    <w:p>
      <w:pPr>
        <w:ind w:left="40" w:right="200"/>
        <w:spacing w:after="0" w:line="255" w:lineRule="auto"/>
        <w:rPr>
          <w:sz w:val="20"/>
          <w:szCs w:val="20"/>
          <w:color w:val="auto"/>
        </w:rPr>
      </w:pPr>
      <w:r>
        <w:rPr>
          <w:rFonts w:ascii="Times New Roman" w:cs="Times New Roman" w:eastAsia="Times New Roman" w:hAnsi="Times New Roman"/>
          <w:sz w:val="17"/>
          <w:szCs w:val="17"/>
          <w:color w:val="auto"/>
        </w:rPr>
        <w:t>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72" w:lineRule="exact"/>
        <w:rPr>
          <w:sz w:val="20"/>
          <w:szCs w:val="20"/>
          <w:color w:val="auto"/>
        </w:rPr>
      </w:pPr>
    </w:p>
    <w:p>
      <w:pPr>
        <w:ind w:left="40" w:right="340" w:firstLine="241"/>
        <w:spacing w:after="0" w:line="304" w:lineRule="auto"/>
        <w:rPr>
          <w:sz w:val="20"/>
          <w:szCs w:val="20"/>
          <w:color w:val="auto"/>
        </w:rPr>
      </w:pPr>
      <w:r>
        <w:rPr>
          <w:rFonts w:ascii="Times New Roman" w:cs="Times New Roman" w:eastAsia="Times New Roman" w:hAnsi="Times New Roman"/>
          <w:sz w:val="16"/>
          <w:szCs w:val="16"/>
          <w:color w:val="auto"/>
        </w:rPr>
        <w:t>Papayas have become more popular as consumption in the U.S. has more than doubled in the past decade. Papayas have high nutritional benefits. They are rich in antioxidants, B vitamins, folate and pantothenic acid, potassium and magnesium, and fiber.</w:t>
      </w:r>
    </w:p>
    <w:p>
      <w:pPr>
        <w:spacing w:after="0" w:line="136" w:lineRule="exact"/>
        <w:rPr>
          <w:sz w:val="20"/>
          <w:szCs w:val="20"/>
          <w:color w:val="auto"/>
        </w:rPr>
      </w:pPr>
    </w:p>
    <w:p>
      <w:pPr>
        <w:ind w:left="40" w:right="140" w:firstLine="241"/>
        <w:spacing w:after="0" w:line="250" w:lineRule="auto"/>
        <w:rPr>
          <w:sz w:val="20"/>
          <w:szCs w:val="20"/>
          <w:color w:val="auto"/>
        </w:rPr>
      </w:pPr>
      <w:r>
        <w:rPr>
          <w:rFonts w:ascii="Times New Roman" w:cs="Times New Roman" w:eastAsia="Times New Roman" w:hAnsi="Times New Roman"/>
          <w:sz w:val="17"/>
          <w:szCs w:val="17"/>
          <w:color w:val="auto"/>
        </w:rPr>
        <w:t>Our Prepared segment sources avocados, processes them into a wide variety of guacamole products, and distributes the finished products to foodservice, retail, and industrial accounts. All prepared avocado products undergo cold pasteurization and include both frozen and fresh guacamole options. We believe the extended shelf life of our frozen guacamole and the freshness and purity of our fresh guacamole position us well to meet the diverse preferences and needs of today’s consumers. Our customer base spans foodservice providers, retail businesses, and industrial accounts. We are actively working to strengthen relationships with major foodservice companies, expand partnerships with retail and industrial clients, and develop strategic alliances to broaden our market reach and increase product visibility.</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tables set forth sales by product category and sales allowances, by segment (dollars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9"/>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October 31, 2024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13"/>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October 31, 2023</w:t>
            </w:r>
          </w:p>
        </w:tc>
      </w:tr>
      <w:tr>
        <w:trPr>
          <w:trHeight w:val="130"/>
        </w:trPr>
        <w:tc>
          <w:tcPr>
            <w:tcW w:w="46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86"/>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60" w:type="dxa"/>
            <w:vAlign w:val="bottom"/>
            <w:tcBorders>
              <w:top w:val="single" w:sz="8" w:color="auto"/>
            </w:tcBorders>
            <w:gridSpan w:val="3"/>
          </w:tcPr>
          <w:p>
            <w:pPr>
              <w:jc w:val="right"/>
              <w:ind w:right="60"/>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6"/>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200"/>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3"/>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86"/>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1"/>
                <w:szCs w:val="11"/>
                <w:color w:val="auto"/>
              </w:rPr>
            </w:pPr>
          </w:p>
        </w:tc>
      </w:tr>
      <w:tr>
        <w:trPr>
          <w:trHeight w:val="130"/>
        </w:trPr>
        <w:tc>
          <w:tcPr>
            <w:tcW w:w="46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20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Avocados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534,413</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5"/>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534,413</w:t>
            </w:r>
          </w:p>
        </w:tc>
        <w:tc>
          <w:tcPr>
            <w:tcW w:w="40" w:type="dxa"/>
            <w:vAlign w:val="bottom"/>
            <w:shd w:val="clear" w:color="auto" w:fill="CCEEFF"/>
          </w:tcPr>
          <w:p>
            <w:pPr>
              <w:spacing w:after="0"/>
              <w:rPr>
                <w:sz w:val="17"/>
                <w:szCs w:val="17"/>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466,385</w:t>
            </w:r>
          </w:p>
        </w:tc>
        <w:tc>
          <w:tcPr>
            <w:tcW w:w="4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466,385</w:t>
            </w:r>
          </w:p>
        </w:tc>
        <w:tc>
          <w:tcPr>
            <w:tcW w:w="40" w:type="dxa"/>
            <w:vAlign w:val="bottom"/>
          </w:tcPr>
          <w:p>
            <w:pPr>
              <w:spacing w:after="0"/>
              <w:rPr>
                <w:sz w:val="17"/>
                <w:szCs w:val="17"/>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Tomatoes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54,660</w:t>
            </w:r>
          </w:p>
        </w:tc>
        <w:tc>
          <w:tcPr>
            <w:tcW w:w="1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54,669</w:t>
            </w:r>
          </w:p>
        </w:tc>
        <w:tc>
          <w:tcPr>
            <w:tcW w:w="4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Papayas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11,573</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10,432</w:t>
            </w:r>
          </w:p>
        </w:tc>
        <w:tc>
          <w:tcPr>
            <w:tcW w:w="40" w:type="dxa"/>
            <w:vAlign w:val="bottom"/>
          </w:tcPr>
          <w:p>
            <w:pPr>
              <w:spacing w:after="0"/>
              <w:rPr>
                <w:sz w:val="17"/>
                <w:szCs w:val="17"/>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Other fresh income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100</w:t>
            </w:r>
          </w:p>
        </w:tc>
        <w:tc>
          <w:tcPr>
            <w:tcW w:w="40" w:type="dxa"/>
            <w:vAlign w:val="bottom"/>
          </w:tcPr>
          <w:p>
            <w:pPr>
              <w:spacing w:after="0"/>
              <w:rPr>
                <w:sz w:val="17"/>
                <w:szCs w:val="17"/>
                <w:color w:val="auto"/>
              </w:rPr>
            </w:pPr>
          </w:p>
        </w:tc>
      </w:tr>
      <w:tr>
        <w:trPr>
          <w:trHeight w:val="20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Guacamole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71,468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71,468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73,068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73,068</w:t>
            </w:r>
          </w:p>
        </w:tc>
        <w:tc>
          <w:tcPr>
            <w:tcW w:w="40" w:type="dxa"/>
            <w:vAlign w:val="bottom"/>
          </w:tcPr>
          <w:p>
            <w:pPr>
              <w:spacing w:after="0"/>
              <w:rPr>
                <w:sz w:val="17"/>
                <w:szCs w:val="17"/>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Salsa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796</w:t>
            </w:r>
          </w:p>
        </w:tc>
        <w:tc>
          <w:tcPr>
            <w:tcW w:w="40" w:type="dxa"/>
            <w:vAlign w:val="bottom"/>
          </w:tcPr>
          <w:p>
            <w:pPr>
              <w:spacing w:after="0"/>
              <w:rPr>
                <w:sz w:val="17"/>
                <w:szCs w:val="17"/>
                <w:color w:val="auto"/>
              </w:rPr>
            </w:pPr>
          </w:p>
        </w:tc>
      </w:tr>
      <w:tr>
        <w:trPr>
          <w:trHeight w:val="183"/>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gross sales</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600,654</w:t>
            </w:r>
          </w:p>
        </w:tc>
        <w:tc>
          <w:tcPr>
            <w:tcW w:w="1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71,468</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672,122</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531,586</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73,864</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right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605,450</w:t>
            </w:r>
          </w:p>
        </w:tc>
        <w:tc>
          <w:tcPr>
            <w:tcW w:w="40" w:type="dxa"/>
            <w:vAlign w:val="bottom"/>
          </w:tcPr>
          <w:p>
            <w:pPr>
              <w:spacing w:after="0"/>
              <w:rPr>
                <w:sz w:val="15"/>
                <w:szCs w:val="15"/>
                <w:color w:val="auto"/>
              </w:rPr>
            </w:pP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Less sales allowances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w:t>
            </w:r>
          </w:p>
        </w:tc>
        <w:tc>
          <w:tcPr>
            <w:tcW w:w="16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(10,578)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(4,190)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(7,158)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(11,348)</w:t>
            </w:r>
          </w:p>
        </w:tc>
        <w:tc>
          <w:tcPr>
            <w:tcW w:w="40" w:type="dxa"/>
            <w:vAlign w:val="bottom"/>
          </w:tcPr>
          <w:p>
            <w:pPr>
              <w:spacing w:after="0"/>
              <w:rPr>
                <w:sz w:val="17"/>
                <w:szCs w:val="17"/>
                <w:color w:val="auto"/>
              </w:rPr>
            </w:pPr>
          </w:p>
        </w:tc>
      </w:tr>
      <w:tr>
        <w:trPr>
          <w:trHeight w:val="183"/>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597,624</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63,920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661,544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527,396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66,706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right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594,102</w:t>
            </w:r>
          </w:p>
        </w:tc>
        <w:tc>
          <w:tcPr>
            <w:tcW w:w="40" w:type="dxa"/>
            <w:vAlign w:val="bottom"/>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9"/>
        </w:trPr>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October 31, 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3"/>
          </w:tcPr>
          <w:p>
            <w:pPr>
              <w:ind w:left="160"/>
              <w:spacing w:after="0"/>
              <w:rPr>
                <w:sz w:val="20"/>
                <w:szCs w:val="20"/>
                <w:color w:val="auto"/>
              </w:rPr>
            </w:pPr>
            <w:r>
              <w:rPr>
                <w:rFonts w:ascii="Times New Roman" w:cs="Times New Roman" w:eastAsia="Times New Roman" w:hAnsi="Times New Roman"/>
                <w:sz w:val="13"/>
                <w:szCs w:val="13"/>
                <w:b w:val="1"/>
                <w:bCs w:val="1"/>
                <w:color w:val="auto"/>
              </w:rPr>
              <w:t>Year Ended October 31, 2022</w:t>
            </w:r>
          </w:p>
        </w:tc>
      </w:tr>
      <w:tr>
        <w:trPr>
          <w:trHeight w:val="130"/>
        </w:trPr>
        <w:tc>
          <w:tcPr>
            <w:tcW w:w="4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46"/>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60" w:type="dxa"/>
            <w:vAlign w:val="bottom"/>
            <w:tcBorders>
              <w:top w:val="single" w:sz="8" w:color="auto"/>
              <w:bottom w:val="single" w:sz="8" w:color="auto"/>
            </w:tcBorders>
            <w:gridSpan w:val="3"/>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60"/>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3"/>
          </w:tcPr>
          <w:p>
            <w:pPr>
              <w:jc w:val="right"/>
              <w:ind w:right="40"/>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26"/>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1"/>
                <w:szCs w:val="11"/>
                <w:color w:val="auto"/>
              </w:rPr>
            </w:pPr>
          </w:p>
        </w:tc>
      </w:tr>
      <w:tr>
        <w:trPr>
          <w:trHeight w:val="130"/>
        </w:trPr>
        <w:tc>
          <w:tcPr>
            <w:tcW w:w="4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Avocados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466,385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466,385</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645,944</w:t>
            </w:r>
          </w:p>
        </w:tc>
        <w:tc>
          <w:tcPr>
            <w:tcW w:w="1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645,944</w:t>
            </w:r>
          </w:p>
        </w:tc>
        <w:tc>
          <w:tcPr>
            <w:tcW w:w="40" w:type="dxa"/>
            <w:vAlign w:val="bottom"/>
            <w:tcBorders>
              <w:left w:val="single" w:sz="8" w:color="CCEEFF"/>
            </w:tcBorders>
          </w:tcPr>
          <w:p>
            <w:pPr>
              <w:spacing w:after="0"/>
              <w:rPr>
                <w:sz w:val="16"/>
                <w:szCs w:val="16"/>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Tomatoes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54,669</w:t>
            </w:r>
          </w:p>
        </w:tc>
        <w:tc>
          <w:tcPr>
            <w:tcW w:w="16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54,669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45,223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45,223</w:t>
            </w:r>
          </w:p>
        </w:tc>
        <w:tc>
          <w:tcPr>
            <w:tcW w:w="40" w:type="dxa"/>
            <w:vAlign w:val="bottom"/>
          </w:tcPr>
          <w:p>
            <w:pPr>
              <w:spacing w:after="0"/>
              <w:rPr>
                <w:sz w:val="16"/>
                <w:szCs w:val="16"/>
                <w:color w:val="auto"/>
              </w:rPr>
            </w:pPr>
          </w:p>
        </w:tc>
      </w:tr>
      <w:tr>
        <w:trPr>
          <w:trHeight w:val="18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Papayas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1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10,432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w:t>
            </w:r>
          </w:p>
        </w:tc>
        <w:tc>
          <w:tcPr>
            <w:tcW w:w="40" w:type="dxa"/>
            <w:vAlign w:val="bottom"/>
            <w:tcBorders>
              <w:left w:val="single" w:sz="8" w:color="CCEEFF"/>
            </w:tcBorders>
          </w:tcPr>
          <w:p>
            <w:pPr>
              <w:spacing w:after="0"/>
              <w:rPr>
                <w:sz w:val="16"/>
                <w:szCs w:val="16"/>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Other fresh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6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40" w:type="dxa"/>
            <w:vAlign w:val="bottom"/>
          </w:tcPr>
          <w:p>
            <w:pPr>
              <w:spacing w:after="0"/>
              <w:rPr>
                <w:sz w:val="16"/>
                <w:szCs w:val="16"/>
                <w:color w:val="auto"/>
              </w:rPr>
            </w:pPr>
          </w:p>
        </w:tc>
      </w:tr>
      <w:tr>
        <w:trPr>
          <w:trHeight w:val="188"/>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Guacamole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73,068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73,068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77,143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77,143</w:t>
            </w:r>
          </w:p>
        </w:tc>
        <w:tc>
          <w:tcPr>
            <w:tcW w:w="40" w:type="dxa"/>
            <w:vAlign w:val="bottom"/>
            <w:tcBorders>
              <w:left w:val="single" w:sz="8" w:color="CCEEFF"/>
            </w:tcBorders>
          </w:tcPr>
          <w:p>
            <w:pPr>
              <w:spacing w:after="0"/>
              <w:rPr>
                <w:sz w:val="16"/>
                <w:szCs w:val="16"/>
                <w:color w:val="auto"/>
              </w:rPr>
            </w:pPr>
          </w:p>
        </w:tc>
      </w:tr>
      <w:tr>
        <w:trPr>
          <w:trHeight w:val="188"/>
        </w:trPr>
        <w:tc>
          <w:tcPr>
            <w:tcW w:w="4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Salsa</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796</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1,860</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40" w:type="dxa"/>
            <w:vAlign w:val="bottom"/>
          </w:tcPr>
          <w:p>
            <w:pPr>
              <w:spacing w:after="0"/>
              <w:rPr>
                <w:sz w:val="16"/>
                <w:szCs w:val="16"/>
                <w:color w:val="auto"/>
              </w:rPr>
            </w:pPr>
          </w:p>
        </w:tc>
      </w:tr>
      <w:tr>
        <w:trPr>
          <w:trHeight w:val="18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gross sales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531,586</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73,864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605,450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702,712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79,003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781,715</w:t>
            </w:r>
          </w:p>
        </w:tc>
        <w:tc>
          <w:tcPr>
            <w:tcW w:w="40" w:type="dxa"/>
            <w:vAlign w:val="bottom"/>
            <w:tcBorders>
              <w:left w:val="single" w:sz="8" w:color="CCEEFF"/>
            </w:tcBorders>
          </w:tcPr>
          <w:p>
            <w:pPr>
              <w:spacing w:after="0"/>
              <w:rPr>
                <w:sz w:val="15"/>
                <w:szCs w:val="15"/>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Less sales allowances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5"/>
                <w:szCs w:val="15"/>
                <w:color w:val="auto"/>
              </w:rPr>
              <w:t>(4,190)</w:t>
            </w: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(7,158)</w:t>
            </w:r>
          </w:p>
        </w:tc>
        <w:tc>
          <w:tcPr>
            <w:tcW w:w="100" w:type="dxa"/>
            <w:vAlign w:val="bottom"/>
          </w:tcPr>
          <w:p>
            <w:pPr>
              <w:spacing w:after="0"/>
              <w:rPr>
                <w:sz w:val="16"/>
                <w:szCs w:val="16"/>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(11,348)</w:t>
            </w:r>
          </w:p>
        </w:tc>
        <w:tc>
          <w:tcPr>
            <w:tcW w:w="100" w:type="dxa"/>
            <w:vAlign w:val="bottom"/>
          </w:tcPr>
          <w:p>
            <w:pPr>
              <w:spacing w:after="0"/>
              <w:rPr>
                <w:sz w:val="16"/>
                <w:szCs w:val="16"/>
                <w:color w:val="auto"/>
              </w:rPr>
            </w:pPr>
          </w:p>
        </w:tc>
        <w:tc>
          <w:tcPr>
            <w:tcW w:w="6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(4,507)</w:t>
            </w:r>
          </w:p>
        </w:tc>
        <w:tc>
          <w:tcPr>
            <w:tcW w:w="120" w:type="dxa"/>
            <w:vAlign w:val="bottom"/>
          </w:tcPr>
          <w:p>
            <w:pPr>
              <w:spacing w:after="0"/>
              <w:rPr>
                <w:sz w:val="16"/>
                <w:szCs w:val="16"/>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(7,517)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(12,024)</w:t>
            </w:r>
          </w:p>
        </w:tc>
        <w:tc>
          <w:tcPr>
            <w:tcW w:w="40" w:type="dxa"/>
            <w:vAlign w:val="bottom"/>
          </w:tcPr>
          <w:p>
            <w:pPr>
              <w:spacing w:after="0"/>
              <w:rPr>
                <w:sz w:val="16"/>
                <w:szCs w:val="16"/>
                <w:color w:val="auto"/>
              </w:rPr>
            </w:pPr>
          </w:p>
        </w:tc>
      </w:tr>
      <w:tr>
        <w:trPr>
          <w:trHeight w:val="181"/>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527,396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594,102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698,205</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71,486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769,691</w:t>
            </w:r>
          </w:p>
        </w:tc>
        <w:tc>
          <w:tcPr>
            <w:tcW w:w="40" w:type="dxa"/>
            <w:vAlign w:val="bottom"/>
            <w:tcBorders>
              <w:left w:val="single" w:sz="8" w:color="CCEEFF"/>
            </w:tcBorders>
          </w:tcPr>
          <w:p>
            <w:pPr>
              <w:spacing w:after="0"/>
              <w:rPr>
                <w:sz w:val="15"/>
                <w:szCs w:val="15"/>
                <w:color w:val="auto"/>
              </w:rPr>
            </w:pPr>
          </w:p>
        </w:tc>
      </w:tr>
      <w:tr>
        <w:trPr>
          <w:trHeight w:val="20"/>
        </w:trPr>
        <w:tc>
          <w:tcPr>
            <w:tcW w:w="4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20"/>
          </w:cols>
          <w:pgMar w:left="1440" w:top="123" w:right="1439" w:bottom="1440" w:gutter="0" w:footer="0" w:header="0"/>
        </w:sectPr>
      </w:pPr>
    </w:p>
    <w:bookmarkStart w:id="35" w:name="page36"/>
    <w:bookmarkEnd w:id="35"/>
    <w:p>
      <w:pPr>
        <w:ind w:left="260"/>
        <w:spacing w:after="0"/>
        <w:rPr>
          <w:sz w:val="20"/>
          <w:szCs w:val="20"/>
          <w:color w:val="auto"/>
        </w:rPr>
      </w:pPr>
      <w:r>
        <w:rPr>
          <w:rFonts w:ascii="Times New Roman" w:cs="Times New Roman" w:eastAsia="Times New Roman" w:hAnsi="Times New Roman"/>
          <w:sz w:val="17"/>
          <w:szCs w:val="17"/>
          <w:color w:val="auto"/>
        </w:rPr>
        <w:t>The following table summarizes our net sales by business segment: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40" w:type="dxa"/>
            <w:vAlign w:val="bottom"/>
          </w:tcPr>
          <w:p>
            <w:pPr>
              <w:spacing w:after="0"/>
              <w:rPr>
                <w:sz w:val="14"/>
                <w:szCs w:val="14"/>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 w:type="dxa"/>
            <w:vAlign w:val="bottom"/>
          </w:tcPr>
          <w:p>
            <w:pPr>
              <w:spacing w:after="0"/>
              <w:rPr>
                <w:sz w:val="14"/>
                <w:szCs w:val="14"/>
                <w:color w:val="auto"/>
              </w:rPr>
            </w:pP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r>
      <w:tr>
        <w:trPr>
          <w:trHeight w:val="130"/>
        </w:trPr>
        <w:tc>
          <w:tcPr>
            <w:tcW w:w="4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20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1"/>
        </w:trPr>
        <w:tc>
          <w:tcPr>
            <w:tcW w:w="4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Grown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597,624</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13 %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527,396</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698,205</w:t>
            </w:r>
          </w:p>
        </w:tc>
        <w:tc>
          <w:tcPr>
            <w:tcW w:w="260" w:type="dxa"/>
            <w:vAlign w:val="bottom"/>
          </w:tcPr>
          <w:p>
            <w:pPr>
              <w:spacing w:after="0"/>
              <w:rPr>
                <w:sz w:val="17"/>
                <w:szCs w:val="17"/>
                <w:color w:val="auto"/>
              </w:rPr>
            </w:pPr>
          </w:p>
        </w:tc>
      </w:tr>
      <w:tr>
        <w:trPr>
          <w:trHeight w:val="20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Prepared</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63,920</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66,706</w:t>
            </w: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71,486</w:t>
            </w:r>
          </w:p>
        </w:tc>
        <w:tc>
          <w:tcPr>
            <w:tcW w:w="260" w:type="dxa"/>
            <w:vAlign w:val="bottom"/>
            <w:shd w:val="clear" w:color="auto" w:fill="CCEEFF"/>
          </w:tcPr>
          <w:p>
            <w:pPr>
              <w:spacing w:after="0"/>
              <w:rPr>
                <w:sz w:val="17"/>
                <w:szCs w:val="17"/>
                <w:color w:val="auto"/>
              </w:rPr>
            </w:pPr>
          </w:p>
        </w:tc>
      </w:tr>
      <w:tr>
        <w:trPr>
          <w:trHeight w:val="233"/>
        </w:trPr>
        <w:tc>
          <w:tcPr>
            <w:tcW w:w="4220" w:type="dxa"/>
            <w:vAlign w:val="bottom"/>
            <w:tcBorders>
              <w:bottom w:val="single" w:sz="8" w:color="CCEEFF"/>
            </w:tcBorders>
          </w:tcPr>
          <w:p>
            <w:pPr>
              <w:ind w:left="300"/>
              <w:spacing w:after="0" w:line="194" w:lineRule="exact"/>
              <w:rPr>
                <w:sz w:val="20"/>
                <w:szCs w:val="20"/>
                <w:color w:val="auto"/>
              </w:rPr>
            </w:pPr>
            <w:r>
              <w:rPr>
                <w:rFonts w:ascii="Times New Roman" w:cs="Times New Roman" w:eastAsia="Times New Roman" w:hAnsi="Times New Roman"/>
                <w:sz w:val="17"/>
                <w:szCs w:val="17"/>
                <w:color w:val="auto"/>
              </w:rPr>
              <w:t>Total net sales</w:t>
            </w: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661,544</w:t>
            </w:r>
          </w:p>
        </w:tc>
        <w:tc>
          <w:tcPr>
            <w:tcW w:w="1000" w:type="dxa"/>
            <w:vAlign w:val="bottom"/>
            <w:tcBorders>
              <w:bottom w:val="single" w:sz="8" w:color="CCEEFF"/>
            </w:tcBorders>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11 %</w:t>
            </w: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594,102</w:t>
            </w:r>
          </w:p>
        </w:tc>
        <w:tc>
          <w:tcPr>
            <w:tcW w:w="1020" w:type="dxa"/>
            <w:vAlign w:val="bottom"/>
            <w:tcBorders>
              <w:bottom w:val="single" w:sz="8" w:color="CCEEFF"/>
            </w:tcBorders>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(23)%</w:t>
            </w:r>
          </w:p>
        </w:tc>
        <w:tc>
          <w:tcPr>
            <w:tcW w:w="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769,691</w:t>
            </w:r>
          </w:p>
        </w:tc>
        <w:tc>
          <w:tcPr>
            <w:tcW w:w="260" w:type="dxa"/>
            <w:vAlign w:val="bottom"/>
            <w:tcBorders>
              <w:bottom w:val="single" w:sz="8" w:color="CCEEFF"/>
            </w:tcBorders>
          </w:tcPr>
          <w:p>
            <w:pPr>
              <w:spacing w:after="0"/>
              <w:rPr>
                <w:sz w:val="20"/>
                <w:szCs w:val="20"/>
                <w:color w:val="auto"/>
              </w:rPr>
            </w:pPr>
          </w:p>
        </w:tc>
      </w:tr>
      <w:tr>
        <w:trPr>
          <w:trHeight w:val="178"/>
        </w:trPr>
        <w:tc>
          <w:tcPr>
            <w:tcW w:w="4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4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 a percentage of sales:</w:t>
            </w: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Grown</w:t>
            </w:r>
          </w:p>
        </w:tc>
        <w:tc>
          <w:tcPr>
            <w:tcW w:w="180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90.3 %</w:t>
            </w:r>
          </w:p>
        </w:tc>
        <w:tc>
          <w:tcPr>
            <w:tcW w:w="182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7"/>
                <w:szCs w:val="17"/>
                <w:color w:val="auto"/>
              </w:rPr>
              <w:t>88.8 %</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90.7 %</w:t>
            </w:r>
          </w:p>
        </w:tc>
      </w:tr>
      <w:tr>
        <w:trPr>
          <w:trHeight w:val="201"/>
        </w:trPr>
        <w:tc>
          <w:tcPr>
            <w:tcW w:w="42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Prepared</w:t>
            </w:r>
          </w:p>
        </w:tc>
        <w:tc>
          <w:tcPr>
            <w:tcW w:w="1800" w:type="dxa"/>
            <w:vAlign w:val="bottom"/>
            <w:gridSpan w:val="2"/>
          </w:tcPr>
          <w:p>
            <w:pPr>
              <w:jc w:val="right"/>
              <w:ind w:right="776"/>
              <w:spacing w:after="0"/>
              <w:rPr>
                <w:sz w:val="20"/>
                <w:szCs w:val="20"/>
                <w:color w:val="auto"/>
              </w:rPr>
            </w:pPr>
            <w:r>
              <w:rPr>
                <w:rFonts w:ascii="Times New Roman" w:cs="Times New Roman" w:eastAsia="Times New Roman" w:hAnsi="Times New Roman"/>
                <w:sz w:val="17"/>
                <w:szCs w:val="17"/>
                <w:color w:val="auto"/>
              </w:rPr>
              <w:t>9.7 %</w:t>
            </w:r>
          </w:p>
        </w:tc>
        <w:tc>
          <w:tcPr>
            <w:tcW w:w="1820" w:type="dxa"/>
            <w:vAlign w:val="bottom"/>
            <w:gridSpan w:val="2"/>
          </w:tcPr>
          <w:p>
            <w:pPr>
              <w:jc w:val="right"/>
              <w:ind w:right="776"/>
              <w:spacing w:after="0"/>
              <w:rPr>
                <w:sz w:val="20"/>
                <w:szCs w:val="20"/>
                <w:color w:val="auto"/>
              </w:rPr>
            </w:pPr>
            <w:r>
              <w:rPr>
                <w:rFonts w:ascii="Times New Roman" w:cs="Times New Roman" w:eastAsia="Times New Roman" w:hAnsi="Times New Roman"/>
                <w:sz w:val="17"/>
                <w:szCs w:val="17"/>
                <w:color w:val="auto"/>
              </w:rPr>
              <w:t>11.2 %</w:t>
            </w:r>
          </w:p>
        </w:tc>
        <w:tc>
          <w:tcPr>
            <w:tcW w:w="10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rPr>
              <w:t>9.3 %</w:t>
            </w:r>
          </w:p>
        </w:tc>
      </w:tr>
      <w:tr>
        <w:trPr>
          <w:trHeight w:val="193"/>
        </w:trPr>
        <w:tc>
          <w:tcPr>
            <w:tcW w:w="42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1000" w:type="dxa"/>
            <w:vAlign w:val="bottom"/>
            <w:tcBorders>
              <w:top w:val="single" w:sz="8" w:color="CCEEFF"/>
              <w:bottom w:val="single" w:sz="8" w:color="CCEEFF"/>
            </w:tcBorders>
            <w:shd w:val="clear" w:color="auto" w:fill="CCEEFF"/>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1020" w:type="dxa"/>
            <w:vAlign w:val="bottom"/>
            <w:tcBorders>
              <w:top w:val="single" w:sz="8" w:color="CCEEFF"/>
              <w:bottom w:val="single" w:sz="8" w:color="CCEEFF"/>
            </w:tcBorders>
            <w:shd w:val="clear" w:color="auto" w:fill="CCEEFF"/>
          </w:tcPr>
          <w:p>
            <w:pPr>
              <w:jc w:val="right"/>
              <w:ind w:right="776"/>
              <w:spacing w:after="0" w:line="194" w:lineRule="exact"/>
              <w:rPr>
                <w:sz w:val="20"/>
                <w:szCs w:val="20"/>
                <w:color w:val="auto"/>
              </w:rPr>
            </w:pPr>
            <w:r>
              <w:rPr>
                <w:rFonts w:ascii="Times New Roman" w:cs="Times New Roman" w:eastAsia="Times New Roman" w:hAnsi="Times New Roman"/>
                <w:sz w:val="17"/>
                <w:szCs w:val="17"/>
                <w:color w:val="auto"/>
                <w:w w:val="98"/>
              </w:rPr>
              <w:t>%</w:t>
            </w: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100</w:t>
            </w:r>
          </w:p>
        </w:tc>
        <w:tc>
          <w:tcPr>
            <w:tcW w:w="260" w:type="dxa"/>
            <w:vAlign w:val="bottom"/>
            <w:tcBorders>
              <w:top w:val="single" w:sz="8" w:color="CCEEFF"/>
              <w:bottom w:val="single" w:sz="8" w:color="CCEEFF"/>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4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Summary</w:t>
      </w:r>
    </w:p>
    <w:p>
      <w:pPr>
        <w:spacing w:after="0" w:line="210"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Net sales for the year ended October 31, 2024, compared to the corresponding period in fiscal 2023, increased by $67.4 million, or approximately 11%. This increase was driven by an increase in the Grown segment, partly offset by a decline in the Prepared segment.</w:t>
      </w:r>
    </w:p>
    <w:p>
      <w:pPr>
        <w:spacing w:after="0" w:line="170" w:lineRule="exact"/>
        <w:rPr>
          <w:sz w:val="20"/>
          <w:szCs w:val="20"/>
          <w:color w:val="auto"/>
        </w:rPr>
      </w:pPr>
    </w:p>
    <w:p>
      <w:pPr>
        <w:ind w:left="40" w:right="139" w:firstLine="241"/>
        <w:spacing w:after="0" w:line="259" w:lineRule="auto"/>
        <w:rPr>
          <w:sz w:val="20"/>
          <w:szCs w:val="20"/>
          <w:color w:val="auto"/>
        </w:rPr>
      </w:pPr>
      <w:r>
        <w:rPr>
          <w:rFonts w:ascii="Times New Roman" w:cs="Times New Roman" w:eastAsia="Times New Roman" w:hAnsi="Times New Roman"/>
          <w:sz w:val="17"/>
          <w:szCs w:val="17"/>
          <w:color w:val="auto"/>
        </w:rPr>
        <w:t>For the year ended October 31, 2024, the increase in Grown product sales was primarily due to an increase in price per unit of avocados partially offset by decreased sales volume in avocados and tomatoes. For the year ended October 31, 2024, the decrease in Prepared product sales was due primarily to a change in product mix, described further below.</w:t>
      </w:r>
    </w:p>
    <w:p>
      <w:pPr>
        <w:spacing w:after="0" w:line="170" w:lineRule="exact"/>
        <w:rPr>
          <w:sz w:val="20"/>
          <w:szCs w:val="20"/>
          <w:color w:val="auto"/>
        </w:rPr>
      </w:pPr>
    </w:p>
    <w:p>
      <w:pPr>
        <w:ind w:left="40" w:right="279" w:firstLine="241"/>
        <w:spacing w:after="0" w:line="272" w:lineRule="auto"/>
        <w:rPr>
          <w:sz w:val="20"/>
          <w:szCs w:val="20"/>
          <w:color w:val="auto"/>
        </w:rPr>
      </w:pPr>
      <w:r>
        <w:rPr>
          <w:rFonts w:ascii="Times New Roman" w:cs="Times New Roman" w:eastAsia="Times New Roman" w:hAnsi="Times New Roman"/>
          <w:sz w:val="17"/>
          <w:szCs w:val="17"/>
          <w:color w:val="auto"/>
        </w:rPr>
        <w:t>We remain focused on expanding grower partnerships and strengthening relationships with retail and foodservice customers to drive net sales growth across all business segments.</w:t>
      </w:r>
    </w:p>
    <w:p>
      <w:pPr>
        <w:spacing w:after="0" w:line="159" w:lineRule="exact"/>
        <w:rPr>
          <w:sz w:val="20"/>
          <w:szCs w:val="20"/>
          <w:color w:val="auto"/>
        </w:rPr>
      </w:pPr>
    </w:p>
    <w:p>
      <w:pPr>
        <w:ind w:left="40" w:right="119" w:firstLine="241"/>
        <w:spacing w:after="0" w:line="272" w:lineRule="auto"/>
        <w:rPr>
          <w:sz w:val="20"/>
          <w:szCs w:val="20"/>
          <w:color w:val="auto"/>
        </w:rPr>
      </w:pPr>
      <w:r>
        <w:rPr>
          <w:rFonts w:ascii="Times New Roman" w:cs="Times New Roman" w:eastAsia="Times New Roman" w:hAnsi="Times New Roman"/>
          <w:sz w:val="17"/>
          <w:szCs w:val="17"/>
          <w:color w:val="auto"/>
        </w:rPr>
        <w:t>Both our Grown and Prepared segments are influenced by seasonal trends, which may affect the availability, volume, and quality of raw materials sourced during any given quarter.</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Grown Products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2024 vs. Fiscal 2023:</w:t>
      </w:r>
    </w:p>
    <w:p>
      <w:pPr>
        <w:spacing w:after="0" w:line="206" w:lineRule="exact"/>
        <w:rPr>
          <w:sz w:val="20"/>
          <w:szCs w:val="20"/>
          <w:color w:val="auto"/>
        </w:rPr>
      </w:pPr>
    </w:p>
    <w:p>
      <w:pPr>
        <w:ind w:left="40" w:right="159" w:firstLine="241"/>
        <w:spacing w:after="0" w:line="259" w:lineRule="auto"/>
        <w:rPr>
          <w:sz w:val="20"/>
          <w:szCs w:val="20"/>
          <w:color w:val="auto"/>
        </w:rPr>
      </w:pPr>
      <w:r>
        <w:rPr>
          <w:rFonts w:ascii="Times New Roman" w:cs="Times New Roman" w:eastAsia="Times New Roman" w:hAnsi="Times New Roman"/>
          <w:sz w:val="17"/>
          <w:szCs w:val="17"/>
          <w:color w:val="auto"/>
        </w:rPr>
        <w:t>Net sales for the Grown products business increased by approximately $70.2 million, or 13%, for the year ended October 31, 2024 compared to the prior year period. The increase in Grown product sales during the year ended October 31, 2024 was primarily related to higher sales prices for avocados, partially offset by a decrease in sales of tomatoes.</w:t>
      </w:r>
    </w:p>
    <w:p>
      <w:pPr>
        <w:spacing w:after="0" w:line="170"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Sales of avocados increased $68.0 million, or 15%, for the year ended October 31, 2024, compared to the prior year period. The average avocado sales price per carton increased 24% compared to the prior year period. The increase in the sales price per carton was mainly due higher market values for avocados. The volume of avocados sold for the year ended October 31, 2024 decreased by 8% compared to the prior year period.</w:t>
      </w:r>
    </w:p>
    <w:p>
      <w:pPr>
        <w:spacing w:after="0" w:line="172" w:lineRule="exact"/>
        <w:rPr>
          <w:sz w:val="20"/>
          <w:szCs w:val="20"/>
          <w:color w:val="auto"/>
        </w:rPr>
      </w:pPr>
    </w:p>
    <w:p>
      <w:pPr>
        <w:ind w:left="40" w:right="399" w:firstLine="241"/>
        <w:spacing w:after="0" w:line="272" w:lineRule="auto"/>
        <w:rPr>
          <w:sz w:val="20"/>
          <w:szCs w:val="20"/>
          <w:color w:val="auto"/>
        </w:rPr>
      </w:pPr>
      <w:r>
        <w:rPr>
          <w:rFonts w:ascii="Times New Roman" w:cs="Times New Roman" w:eastAsia="Times New Roman" w:hAnsi="Times New Roman"/>
          <w:sz w:val="17"/>
          <w:szCs w:val="17"/>
          <w:color w:val="auto"/>
        </w:rPr>
        <w:t>We expect our avocado sales volume to increase in fiscal 2025, driven by our focus on new customer recruitment, expanding existing customers’ sales, and intensifying global sourcing.</w:t>
      </w:r>
    </w:p>
    <w:p>
      <w:pPr>
        <w:spacing w:after="0" w:line="159"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Sales of tomatoes decreased by $0.1 million, or 0.3%, for the year ended October 31, 2024, when compared to the prior year period. The decrease in tomato sales was primarily due to a 17% decrease in volume sold offset by a 19% increase in the sales price per carton.</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2023 vs. Fiscal 2022:</w:t>
      </w:r>
    </w:p>
    <w:p>
      <w:pPr>
        <w:spacing w:after="0" w:line="206" w:lineRule="exact"/>
        <w:rPr>
          <w:sz w:val="20"/>
          <w:szCs w:val="20"/>
          <w:color w:val="auto"/>
        </w:rPr>
      </w:pPr>
    </w:p>
    <w:p>
      <w:pPr>
        <w:ind w:left="40" w:right="279" w:firstLine="241"/>
        <w:spacing w:after="0" w:line="272" w:lineRule="auto"/>
        <w:rPr>
          <w:sz w:val="20"/>
          <w:szCs w:val="20"/>
          <w:color w:val="auto"/>
        </w:rPr>
      </w:pPr>
      <w:r>
        <w:rPr>
          <w:rFonts w:ascii="Times New Roman" w:cs="Times New Roman" w:eastAsia="Times New Roman" w:hAnsi="Times New Roman"/>
          <w:sz w:val="17"/>
          <w:szCs w:val="17"/>
          <w:color w:val="auto"/>
        </w:rPr>
        <w:t>Net sales for the Grown products business decreased by approximately $170.8 million, or 24%, for the year ended October 31, 2023 compared to the prior year period. The decrease in Grown product sales during the year ended October</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6" w:name="page37"/>
    <w:bookmarkEnd w:id="36"/>
    <w:p>
      <w:pPr>
        <w:ind w:left="40" w:right="319"/>
        <w:spacing w:after="0" w:line="272" w:lineRule="auto"/>
        <w:rPr>
          <w:sz w:val="20"/>
          <w:szCs w:val="20"/>
          <w:color w:val="auto"/>
        </w:rPr>
      </w:pPr>
      <w:r>
        <w:rPr>
          <w:rFonts w:ascii="Times New Roman" w:cs="Times New Roman" w:eastAsia="Times New Roman" w:hAnsi="Times New Roman"/>
          <w:sz w:val="17"/>
          <w:szCs w:val="17"/>
          <w:color w:val="auto"/>
        </w:rPr>
        <w:t>31, 2023 was primarily related to lower sales prices of avocados due to increased industry supply of avocados. Partially offsetting this decrease, tomato sales increased due to an increase in sales prices per carton, and higher tomato sales volume.</w:t>
      </w:r>
    </w:p>
    <w:p>
      <w:pPr>
        <w:spacing w:after="0" w:line="159"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Sales of avocados decreased $177.9 million, or 28%, for the year ended October 31, 2023, compared to the prior year period. The average avocado sales price per carton decreased 30% compared to the prior year period. The decrease in the sales price per carton was mainly due to an increased industry supply of avocados. The volume of avocados sold for the year ended October 31, 2023 increased 3% compared to the prior year period.</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Sales of tomatoes increased $7.7 million, or 16%, for the year ended October 31, 2023, when compared to the prior year period.</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increase in tomato sales was primarily due to an 8% increase in the sales price per carton, and an 8% increase in volume sold.</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Prepared products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2024 vs. Fiscal 2023:</w:t>
      </w:r>
    </w:p>
    <w:p>
      <w:pPr>
        <w:spacing w:after="0" w:line="206" w:lineRule="exact"/>
        <w:rPr>
          <w:sz w:val="20"/>
          <w:szCs w:val="20"/>
          <w:color w:val="auto"/>
        </w:rPr>
      </w:pPr>
    </w:p>
    <w:p>
      <w:pPr>
        <w:ind w:left="40" w:right="279" w:firstLine="241"/>
        <w:spacing w:after="0" w:line="259" w:lineRule="auto"/>
        <w:rPr>
          <w:sz w:val="20"/>
          <w:szCs w:val="20"/>
          <w:color w:val="auto"/>
        </w:rPr>
      </w:pPr>
      <w:r>
        <w:rPr>
          <w:rFonts w:ascii="Times New Roman" w:cs="Times New Roman" w:eastAsia="Times New Roman" w:hAnsi="Times New Roman"/>
          <w:sz w:val="17"/>
          <w:szCs w:val="17"/>
          <w:color w:val="auto"/>
        </w:rPr>
        <w:t>Net sales for the Prepared products business decreased by approximately $2.7 million, or 4%, for the year ended October 31, 2024, compared to the corresponding period in fiscal 2023. This decrease in Prepared product sales during the year ended October 31, 2024 was primarily related to a change in sales mix.</w:t>
      </w:r>
    </w:p>
    <w:p>
      <w:pPr>
        <w:spacing w:after="0" w:line="170" w:lineRule="exact"/>
        <w:rPr>
          <w:sz w:val="20"/>
          <w:szCs w:val="20"/>
          <w:color w:val="auto"/>
        </w:rPr>
      </w:pPr>
    </w:p>
    <w:p>
      <w:pPr>
        <w:ind w:left="40" w:right="99" w:firstLine="241"/>
        <w:spacing w:after="0" w:line="259" w:lineRule="auto"/>
        <w:rPr>
          <w:sz w:val="20"/>
          <w:szCs w:val="20"/>
          <w:color w:val="auto"/>
        </w:rPr>
      </w:pPr>
      <w:r>
        <w:rPr>
          <w:rFonts w:ascii="Times New Roman" w:cs="Times New Roman" w:eastAsia="Times New Roman" w:hAnsi="Times New Roman"/>
          <w:sz w:val="17"/>
          <w:szCs w:val="17"/>
          <w:color w:val="auto"/>
        </w:rPr>
        <w:t>Net sales for guacamole products decreased $2.0 million, or 3%, for the year ended October 31, 2024 compared to the corresponding period in fiscal 2024. During fiscal 2024, compared to fiscal 2023, the volume of frozen products sold as a percentage of total sales increased. Frozen products typically have lower sales prices than their unfrozen counterparts.</w:t>
      </w:r>
    </w:p>
    <w:p>
      <w:pPr>
        <w:spacing w:after="0" w:line="170" w:lineRule="exact"/>
        <w:rPr>
          <w:sz w:val="20"/>
          <w:szCs w:val="20"/>
          <w:color w:val="auto"/>
        </w:rPr>
      </w:pPr>
    </w:p>
    <w:p>
      <w:pPr>
        <w:ind w:left="40" w:right="219" w:firstLine="241"/>
        <w:spacing w:after="0" w:line="259" w:lineRule="auto"/>
        <w:rPr>
          <w:sz w:val="20"/>
          <w:szCs w:val="20"/>
          <w:color w:val="auto"/>
        </w:rPr>
      </w:pPr>
      <w:r>
        <w:rPr>
          <w:rFonts w:ascii="Times New Roman" w:cs="Times New Roman" w:eastAsia="Times New Roman" w:hAnsi="Times New Roman"/>
          <w:sz w:val="17"/>
          <w:szCs w:val="17"/>
          <w:color w:val="auto"/>
        </w:rPr>
        <w:t>We anticipate an increase in sales for our Prepared products in fiscal 2025, fueled by new innovations that are expected to drive higher sales volumes, particularly in the retail markets, compared to the prior year. We cannot assure you, however, that such increases in sales will occur.</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2023 vs. Fiscal 2022:</w:t>
      </w:r>
    </w:p>
    <w:p>
      <w:pPr>
        <w:spacing w:after="0" w:line="206" w:lineRule="exact"/>
        <w:rPr>
          <w:sz w:val="20"/>
          <w:szCs w:val="20"/>
          <w:color w:val="auto"/>
        </w:rPr>
      </w:pPr>
    </w:p>
    <w:p>
      <w:pPr>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Net sales for the Prepared products business decreased by approximately $4.8 million, or 7%, for the year ended October 31, 2023 compared to the corresponding period in fiscal 2022. This decrease in Prepared product sales during the year ended October 31, 2023 was primarily related to lower sales volume of guacamole products.</w:t>
      </w:r>
    </w:p>
    <w:p>
      <w:pPr>
        <w:spacing w:after="0" w:line="170" w:lineRule="exact"/>
        <w:rPr>
          <w:sz w:val="20"/>
          <w:szCs w:val="20"/>
          <w:color w:val="auto"/>
        </w:rPr>
      </w:pPr>
    </w:p>
    <w:p>
      <w:pPr>
        <w:ind w:left="40" w:right="759" w:firstLine="241"/>
        <w:spacing w:after="0" w:line="272" w:lineRule="auto"/>
        <w:rPr>
          <w:sz w:val="20"/>
          <w:szCs w:val="20"/>
          <w:color w:val="auto"/>
        </w:rPr>
      </w:pPr>
      <w:r>
        <w:rPr>
          <w:rFonts w:ascii="Times New Roman" w:cs="Times New Roman" w:eastAsia="Times New Roman" w:hAnsi="Times New Roman"/>
          <w:sz w:val="17"/>
          <w:szCs w:val="17"/>
          <w:color w:val="auto"/>
        </w:rPr>
        <w:t>Net sales for guacamole products decreased $6.9 million, or 10%, for the year ended October 31, 2023 compared to the corresponding period in fiscal 2022, primarily due to a decrease in total volume sold.</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With the divestiture of our salsa business in April 2023, we had a decrease in sales of salsa products of $1.1 million, or 59%.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 summarizes our gross profit and gross profit percentages by business segment:</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r>
      <w:tr>
        <w:trPr>
          <w:trHeight w:val="268"/>
        </w:trPr>
        <w:tc>
          <w:tcPr>
            <w:tcW w:w="4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940" w:type="dxa"/>
            <w:vAlign w:val="bottom"/>
            <w:gridSpan w:val="6"/>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0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1"/>
        </w:trPr>
        <w:tc>
          <w:tcPr>
            <w:tcW w:w="4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Grown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55,268</w:t>
            </w:r>
          </w:p>
        </w:tc>
        <w:tc>
          <w:tcPr>
            <w:tcW w:w="9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9 %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50,534</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1 %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50,165</w:t>
            </w:r>
          </w:p>
        </w:tc>
        <w:tc>
          <w:tcPr>
            <w:tcW w:w="280" w:type="dxa"/>
            <w:vAlign w:val="bottom"/>
          </w:tcPr>
          <w:p>
            <w:pPr>
              <w:spacing w:after="0"/>
              <w:rPr>
                <w:sz w:val="17"/>
                <w:szCs w:val="17"/>
                <w:color w:val="auto"/>
              </w:rPr>
            </w:pPr>
          </w:p>
        </w:tc>
      </w:tr>
      <w:tr>
        <w:trPr>
          <w:trHeight w:val="201"/>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Prepared</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12,536</w:t>
            </w:r>
          </w:p>
        </w:tc>
        <w:tc>
          <w:tcPr>
            <w:tcW w:w="98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4 %</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164 %</w:t>
            </w: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4,577</w:t>
            </w:r>
          </w:p>
        </w:tc>
        <w:tc>
          <w:tcPr>
            <w:tcW w:w="280" w:type="dxa"/>
            <w:vAlign w:val="bottom"/>
            <w:shd w:val="clear" w:color="auto" w:fill="CCEEFF"/>
          </w:tcPr>
          <w:p>
            <w:pPr>
              <w:spacing w:after="0"/>
              <w:rPr>
                <w:sz w:val="17"/>
                <w:szCs w:val="17"/>
                <w:color w:val="auto"/>
              </w:rPr>
            </w:pPr>
          </w:p>
        </w:tc>
      </w:tr>
      <w:tr>
        <w:trPr>
          <w:trHeight w:val="233"/>
        </w:trPr>
        <w:tc>
          <w:tcPr>
            <w:tcW w:w="4480" w:type="dxa"/>
            <w:vAlign w:val="bottom"/>
            <w:tcBorders>
              <w:bottom w:val="single" w:sz="8" w:color="CCEEFF"/>
            </w:tcBorders>
          </w:tcPr>
          <w:p>
            <w:pPr>
              <w:ind w:left="300"/>
              <w:spacing w:after="0" w:line="194" w:lineRule="exact"/>
              <w:rPr>
                <w:sz w:val="20"/>
                <w:szCs w:val="20"/>
                <w:color w:val="auto"/>
              </w:rPr>
            </w:pPr>
            <w:r>
              <w:rPr>
                <w:rFonts w:ascii="Times New Roman" w:cs="Times New Roman" w:eastAsia="Times New Roman" w:hAnsi="Times New Roman"/>
                <w:sz w:val="17"/>
                <w:szCs w:val="17"/>
                <w:color w:val="auto"/>
              </w:rPr>
              <w:t>Total gross profit</w:t>
            </w: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67,804</w:t>
            </w:r>
          </w:p>
        </w:tc>
        <w:tc>
          <w:tcPr>
            <w:tcW w:w="980" w:type="dxa"/>
            <w:vAlign w:val="bottom"/>
            <w:tcBorders>
              <w:bottom w:val="single" w:sz="8" w:color="CCEEFF"/>
            </w:tcBorders>
            <w:gridSpan w:val="3"/>
          </w:tcPr>
          <w:p>
            <w:pPr>
              <w:jc w:val="right"/>
              <w:ind w:right="33"/>
              <w:spacing w:after="0" w:line="194" w:lineRule="exact"/>
              <w:rPr>
                <w:sz w:val="20"/>
                <w:szCs w:val="20"/>
                <w:color w:val="auto"/>
              </w:rPr>
            </w:pPr>
            <w:r>
              <w:rPr>
                <w:rFonts w:ascii="Times New Roman" w:cs="Times New Roman" w:eastAsia="Times New Roman" w:hAnsi="Times New Roman"/>
                <w:sz w:val="17"/>
                <w:szCs w:val="17"/>
                <w:color w:val="auto"/>
              </w:rPr>
              <w:t>8 %</w:t>
            </w: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62,612</w:t>
            </w:r>
          </w:p>
        </w:tc>
        <w:tc>
          <w:tcPr>
            <w:tcW w:w="1000" w:type="dxa"/>
            <w:vAlign w:val="bottom"/>
            <w:tcBorders>
              <w:bottom w:val="single" w:sz="8" w:color="CCEEFF"/>
            </w:tcBorders>
            <w:gridSpan w:val="3"/>
          </w:tcPr>
          <w:p>
            <w:pPr>
              <w:jc w:val="right"/>
              <w:ind w:right="120"/>
              <w:spacing w:after="0" w:line="194" w:lineRule="exact"/>
              <w:rPr>
                <w:sz w:val="20"/>
                <w:szCs w:val="20"/>
                <w:color w:val="auto"/>
              </w:rPr>
            </w:pPr>
            <w:r>
              <w:rPr>
                <w:rFonts w:ascii="Times New Roman" w:cs="Times New Roman" w:eastAsia="Times New Roman" w:hAnsi="Times New Roman"/>
                <w:sz w:val="17"/>
                <w:szCs w:val="17"/>
                <w:color w:val="auto"/>
              </w:rPr>
              <w:t>14 %</w:t>
            </w: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54,742</w:t>
            </w:r>
          </w:p>
        </w:tc>
        <w:tc>
          <w:tcPr>
            <w:tcW w:w="280" w:type="dxa"/>
            <w:vAlign w:val="bottom"/>
            <w:tcBorders>
              <w:bottom w:val="single" w:sz="8" w:color="CCEEFF"/>
            </w:tcBorders>
          </w:tcPr>
          <w:p>
            <w:pPr>
              <w:spacing w:after="0"/>
              <w:rPr>
                <w:sz w:val="20"/>
                <w:szCs w:val="20"/>
                <w:color w:val="auto"/>
              </w:rPr>
            </w:pPr>
          </w:p>
        </w:tc>
      </w:tr>
      <w:tr>
        <w:trPr>
          <w:trHeight w:val="178"/>
        </w:trPr>
        <w:tc>
          <w:tcPr>
            <w:tcW w:w="4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1"/>
        </w:trPr>
        <w:tc>
          <w:tcPr>
            <w:tcW w:w="3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profit percentages:</w:t>
            </w:r>
          </w:p>
        </w:tc>
        <w:tc>
          <w:tcPr>
            <w:tcW w:w="2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1"/>
        </w:trPr>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Grown</w:t>
            </w:r>
          </w:p>
        </w:tc>
        <w:tc>
          <w:tcPr>
            <w:tcW w:w="26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rPr>
              <w:t>9.2 %</w:t>
            </w:r>
          </w:p>
        </w:tc>
        <w:tc>
          <w:tcPr>
            <w:tcW w:w="1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9.6 %</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7.2 %</w:t>
            </w:r>
          </w:p>
        </w:tc>
      </w:tr>
      <w:tr>
        <w:trPr>
          <w:trHeight w:val="201"/>
        </w:trPr>
        <w:tc>
          <w:tcPr>
            <w:tcW w:w="33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Prepared</w:t>
            </w:r>
          </w:p>
        </w:tc>
        <w:tc>
          <w:tcPr>
            <w:tcW w:w="2620" w:type="dxa"/>
            <w:vAlign w:val="bottom"/>
          </w:tcPr>
          <w:p>
            <w:pPr>
              <w:jc w:val="right"/>
              <w:ind w:right="516"/>
              <w:spacing w:after="0"/>
              <w:rPr>
                <w:sz w:val="20"/>
                <w:szCs w:val="20"/>
                <w:color w:val="auto"/>
              </w:rPr>
            </w:pPr>
            <w:r>
              <w:rPr>
                <w:rFonts w:ascii="Times New Roman" w:cs="Times New Roman" w:eastAsia="Times New Roman" w:hAnsi="Times New Roman"/>
                <w:sz w:val="17"/>
                <w:szCs w:val="17"/>
                <w:color w:val="auto"/>
              </w:rPr>
              <w:t>19.6 %</w:t>
            </w:r>
          </w:p>
        </w:tc>
        <w:tc>
          <w:tcPr>
            <w:tcW w:w="17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18.1 %</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6.4 %</w:t>
            </w:r>
          </w:p>
        </w:tc>
      </w:tr>
      <w:tr>
        <w:trPr>
          <w:trHeight w:val="201"/>
        </w:trPr>
        <w:tc>
          <w:tcPr>
            <w:tcW w:w="3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Consolidated</w:t>
            </w:r>
          </w:p>
        </w:tc>
        <w:tc>
          <w:tcPr>
            <w:tcW w:w="26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rPr>
              <w:t>10.2 %</w:t>
            </w:r>
          </w:p>
        </w:tc>
        <w:tc>
          <w:tcPr>
            <w:tcW w:w="174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color w:val="auto"/>
              </w:rPr>
              <w:t>10.5 %</w:t>
            </w: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7.1 %</w:t>
            </w: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Summary</w:t>
      </w:r>
    </w:p>
    <w:p>
      <w:pPr>
        <w:spacing w:after="0" w:line="210" w:lineRule="exact"/>
        <w:rPr>
          <w:sz w:val="20"/>
          <w:szCs w:val="20"/>
          <w:color w:val="auto"/>
        </w:rPr>
      </w:pPr>
    </w:p>
    <w:p>
      <w:pPr>
        <w:ind w:left="40" w:right="119" w:firstLine="241"/>
        <w:spacing w:after="0" w:line="252" w:lineRule="auto"/>
        <w:rPr>
          <w:sz w:val="20"/>
          <w:szCs w:val="20"/>
          <w:color w:val="auto"/>
        </w:rPr>
      </w:pPr>
      <w:r>
        <w:rPr>
          <w:rFonts w:ascii="Times New Roman" w:cs="Times New Roman" w:eastAsia="Times New Roman" w:hAnsi="Times New Roman"/>
          <w:sz w:val="17"/>
          <w:szCs w:val="17"/>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increased by approximately $5.2 million, or 8%, for the year ended October 31, 2024, compared to the same period in fiscal 2023. This growth was primarily driven by higher gross profits in both the Grown and Prepared segments.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Grown products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2024 vs. Fiscal 2023:</w:t>
      </w:r>
    </w:p>
    <w:p>
      <w:pPr>
        <w:spacing w:after="0" w:line="206" w:lineRule="exact"/>
        <w:rPr>
          <w:sz w:val="20"/>
          <w:szCs w:val="20"/>
          <w:color w:val="auto"/>
        </w:rPr>
      </w:pPr>
    </w:p>
    <w:p>
      <w:pPr>
        <w:ind w:left="40" w:right="159" w:firstLine="241"/>
        <w:spacing w:after="0" w:line="250" w:lineRule="auto"/>
        <w:rPr>
          <w:sz w:val="20"/>
          <w:szCs w:val="20"/>
          <w:color w:val="auto"/>
        </w:rPr>
      </w:pPr>
      <w:r>
        <w:rPr>
          <w:rFonts w:ascii="Times New Roman" w:cs="Times New Roman" w:eastAsia="Times New Roman" w:hAnsi="Times New Roman"/>
          <w:sz w:val="17"/>
          <w:szCs w:val="17"/>
          <w:color w:val="auto"/>
        </w:rPr>
        <w:t>For the year ended October 31, 2024, compared to the prior year, our Grown products segment gross profit increased by $4.7 million, or 9%. Gross profit percentages for avocados remained strong at approximately 10% for both fiscal 2024 and 2023. However, tomato gross profits declined to $3.6 million from $4.5 million. While the majority of our tomato sales are made on a consignment basis, we also purchase some tomatoes on the spot market to fulfill specific customer requests. The decrease in tomato gross profit was primarily attributable to higher sales of tomatoes sourced from the spot market, which were less profitable than our traditional consignment tomato sales. We expect to source less volume from the spot market in fiscal 2025 relative to consignment sales.</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2023 vs. Fiscal 2022:</w:t>
      </w:r>
    </w:p>
    <w:p>
      <w:pPr>
        <w:spacing w:after="0" w:line="206" w:lineRule="exact"/>
        <w:rPr>
          <w:sz w:val="20"/>
          <w:szCs w:val="20"/>
          <w:color w:val="auto"/>
        </w:rPr>
      </w:pPr>
    </w:p>
    <w:p>
      <w:pPr>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During our year ended October 31, 2023, as compared to the prior year period, our Grown products segment gross profit increased $0.4 million or 1%. For the years ended October 31, 2023 and 2022, the gross profit percentages for avocados were 10.1% and 7.1%, respectively.</w:t>
      </w:r>
    </w:p>
    <w:p>
      <w:pPr>
        <w:spacing w:after="0" w:line="170" w:lineRule="exact"/>
        <w:rPr>
          <w:sz w:val="20"/>
          <w:szCs w:val="20"/>
          <w:color w:val="auto"/>
        </w:rPr>
      </w:pPr>
    </w:p>
    <w:p>
      <w:pPr>
        <w:ind w:left="40" w:right="139" w:firstLine="241"/>
        <w:spacing w:after="0" w:line="267" w:lineRule="auto"/>
        <w:rPr>
          <w:sz w:val="20"/>
          <w:szCs w:val="20"/>
          <w:color w:val="auto"/>
        </w:rPr>
      </w:pPr>
      <w:r>
        <w:rPr>
          <w:rFonts w:ascii="Times New Roman" w:cs="Times New Roman" w:eastAsia="Times New Roman" w:hAnsi="Times New Roman"/>
          <w:sz w:val="16"/>
          <w:szCs w:val="16"/>
          <w:color w:val="auto"/>
        </w:rPr>
        <w:t>For the year ended October 31, 2023, we generated gross profit of $4.5 million from tomato sales, up from $3.5 million in the prior year period. The majority of our tomato sales are made on a consignment basis, in which the gross profit we earn is generally based on a commission agreed to with each party, which usually is a percent of the overall selling price. We, however,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 The decrease in tomato gross profit was due primarily to an increase in sales of tomatoes from third-party growers/packers. As discussed above, even though a majority of our tomato sales are made on a consignment basis, we had lower gross profit from third-party growers/packers compared to the prior year.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7"/>
          <w:szCs w:val="17"/>
          <w:i w:val="1"/>
          <w:iCs w:val="1"/>
          <w:color w:val="auto"/>
        </w:rPr>
        <w:t>Prepared products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2024 vs. Fiscal 2023:</w:t>
      </w:r>
    </w:p>
    <w:p>
      <w:pPr>
        <w:spacing w:after="0" w:line="206" w:lineRule="exact"/>
        <w:rPr>
          <w:sz w:val="20"/>
          <w:szCs w:val="20"/>
          <w:color w:val="auto"/>
        </w:rPr>
      </w:pPr>
    </w:p>
    <w:p>
      <w:pPr>
        <w:ind w:left="40" w:right="79" w:firstLine="241"/>
        <w:spacing w:after="0" w:line="259" w:lineRule="auto"/>
        <w:rPr>
          <w:sz w:val="20"/>
          <w:szCs w:val="20"/>
          <w:color w:val="auto"/>
        </w:rPr>
      </w:pPr>
      <w:r>
        <w:rPr>
          <w:rFonts w:ascii="Times New Roman" w:cs="Times New Roman" w:eastAsia="Times New Roman" w:hAnsi="Times New Roman"/>
          <w:sz w:val="17"/>
          <w:szCs w:val="17"/>
          <w:color w:val="auto"/>
        </w:rPr>
        <w:t>The gross profit percentage for guacamole products for the year ended October 31, 2024, was 19.6%, compared to 18.1% in the prior year. This increase in gross profit percentage for fiscal 2024 was primarily driven by lower raw fruit costs and lower production expenses.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Fiscal 2023 vs. Fiscal 2022:</w:t>
      </w:r>
    </w:p>
    <w:p>
      <w:pPr>
        <w:spacing w:after="0" w:line="206" w:lineRule="exact"/>
        <w:rPr>
          <w:sz w:val="20"/>
          <w:szCs w:val="20"/>
          <w:color w:val="auto"/>
        </w:rPr>
      </w:pPr>
    </w:p>
    <w:p>
      <w:pPr>
        <w:ind w:left="40" w:right="339" w:firstLine="241"/>
        <w:spacing w:after="0" w:line="255" w:lineRule="auto"/>
        <w:rPr>
          <w:sz w:val="20"/>
          <w:szCs w:val="20"/>
          <w:color w:val="auto"/>
        </w:rPr>
      </w:pPr>
      <w:r>
        <w:rPr>
          <w:rFonts w:ascii="Times New Roman" w:cs="Times New Roman" w:eastAsia="Times New Roman" w:hAnsi="Times New Roman"/>
          <w:sz w:val="17"/>
          <w:szCs w:val="17"/>
          <w:color w:val="auto"/>
        </w:rPr>
        <w:t>The increase in our Prepared products gross profit for the year ended October 31, 2022, was the result of increased profit in guacamole products. Guacamole products gross profit percentage for the year ended October 31, 2023 was 18.1%, compared to a gross profit of 5.7% for the prior year period. The increase in gross profit percentage for the year ended October 31, 2023 in guacamole products was primarily due to lower raw product fruit costs and manufacturing improvements.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4"/>
                <w:szCs w:val="14"/>
                <w:color w:val="auto"/>
              </w:rPr>
            </w:pPr>
          </w:p>
        </w:tc>
      </w:tr>
      <w:tr>
        <w:trPr>
          <w:trHeight w:val="118"/>
        </w:trPr>
        <w:tc>
          <w:tcPr>
            <w:tcW w:w="4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0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50,038</w:t>
            </w:r>
          </w:p>
        </w:tc>
        <w:tc>
          <w:tcPr>
            <w:tcW w:w="26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6 %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47,276</w:t>
            </w:r>
          </w:p>
        </w:tc>
        <w:tc>
          <w:tcPr>
            <w:tcW w:w="2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2 %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46,538</w:t>
            </w:r>
          </w:p>
        </w:tc>
        <w:tc>
          <w:tcPr>
            <w:tcW w:w="160" w:type="dxa"/>
            <w:vAlign w:val="bottom"/>
            <w:shd w:val="clear" w:color="auto" w:fill="CCEEFF"/>
          </w:tcPr>
          <w:p>
            <w:pPr>
              <w:spacing w:after="0"/>
              <w:rPr>
                <w:sz w:val="17"/>
                <w:szCs w:val="17"/>
                <w:color w:val="auto"/>
              </w:rPr>
            </w:pPr>
          </w:p>
        </w:tc>
      </w:tr>
      <w:tr>
        <w:trPr>
          <w:trHeight w:val="217"/>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net sales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7.6 %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8.0 %</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6.0 %</w:t>
            </w:r>
          </w:p>
        </w:tc>
      </w:tr>
    </w:tbl>
    <w:p>
      <w:pPr>
        <w:spacing w:after="0" w:line="168" w:lineRule="exact"/>
        <w:rPr>
          <w:sz w:val="20"/>
          <w:szCs w:val="20"/>
          <w:color w:val="auto"/>
        </w:rPr>
      </w:pPr>
    </w:p>
    <w:p>
      <w:pPr>
        <w:ind w:left="40" w:right="99" w:firstLine="241"/>
        <w:spacing w:after="0" w:line="270" w:lineRule="auto"/>
        <w:rPr>
          <w:sz w:val="20"/>
          <w:szCs w:val="20"/>
          <w:color w:val="auto"/>
        </w:rPr>
      </w:pPr>
      <w:r>
        <w:rPr>
          <w:rFonts w:ascii="Times New Roman" w:cs="Times New Roman" w:eastAsia="Times New Roman" w:hAnsi="Times New Roman"/>
          <w:sz w:val="16"/>
          <w:szCs w:val="16"/>
          <w:color w:val="auto"/>
        </w:rPr>
        <w:t>Selling, general and administrative expenses of $50.0 million for the year ended October 31, 2024 include costs of marketing and advertising, sales expenses (including broker commissions) and other general and administrative costs. Selling, general and administrative expenses increased by $2.8 million, or 6%, for the year ended October 31, 2024 compared to the prior year period. This increase was primarily due to $7.4 million in professional fees related to our internal investigation and a $1.0 million employee incentive accrual. Partially offsetting these increases is a reduction in severance cost of $1.6 million and $3.0 million in stock-based compensation, from the prior year, related to the departure of our former Chief Executive Officer and other executives.</w:t>
      </w:r>
    </w:p>
    <w:p>
      <w:pPr>
        <w:spacing w:after="0" w:line="162" w:lineRule="exact"/>
        <w:rPr>
          <w:sz w:val="20"/>
          <w:szCs w:val="20"/>
          <w:color w:val="auto"/>
        </w:rPr>
      </w:pPr>
    </w:p>
    <w:p>
      <w:pPr>
        <w:ind w:left="40" w:right="99" w:firstLine="241"/>
        <w:spacing w:after="0" w:line="272" w:lineRule="auto"/>
        <w:rPr>
          <w:sz w:val="20"/>
          <w:szCs w:val="20"/>
          <w:color w:val="auto"/>
        </w:rPr>
      </w:pPr>
      <w:r>
        <w:rPr>
          <w:rFonts w:ascii="Times New Roman" w:cs="Times New Roman" w:eastAsia="Times New Roman" w:hAnsi="Times New Roman"/>
          <w:sz w:val="16"/>
          <w:szCs w:val="16"/>
          <w:color w:val="auto"/>
        </w:rPr>
        <w:t>Selling, general and administrative expenses of $47.2 million for the year ended October 31, 2023 include costs of marketing and advertising, sales expenses (including broker commissions) and other general and administrative costs. Selling, general and administrative expenses increased by $0.7 million, or 2%, for the year ended October 31, 2023 compared to the prior year period. This increase was primarily due to $2.9 million paid in severance and other costs and $1.6 million in stock-based compensation related to executive departures. Partially offsetting these increases, is a reduction in our short-term incentive accrual of $2.3 million.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gain (loss)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5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18"/>
        </w:trPr>
        <w:tc>
          <w:tcPr>
            <w:tcW w:w="5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w w:val="75"/>
              </w:rPr>
              <w:t>(Dollars</w:t>
            </w:r>
          </w:p>
        </w:tc>
        <w:tc>
          <w:tcPr>
            <w:tcW w:w="82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w w:val="88"/>
              </w:rPr>
              <w:t>in thousands)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20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99"/>
              </w:rPr>
              <w:t>$  (5,840)</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(973)</w:t>
            </w:r>
          </w:p>
        </w:tc>
      </w:tr>
    </w:tbl>
    <w:p>
      <w:pPr>
        <w:spacing w:after="0" w:line="184"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Our operations in Mexico are subject to exchange rate fluctuations and foreign currency transaction costs. The functional currency of our foreign subsidiaries in Mexico is the United States dollar. As a result, monetary assets and liabilities are remeasured into U.S. dollars at exchange rates as of the balance sheet date and non-monetary assets, liabilities and equity are remeasured at historical rates. Sales and expenses are remeasured using a weighted-average exchange rate for the period.</w:t>
      </w:r>
    </w:p>
    <w:p>
      <w:pPr>
        <w:spacing w:after="0" w:line="172" w:lineRule="exact"/>
        <w:rPr>
          <w:sz w:val="20"/>
          <w:szCs w:val="20"/>
          <w:color w:val="auto"/>
        </w:rPr>
      </w:pPr>
    </w:p>
    <w:p>
      <w:pPr>
        <w:jc w:val="both"/>
        <w:ind w:left="40" w:right="79" w:firstLine="241"/>
        <w:spacing w:after="0" w:line="259" w:lineRule="auto"/>
        <w:rPr>
          <w:sz w:val="20"/>
          <w:szCs w:val="20"/>
          <w:color w:val="auto"/>
        </w:rPr>
      </w:pPr>
      <w:r>
        <w:rPr>
          <w:rFonts w:ascii="Times New Roman" w:cs="Times New Roman" w:eastAsia="Times New Roman" w:hAnsi="Times New Roman"/>
          <w:sz w:val="17"/>
          <w:szCs w:val="17"/>
          <w:color w:val="auto"/>
        </w:rPr>
        <w:t>Due to the change in the Mexican peso to the U.S. dollar exchange rates, foreign currency remeasurement losses, net of gains, for the year ended October 31, 2024 and 2022 were $5.8 million and $1.0 million respectively. Foreign currency remeasurements gains, net of losses, for the year ended October 31, 2023 were $1.4 million.</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Loss from Unconsolidated Entities</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60" w:type="dxa"/>
            <w:vAlign w:val="bottom"/>
          </w:tcPr>
          <w:p>
            <w:pPr>
              <w:spacing w:after="0"/>
              <w:rPr>
                <w:sz w:val="12"/>
                <w:szCs w:val="12"/>
                <w:color w:val="auto"/>
              </w:rPr>
            </w:pPr>
          </w:p>
        </w:tc>
        <w:tc>
          <w:tcPr>
            <w:tcW w:w="2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2"/>
                <w:szCs w:val="12"/>
                <w:color w:val="auto"/>
              </w:rPr>
            </w:pPr>
          </w:p>
        </w:tc>
        <w:tc>
          <w:tcPr>
            <w:tcW w:w="860" w:type="dxa"/>
            <w:vAlign w:val="bottom"/>
            <w:gridSpan w:val="3"/>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spacing w:after="0"/>
              <w:rPr>
                <w:sz w:val="12"/>
                <w:szCs w:val="12"/>
                <w:color w:val="auto"/>
              </w:rPr>
            </w:pP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48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4"/>
        </w:trPr>
        <w:tc>
          <w:tcPr>
            <w:tcW w:w="3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w w:val="70"/>
              </w:rPr>
              <w:t>(Dollars</w:t>
            </w:r>
          </w:p>
        </w:tc>
        <w:tc>
          <w:tcPr>
            <w:tcW w:w="58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760" w:type="dxa"/>
            <w:vAlign w:val="bottom"/>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w w:val="80"/>
              </w:rPr>
              <w:t>in thousands)</w:t>
            </w:r>
          </w:p>
        </w:tc>
        <w:tc>
          <w:tcPr>
            <w:tcW w:w="5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unconsolidated entities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(478)</w:t>
            </w:r>
          </w:p>
        </w:tc>
        <w:tc>
          <w:tcPr>
            <w:tcW w:w="2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8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56 %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40" w:right="99" w:firstLine="241"/>
        <w:spacing w:after="0" w:line="259" w:lineRule="auto"/>
        <w:rPr>
          <w:sz w:val="20"/>
          <w:szCs w:val="20"/>
          <w:color w:val="auto"/>
        </w:rPr>
      </w:pPr>
      <w:r>
        <w:rPr>
          <w:rFonts w:ascii="Times New Roman" w:cs="Times New Roman" w:eastAsia="Times New Roman" w:hAnsi="Times New Roman"/>
          <w:sz w:val="17"/>
          <w:szCs w:val="17"/>
          <w:color w:val="auto"/>
        </w:rPr>
        <w:t>Loss from unconsolidated entities includes our allocation of earnings or losses from our investments in Don Memo. For the years ended October 31, 2024, 2023 and 2022, we recognized losses of $0.5 million, $0.9 million and of $0.6 million, respectively, related to Don Memo.</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r>
      <w:tr>
        <w:trPr>
          <w:trHeight w:val="118"/>
        </w:trPr>
        <w:tc>
          <w:tcPr>
            <w:tcW w:w="5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gridSpan w:val="2"/>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w w:val="93"/>
              </w:rPr>
              <w:t>(Dollars</w:t>
            </w:r>
          </w:p>
        </w:tc>
        <w:tc>
          <w:tcPr>
            <w:tcW w:w="7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3"/>
              </w:rPr>
              <w:t>in thousands)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20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$ 1,020</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69 %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$ 605</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$ 500</w:t>
            </w:r>
          </w:p>
        </w:tc>
        <w:tc>
          <w:tcPr>
            <w:tcW w:w="280" w:type="dxa"/>
            <w:vAlign w:val="bottom"/>
            <w:shd w:val="clear" w:color="auto" w:fill="CCEEFF"/>
          </w:tcPr>
          <w:p>
            <w:pPr>
              <w:spacing w:after="0"/>
              <w:rPr>
                <w:sz w:val="17"/>
                <w:szCs w:val="17"/>
                <w:color w:val="auto"/>
              </w:rPr>
            </w:pPr>
          </w:p>
        </w:tc>
      </w:t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net sales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0.2 %</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0.1 %</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0.1 %</w:t>
            </w:r>
          </w:p>
        </w:tc>
      </w:tr>
    </w:tbl>
    <w:p>
      <w:pPr>
        <w:spacing w:after="0" w:line="168" w:lineRule="exact"/>
        <w:rPr>
          <w:sz w:val="20"/>
          <w:szCs w:val="20"/>
          <w:color w:val="auto"/>
        </w:rPr>
      </w:pPr>
    </w:p>
    <w:p>
      <w:pPr>
        <w:ind w:left="40" w:right="279" w:firstLine="241"/>
        <w:spacing w:after="0" w:line="259" w:lineRule="auto"/>
        <w:rPr>
          <w:sz w:val="20"/>
          <w:szCs w:val="20"/>
          <w:color w:val="auto"/>
        </w:rPr>
      </w:pPr>
      <w:r>
        <w:rPr>
          <w:rFonts w:ascii="Times New Roman" w:cs="Times New Roman" w:eastAsia="Times New Roman" w:hAnsi="Times New Roman"/>
          <w:sz w:val="17"/>
          <w:szCs w:val="17"/>
          <w:color w:val="auto"/>
        </w:rPr>
        <w:t>The increase in interest income in fiscal 2024 as compared to 2023 is primarily due to interest earned on the net proceeds from the sale of the Fresh Cut business. The increase in interest income in fiscal 2023 as compared to 2022 is primarily due to the increase in the amount owed from our tomato growers from loans and infrastructure advances.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r>
      <w:tr>
        <w:trPr>
          <w:trHeight w:val="118"/>
        </w:trPr>
        <w:tc>
          <w:tcPr>
            <w:tcW w:w="4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1"/>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$ 2,893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$ 2,371</w:t>
            </w:r>
          </w:p>
        </w:tc>
        <w:tc>
          <w:tcPr>
            <w:tcW w:w="2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45 %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w:t>
            </w:r>
          </w:p>
        </w:tc>
        <w:tc>
          <w:tcPr>
            <w:tcW w:w="260" w:type="dxa"/>
            <w:vAlign w:val="bottom"/>
            <w:shd w:val="clear" w:color="auto" w:fill="CCEEFF"/>
          </w:tcPr>
          <w:p>
            <w:pPr>
              <w:spacing w:after="0"/>
              <w:rPr>
                <w:sz w:val="17"/>
                <w:szCs w:val="17"/>
                <w:color w:val="auto"/>
              </w:rPr>
            </w:pPr>
          </w:p>
        </w:tc>
      </w:tr>
      <w:tr>
        <w:trPr>
          <w:trHeight w:val="217"/>
        </w:trPr>
        <w:tc>
          <w:tcPr>
            <w:tcW w:w="480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net sales</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0.4 %</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0.4 %</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0.2 %</w:t>
            </w:r>
          </w:p>
        </w:tc>
      </w:tr>
    </w:tbl>
    <w:p>
      <w:pPr>
        <w:spacing w:after="0" w:line="168" w:lineRule="exact"/>
        <w:rPr>
          <w:sz w:val="20"/>
          <w:szCs w:val="20"/>
          <w:color w:val="auto"/>
        </w:rPr>
      </w:pPr>
    </w:p>
    <w:p>
      <w:pPr>
        <w:ind w:left="40" w:right="359" w:firstLine="241"/>
        <w:spacing w:after="0" w:line="255" w:lineRule="auto"/>
        <w:rPr>
          <w:sz w:val="20"/>
          <w:szCs w:val="20"/>
          <w:color w:val="auto"/>
        </w:rPr>
      </w:pPr>
      <w:r>
        <w:rPr>
          <w:rFonts w:ascii="Times New Roman" w:cs="Times New Roman" w:eastAsia="Times New Roman" w:hAnsi="Times New Roman"/>
          <w:sz w:val="17"/>
          <w:szCs w:val="17"/>
          <w:color w:val="auto"/>
        </w:rPr>
        <w:t>Interest expense is primarily generated from our line of credit borrowings with Wells Fargo. For fiscal 2024, as compared to fiscal 2023, the increase in interest expense was due to higher interest rates, as well as a higher average debt balance and amortization of debt issuance cost. For fiscal 2023, as compared to fiscal 2022, the increase in interest expense was due to higher interest rates, as well as a higher average debt balance.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80" w:type="dxa"/>
            <w:vAlign w:val="bottom"/>
          </w:tcPr>
          <w:p>
            <w:pPr>
              <w:spacing w:after="0"/>
              <w:rPr>
                <w:sz w:val="14"/>
                <w:szCs w:val="14"/>
                <w:color w:val="auto"/>
              </w:rPr>
            </w:pPr>
          </w:p>
        </w:tc>
      </w:tr>
      <w:tr>
        <w:trPr>
          <w:trHeight w:val="118"/>
        </w:trPr>
        <w:tc>
          <w:tcPr>
            <w:tcW w:w="5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60" w:type="dxa"/>
            <w:vAlign w:val="bottom"/>
            <w:gridSpan w:val="5"/>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201"/>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$ 641</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$ 803</w:t>
            </w:r>
          </w:p>
        </w:tc>
        <w:tc>
          <w:tcPr>
            <w:tcW w:w="280" w:type="dxa"/>
            <w:vAlign w:val="bottom"/>
            <w:shd w:val="clear" w:color="auto" w:fill="CCEEFF"/>
          </w:tcPr>
          <w:p>
            <w:pPr>
              <w:spacing w:after="0"/>
              <w:rPr>
                <w:sz w:val="17"/>
                <w:szCs w:val="17"/>
                <w:color w:val="auto"/>
              </w:rPr>
            </w:pPr>
          </w:p>
        </w:tc>
      </w:tr>
      <w:tr>
        <w:trPr>
          <w:trHeight w:val="217"/>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net sales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0.1 %</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0.0 %</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0.1 %</w:t>
            </w:r>
          </w:p>
        </w:tc>
      </w:tr>
    </w:tbl>
    <w:p>
      <w:pPr>
        <w:spacing w:after="0" w:line="168"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Other income, net includes transactions that are outside of the normal course of operations. For fiscal 2024, as compared to fiscal 2023, the increase in other income, net was due to a $0.3 million recovery of non-CDM Mexican IVA tax. For fiscal 2023, as compared to fiscal 2022, the decrease in other income, net was due to $0.6 million received as dividend income from Limoneira in 2022. At the end of fiscal 2022, we sold our investment in Limoneira and therefore received no dividends from Limoneira in fiscal 2024 and fiscal 2023.</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Income Taxes Provision</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7"/>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1"/>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$ 2,325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6,148</w:t>
            </w:r>
          </w:p>
        </w:tc>
        <w:tc>
          <w:tcPr>
            <w:tcW w:w="2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94 %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28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Effective tax rate</w:t>
            </w:r>
          </w:p>
        </w:tc>
        <w:tc>
          <w:tcPr>
            <w:tcW w:w="28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25.3 %</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55.0 %</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(85.9)%</w:t>
            </w:r>
          </w:p>
        </w:tc>
        <w:tc>
          <w:tcPr>
            <w:tcW w:w="20" w:type="dxa"/>
            <w:vAlign w:val="bottom"/>
          </w:tcPr>
          <w:p>
            <w:pPr>
              <w:spacing w:after="0"/>
              <w:rPr>
                <w:sz w:val="18"/>
                <w:szCs w:val="18"/>
                <w:color w:val="auto"/>
              </w:rPr>
            </w:pPr>
          </w:p>
        </w:tc>
      </w:tr>
      <w:tr>
        <w:trPr>
          <w:trHeight w:val="786"/>
        </w:trPr>
        <w:tc>
          <w:tcPr>
            <w:tcW w:w="2860" w:type="dxa"/>
            <w:vAlign w:val="bottom"/>
          </w:tcPr>
          <w:p>
            <w:pPr>
              <w:spacing w:after="0"/>
              <w:rPr>
                <w:sz w:val="24"/>
                <w:szCs w:val="24"/>
                <w:color w:val="auto"/>
              </w:rPr>
            </w:pPr>
          </w:p>
        </w:tc>
        <w:tc>
          <w:tcPr>
            <w:tcW w:w="20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40</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9"/>
        </w:trPr>
        <w:tc>
          <w:tcPr>
            <w:tcW w:w="28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07" w:right="1440" w:bottom="1440" w:gutter="0" w:footer="0" w:header="0"/>
        </w:sectPr>
      </w:pPr>
    </w:p>
    <w:bookmarkStart w:id="40" w:name="page41"/>
    <w:bookmarkEnd w:id="40"/>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For fiscal 2024 continuing operation, we incurred $0.5 million return to provision discrete taxable items. These discrete items were primarily related the lack of deductibility of certain Mexican tax expenses. In addition, we recognized $0.7 million of income tax provision benefit during fiscal 2024 related to the other permanent differences and release of valuation allowances.</w:t>
      </w:r>
    </w:p>
    <w:p>
      <w:pPr>
        <w:spacing w:after="0" w:line="170" w:lineRule="exact"/>
        <w:rPr>
          <w:sz w:val="20"/>
          <w:szCs w:val="20"/>
          <w:color w:val="auto"/>
        </w:rPr>
      </w:pPr>
    </w:p>
    <w:p>
      <w:pPr>
        <w:ind w:left="40" w:right="299" w:firstLine="241"/>
        <w:spacing w:after="0" w:line="259" w:lineRule="auto"/>
        <w:rPr>
          <w:sz w:val="20"/>
          <w:szCs w:val="20"/>
          <w:color w:val="auto"/>
        </w:rPr>
      </w:pPr>
      <w:r>
        <w:rPr>
          <w:rFonts w:ascii="Times New Roman" w:cs="Times New Roman" w:eastAsia="Times New Roman" w:hAnsi="Times New Roman"/>
          <w:sz w:val="17"/>
          <w:szCs w:val="17"/>
          <w:color w:val="auto"/>
        </w:rPr>
        <w:t>For fiscal 2023 continuing operation, we incurred $0.2 million return to provision discrete taxable items. These discrete items were primarily related the lack of deductibility of certain Mexican tax expenses. In addition, we recognized $3.1 million of additional income tax provision expenses during fiscal 2023 related to the other permanent differences.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Net loss (income) attributable to noncontrolling interest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4"/>
                <w:szCs w:val="14"/>
                <w:color w:val="auto"/>
              </w:rPr>
            </w:pPr>
          </w:p>
        </w:tc>
      </w:tr>
      <w:tr>
        <w:trPr>
          <w:trHeight w:val="118"/>
        </w:trPr>
        <w:tc>
          <w:tcPr>
            <w:tcW w:w="4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5"/>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201"/>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(income) attributable to noncontrolling interest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(86)%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(207)%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60" w:type="dxa"/>
            <w:vAlign w:val="bottom"/>
            <w:shd w:val="clear" w:color="auto" w:fill="CCEEFF"/>
          </w:tcPr>
          <w:p>
            <w:pPr>
              <w:spacing w:after="0"/>
              <w:rPr>
                <w:sz w:val="17"/>
                <w:szCs w:val="17"/>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Percentage of net sales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84"/>
              </w:rPr>
              <w:t>%</w:t>
            </w:r>
          </w:p>
        </w:tc>
      </w:tr>
    </w:tbl>
    <w:p>
      <w:pPr>
        <w:spacing w:after="0" w:line="168" w:lineRule="exact"/>
        <w:rPr>
          <w:sz w:val="20"/>
          <w:szCs w:val="20"/>
          <w:color w:val="auto"/>
        </w:rPr>
      </w:pPr>
    </w:p>
    <w:p>
      <w:pPr>
        <w:ind w:left="40" w:right="279" w:firstLine="241"/>
        <w:spacing w:after="0" w:line="272" w:lineRule="auto"/>
        <w:rPr>
          <w:sz w:val="20"/>
          <w:szCs w:val="20"/>
          <w:color w:val="auto"/>
        </w:rPr>
      </w:pPr>
      <w:r>
        <w:rPr>
          <w:rFonts w:ascii="Times New Roman" w:cs="Times New Roman" w:eastAsia="Times New Roman" w:hAnsi="Times New Roman"/>
          <w:sz w:val="17"/>
          <w:szCs w:val="17"/>
          <w:color w:val="auto"/>
        </w:rPr>
        <w:t>For fiscal years 2024, 2023 and 2022, the net loss (income) attributable to noncontrolling interest is due to income/losses from Avocados de Jalisco.</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0" w:lineRule="exact"/>
        <w:rPr>
          <w:sz w:val="20"/>
          <w:szCs w:val="20"/>
          <w:color w:val="auto"/>
        </w:rPr>
      </w:pPr>
    </w:p>
    <w:p>
      <w:pPr>
        <w:ind w:left="40" w:right="119" w:firstLine="241"/>
        <w:spacing w:after="0" w:line="250" w:lineRule="auto"/>
        <w:rPr>
          <w:sz w:val="20"/>
          <w:szCs w:val="20"/>
          <w:color w:val="auto"/>
        </w:rPr>
      </w:pPr>
      <w:r>
        <w:rPr>
          <w:rFonts w:ascii="Times New Roman" w:cs="Times New Roman" w:eastAsia="Times New Roman" w:hAnsi="Times New Roman"/>
          <w:sz w:val="17"/>
          <w:szCs w:val="17"/>
          <w:color w:val="auto"/>
        </w:rPr>
        <w:t>Cash provided by operating activities was $24.4 million and $50.2 million for fiscal year 2024 and 2022. Cash used in operating activities for fiscal 2023 was $14.5 million. Fiscal year 2024 operating cash flows reflect our net loss of $1.0 million, net increase of noncash charges (depreciation and amortization, stock-based compensation expense, goodwill impairment, losses from unconsolidated entities, deferred taxes, loss on disposal of property, plant and equipment, reserve for Mexican IVA receivables, gain on the sale of the Temecula packinghouse, gain on sale of the Fresh Cut business, operating lease expense and amortization of debt issuance costs) of $15.7 million and a net increase from changes in the non-cash components of our working capital accounts of approximately $10.2 million.</w:t>
      </w:r>
    </w:p>
    <w:p>
      <w:pPr>
        <w:spacing w:after="0" w:line="180" w:lineRule="exact"/>
        <w:rPr>
          <w:sz w:val="20"/>
          <w:szCs w:val="20"/>
          <w:color w:val="auto"/>
        </w:rPr>
      </w:pPr>
    </w:p>
    <w:p>
      <w:pPr>
        <w:ind w:left="40" w:right="119" w:firstLine="241"/>
        <w:spacing w:after="0" w:line="252" w:lineRule="auto"/>
        <w:rPr>
          <w:sz w:val="20"/>
          <w:szCs w:val="20"/>
          <w:color w:val="auto"/>
        </w:rPr>
      </w:pPr>
      <w:r>
        <w:rPr>
          <w:rFonts w:ascii="Times New Roman" w:cs="Times New Roman" w:eastAsia="Times New Roman" w:hAnsi="Times New Roman"/>
          <w:sz w:val="17"/>
          <w:szCs w:val="17"/>
          <w:color w:val="auto"/>
        </w:rPr>
        <w:t>The increase in operating cash flows was caused by working capital changes including an increase in payable to growers of $3.6 million, a decrease in other assets of $2.8 million, an increase in income tax payables of $2.9 million, a decrease in prepaid expenses and other current assets of $1.6 million, a decrease in advances to suppliers of $0.7 million, a decrease in income tax receivable of $0.2 million, and a net increase in accounts payable and accrued expenses of $7.0 million partially offset by an increase in accounts receivables of $6.5 million and an increase in inventories of $1.9 million.</w:t>
      </w:r>
    </w:p>
    <w:p>
      <w:pPr>
        <w:spacing w:after="0" w:line="177" w:lineRule="exact"/>
        <w:rPr>
          <w:sz w:val="20"/>
          <w:szCs w:val="20"/>
          <w:color w:val="auto"/>
        </w:rPr>
      </w:pPr>
    </w:p>
    <w:p>
      <w:pPr>
        <w:ind w:left="40" w:right="99" w:firstLine="241"/>
        <w:spacing w:after="0" w:line="249" w:lineRule="auto"/>
        <w:rPr>
          <w:sz w:val="20"/>
          <w:szCs w:val="20"/>
          <w:color w:val="auto"/>
        </w:rPr>
      </w:pPr>
      <w:r>
        <w:rPr>
          <w:rFonts w:ascii="Times New Roman" w:cs="Times New Roman" w:eastAsia="Times New Roman" w:hAnsi="Times New Roman"/>
          <w:sz w:val="17"/>
          <w:szCs w:val="17"/>
          <w:color w:val="auto"/>
        </w:rPr>
        <w:t>The increase in accounts payable, accrued expenses and other liabilities is primarily related to the timing of payments. The decrease in other assets as of October 31, 2024, when compared to the prior year period, is primarily due to repayments of infrastructure loans. The increase in payable to growers is mostly due to higher sales prices for avocados. The decrease in our prepaid and other current assets is primarily due to the release of the temporary deposit for collateral in connection with our workers compensation policies in place at October 31, 2023, which has been replaced by a letter of credit. The increase in our accounts receivable is due to an increase in sales prices for avocados. Advances to suppliers reflect preseason advances paid to our consignment growers at the start of the tomato season, and such amounts are relatively flat year over year. The increase in our inventory as of October 31, 2024, when compared to the prior year period, is primarily due to higher inventory of Mexican avocados offset by a decrease in inventory of guacamole products The decrease in income taxes receivable and increase in income taxes payable are due to the gain on disposal of discontinued operations offset by cash payments made during the year.</w:t>
      </w:r>
    </w:p>
    <w:p>
      <w:pPr>
        <w:spacing w:after="0" w:line="179" w:lineRule="exact"/>
        <w:rPr>
          <w:sz w:val="20"/>
          <w:szCs w:val="20"/>
          <w:color w:val="auto"/>
        </w:rPr>
      </w:pPr>
    </w:p>
    <w:p>
      <w:pPr>
        <w:ind w:left="40" w:right="239" w:firstLine="241"/>
        <w:spacing w:after="0" w:line="255" w:lineRule="auto"/>
        <w:rPr>
          <w:sz w:val="20"/>
          <w:szCs w:val="20"/>
          <w:color w:val="auto"/>
        </w:rPr>
      </w:pPr>
      <w:r>
        <w:rPr>
          <w:rFonts w:ascii="Times New Roman" w:cs="Times New Roman" w:eastAsia="Times New Roman" w:hAnsi="Times New Roman"/>
          <w:sz w:val="17"/>
          <w:szCs w:val="17"/>
          <w:color w:val="auto"/>
        </w:rPr>
        <w:t>Cash provided by investing activities was $80.1 million and $8.7 million for fiscal year 2024 and 2022. Cash used by investing activities was $10.7 million for fiscal year 2023. Fiscal year 2024 cash flows provided by investing activities include the proceeds from the sale of the Fresh Cut business of $83.0 million partially offset by the purchases of property, plant and equipment of $2.9 million.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1" w:name="page42"/>
    <w:bookmarkEnd w:id="41"/>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Cash used in financing activities was $50.4 million and $58.6 million for fiscal years 2024 and 2022. Cash provided by financing activities was $24.9 million for fiscal year 2023. Cash used during fiscal year 2024 primarily relates to the net payments to our credit facility totaling $35.0 million, dividend payments of $9.0 million, payment of the Term Loan of $4.1 million, long-term obligation payments of $1.5 million, the payment of minimum withholding taxes on net share settlement of equity awards of $0.7 million and the payment of debt issuance costs of $0.2 million.</w:t>
      </w:r>
    </w:p>
    <w:p>
      <w:pPr>
        <w:spacing w:after="0" w:line="177" w:lineRule="exact"/>
        <w:rPr>
          <w:sz w:val="20"/>
          <w:szCs w:val="20"/>
          <w:color w:val="auto"/>
        </w:rPr>
      </w:pPr>
    </w:p>
    <w:p>
      <w:pPr>
        <w:ind w:left="40" w:right="479" w:firstLine="241"/>
        <w:spacing w:after="0" w:line="283" w:lineRule="auto"/>
        <w:rPr>
          <w:sz w:val="20"/>
          <w:szCs w:val="20"/>
          <w:color w:val="auto"/>
        </w:rPr>
      </w:pPr>
      <w:r>
        <w:rPr>
          <w:rFonts w:ascii="Times New Roman" w:cs="Times New Roman" w:eastAsia="Times New Roman" w:hAnsi="Times New Roman"/>
          <w:sz w:val="16"/>
          <w:szCs w:val="16"/>
          <w:color w:val="auto"/>
        </w:rPr>
        <w:t>Our principal sources of liquidity are cash generated from operations and amounts available for borrowing under our Credit Facility. Restricted cash, cash and cash equivalents as of October 31, 2024 and 2023 totaled $57.0 million and $2.9 million, respectively. Our working capital at October 31, 2024 was $85.4 million, compared to $51.6 million at October 31, 2023.</w:t>
      </w:r>
    </w:p>
    <w:p>
      <w:pPr>
        <w:spacing w:after="0" w:line="152" w:lineRule="exact"/>
        <w:rPr>
          <w:sz w:val="20"/>
          <w:szCs w:val="20"/>
          <w:color w:val="auto"/>
        </w:rPr>
      </w:pPr>
    </w:p>
    <w:p>
      <w:pPr>
        <w:jc w:val="both"/>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We believe that cash flows from operations, borrowings available under our Credit Facility, and other sources will be sufficient to satisfy our future capital expenditures, working capital and other financing requirements for at least the next twelve months. We will continue to pursue grower recruitment opportunities and expand relationships with retail and/or foodservice customers to fuel growth in each of our business segments.</w:t>
      </w:r>
    </w:p>
    <w:p>
      <w:pPr>
        <w:spacing w:after="0" w:line="172" w:lineRule="exact"/>
        <w:rPr>
          <w:sz w:val="20"/>
          <w:szCs w:val="20"/>
          <w:color w:val="auto"/>
        </w:rPr>
      </w:pPr>
    </w:p>
    <w:p>
      <w:pPr>
        <w:jc w:val="both"/>
        <w:ind w:left="40" w:right="39" w:firstLine="241"/>
        <w:spacing w:after="0" w:line="255" w:lineRule="auto"/>
        <w:rPr>
          <w:sz w:val="20"/>
          <w:szCs w:val="20"/>
          <w:color w:val="auto"/>
        </w:rPr>
      </w:pPr>
      <w:r>
        <w:rPr>
          <w:rFonts w:ascii="Times New Roman" w:cs="Times New Roman" w:eastAsia="Times New Roman" w:hAnsi="Times New Roman"/>
          <w:sz w:val="17"/>
          <w:szCs w:val="17"/>
          <w:color w:val="auto"/>
        </w:rPr>
        <w:t>On June 26, 2023, Calavo and certain subsidiaries entered into the “Credit Agreement” by and among Calavo, certain subsidiaries of Calavo as guarantors, and Wells Fargo Bank, National Association, as agent and lender (“Agent”). The Credit Agreement provides for a revolving credit facility of up to $90.0 million (the “Revolving Loans”), along with a capex credit facility of up to $10.0 million (the “Term Loan”, and together with the Revolving Loans, the “Credit Facility”).</w:t>
      </w:r>
    </w:p>
    <w:p>
      <w:pPr>
        <w:spacing w:after="0" w:line="172" w:lineRule="exact"/>
        <w:rPr>
          <w:sz w:val="20"/>
          <w:szCs w:val="20"/>
          <w:color w:val="auto"/>
        </w:rPr>
      </w:pPr>
    </w:p>
    <w:p>
      <w:pPr>
        <w:ind w:left="40" w:right="59" w:firstLine="241"/>
        <w:spacing w:after="0" w:line="251" w:lineRule="auto"/>
        <w:rPr>
          <w:sz w:val="20"/>
          <w:szCs w:val="20"/>
          <w:color w:val="auto"/>
        </w:rPr>
      </w:pPr>
      <w:r>
        <w:rPr>
          <w:rFonts w:ascii="Times New Roman" w:cs="Times New Roman" w:eastAsia="Times New Roman" w:hAnsi="Times New Roman"/>
          <w:sz w:val="17"/>
          <w:szCs w:val="17"/>
          <w:color w:val="auto"/>
        </w:rPr>
        <w:t>On August 15, 2024, in conjunction with its sale of the Fresh Cut business, Calavo and certain of its subsidiaries (collectively, the “Borrower”) entered into a First Amendment to Credit Agreement and Consent (as amended, the “Credit Agreement”) with Agent, whereby (i) the Credit Agreement was amended to (A) reduce the revolving commitments thereunder from $90.0 million to $75.0 million and (B) reduce the machinery and equipment subline of the loans from $6.8 million to $1.7 million, and to reduce the related monthly amortization on such subline from $80,952.38 to $24,335.37, and (ii) the Borrower obtained consent from Agent for entry into the Asset Purchase Agreement and Purchase and Sale Agreement.</w:t>
      </w:r>
    </w:p>
    <w:p>
      <w:pPr>
        <w:spacing w:after="0" w:line="178"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Borrowings of the Revolving Loans under the Credit Agreement are asset based and subject to a borrowing base calculation that includes a certain percentage of eligible accounts receivable, inventory and equipment of Calavo, less any reserves implemented by Agent in its permitted discretion; provided that the equipment-based portion of such borrowing base calculation reduces monthly following the Closing Date.</w:t>
      </w:r>
    </w:p>
    <w:p>
      <w:pPr>
        <w:spacing w:after="0" w:line="172"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w:t>
      </w:r>
    </w:p>
    <w:p>
      <w:pPr>
        <w:spacing w:after="0" w:line="177" w:lineRule="exact"/>
        <w:rPr>
          <w:sz w:val="20"/>
          <w:szCs w:val="20"/>
          <w:color w:val="auto"/>
        </w:rPr>
      </w:pPr>
    </w:p>
    <w:p>
      <w:pPr>
        <w:ind w:left="40" w:right="499" w:firstLine="241"/>
        <w:spacing w:after="0" w:line="272" w:lineRule="auto"/>
        <w:rPr>
          <w:sz w:val="20"/>
          <w:szCs w:val="20"/>
          <w:color w:val="auto"/>
        </w:rPr>
      </w:pPr>
      <w:r>
        <w:rPr>
          <w:rFonts w:ascii="Times New Roman" w:cs="Times New Roman" w:eastAsia="Times New Roman" w:hAnsi="Times New Roman"/>
          <w:sz w:val="17"/>
          <w:szCs w:val="17"/>
          <w:color w:val="auto"/>
        </w:rPr>
        <w:t>As of October 31, 2024, we were in compliance with the financial covenants. As of October 31, 2024, approximately $51.8 million was available for borrowing, based on the borrowing base calculation discussed above.</w:t>
      </w:r>
    </w:p>
    <w:p>
      <w:pPr>
        <w:spacing w:after="0" w:line="159" w:lineRule="exact"/>
        <w:rPr>
          <w:sz w:val="20"/>
          <w:szCs w:val="20"/>
          <w:color w:val="auto"/>
        </w:rPr>
      </w:pPr>
    </w:p>
    <w:p>
      <w:pPr>
        <w:ind w:left="40" w:right="59" w:firstLine="241"/>
        <w:spacing w:after="0" w:line="255" w:lineRule="auto"/>
        <w:rPr>
          <w:sz w:val="20"/>
          <w:szCs w:val="20"/>
          <w:color w:val="auto"/>
        </w:rPr>
      </w:pPr>
      <w:r>
        <w:rPr>
          <w:rFonts w:ascii="Times New Roman" w:cs="Times New Roman" w:eastAsia="Times New Roman" w:hAnsi="Times New Roman"/>
          <w:sz w:val="17"/>
          <w:szCs w:val="17"/>
          <w:color w:val="auto"/>
        </w:rPr>
        <w:t>The weighted-average interest rate under the Credit Facility was 7.2% for the fiscal year ended October 31, 2024. Under the Credit Facility, as of October 31, 2024, we had no amounts outstanding related to the Revolving Loans or Term Loan. During August 2024 we fully repaid the Term Loan with the proceeds from the sale of the Fresh Cut business. Amounts are no longer available to be drawn from such Term Loan, and we will accordingly have no further amortization of this Term Loan.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Commodity Risk</w:t>
      </w:r>
    </w:p>
    <w:p>
      <w:pPr>
        <w:spacing w:after="0" w:line="206" w:lineRule="exact"/>
        <w:rPr>
          <w:sz w:val="20"/>
          <w:szCs w:val="20"/>
          <w:color w:val="auto"/>
        </w:rPr>
      </w:pPr>
    </w:p>
    <w:p>
      <w:pPr>
        <w:ind w:left="40" w:right="119" w:firstLine="241"/>
        <w:spacing w:after="0" w:line="255" w:lineRule="auto"/>
        <w:rPr>
          <w:sz w:val="20"/>
          <w:szCs w:val="20"/>
          <w:color w:val="auto"/>
        </w:rPr>
      </w:pPr>
      <w:r>
        <w:rPr>
          <w:rFonts w:ascii="Times New Roman" w:cs="Times New Roman" w:eastAsia="Times New Roman" w:hAnsi="Times New Roman"/>
          <w:sz w:val="17"/>
          <w:szCs w:val="17"/>
          <w:color w:val="auto"/>
        </w:rPr>
        <w:t>The commodities we rely on—such as fruits, ingredients, packaging materials, transportation, as well as electricity and natural gas—can experience price volatility due to various external factors, including market fluctuations, availability, weather, currency fluctuations, and changes in governmental regulations and agricultural programs. Such events may lead to reduced supplies of these materials, increased supply costs, or disruptions to our production schedules.</w:t>
      </w:r>
    </w:p>
    <w:p>
      <w:pPr>
        <w:spacing w:after="0" w:line="172"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The principal effect of inflation in both commodity and consumer prices on our operating results is to increase costs, both for products sold and selling, general and administrative expenses. Although we may attempt to offset these cost increases by increasing selling prices for our products, consumers may not have the buying power to cover these increased costs and may reduce their volume of purchases of those products. In that event, selling price increases may not be sufficient to completely offset our cost increases.</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Exchange Rate Risk</w:t>
      </w:r>
    </w:p>
    <w:p>
      <w:pPr>
        <w:spacing w:after="0" w:line="206" w:lineRule="exact"/>
        <w:rPr>
          <w:sz w:val="20"/>
          <w:szCs w:val="20"/>
          <w:color w:val="auto"/>
        </w:rPr>
      </w:pPr>
    </w:p>
    <w:p>
      <w:pPr>
        <w:ind w:left="40" w:right="59" w:firstLine="241"/>
        <w:spacing w:after="0" w:line="251" w:lineRule="auto"/>
        <w:rPr>
          <w:sz w:val="20"/>
          <w:szCs w:val="20"/>
          <w:color w:val="auto"/>
        </w:rPr>
      </w:pPr>
      <w:r>
        <w:rPr>
          <w:rFonts w:ascii="Times New Roman" w:cs="Times New Roman" w:eastAsia="Times New Roman" w:hAnsi="Times New Roman"/>
          <w:sz w:val="17"/>
          <w:szCs w:val="17"/>
          <w:color w:val="auto"/>
        </w:rPr>
        <w:t>A substantial portion of our business operations are based in Mexico. Consequently, a considerable share of our costs and expenses are denominated in Mexican pesos. To meet foreign cash requirements, funds are transferred weekly from our corporate office to Mexico. Currently, we do not utilize derivative instruments to hedge fluctuations in the Mexican peso (MXN) to U.S. dollar (USD) exchange rates. However, management periodically evaluates the feasibility of employing such instruments. Total foreign currency remeasurement losses for fiscal 2024 and 2022, net of gains, were $5.8 million and $1.0 million, respectively. Total foreign currency remeasurements gains for fiscal 2023, net of losses, were $1.4 million.</w:t>
      </w:r>
    </w:p>
    <w:p>
      <w:pPr>
        <w:spacing w:after="0" w:line="178" w:lineRule="exact"/>
        <w:rPr>
          <w:sz w:val="20"/>
          <w:szCs w:val="20"/>
          <w:color w:val="auto"/>
        </w:rPr>
      </w:pPr>
    </w:p>
    <w:p>
      <w:pPr>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Fluctuations in exchange rates between MXN and the USD can have complex and, at times, conflicting impacts on our financial results. A strengthening USD or a weaker MXN generally benefits cash flow by reducing the amount of USD we need to transfer to Mexico to fund daily operations. However, a strengthening USD or weaker MXN results in higher noncash foreign currency translation remeasurement expense. For further information, please see Note 2, Foreign Currency Translation and Remeasurement, in our consolidated financial statements, and the discussion under the heading “Foreign currency gain (loss)” contained in Item 7. Management’s Discussion and Analysis of Financial Condition and Results of Operations, which are included elsewhere in this Annual Report on Form 10-K. These impacts do not necessarily offset one another and introduce significant complexity to our financial results and their interpretation.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4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October 31,</w:t>
            </w:r>
          </w:p>
        </w:tc>
      </w:tr>
      <w:tr>
        <w:trPr>
          <w:trHeight w:val="130"/>
        </w:trPr>
        <w:tc>
          <w:tcPr>
            <w:tcW w:w="71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5"/>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85"/>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181"/>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57,031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2,091</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Restricted cash</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761</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Accounts receivable, net of allowances of $3,624 (2024) and $3,364 (2023)</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41,909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33,897</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Inventories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31,571</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11,739</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Advances to suppliers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14,570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14,684</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Current assets held for sale</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37,533</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Income taxes receivable</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80" w:type="dxa"/>
            <w:vAlign w:val="bottom"/>
            <w:tcBorders>
              <w:bottom w:val="single" w:sz="8" w:color="CCEEFF"/>
            </w:tcBorders>
          </w:tcPr>
          <w:p>
            <w:pPr>
              <w:spacing w:after="0"/>
              <w:rPr>
                <w:sz w:val="16"/>
                <w:szCs w:val="16"/>
                <w:color w:val="auto"/>
              </w:rPr>
            </w:pPr>
          </w:p>
        </w:tc>
      </w:tr>
      <w:tr>
        <w:trPr>
          <w:trHeight w:val="181"/>
        </w:trPr>
        <w:tc>
          <w:tcPr>
            <w:tcW w:w="7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158,579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133,370</w:t>
            </w:r>
          </w:p>
        </w:tc>
        <w:tc>
          <w:tcPr>
            <w:tcW w:w="80" w:type="dxa"/>
            <w:vAlign w:val="bottom"/>
            <w:shd w:val="clear" w:color="auto" w:fill="CCEEFF"/>
          </w:tcPr>
          <w:p>
            <w:pPr>
              <w:spacing w:after="0"/>
              <w:rPr>
                <w:sz w:val="15"/>
                <w:szCs w:val="15"/>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54,200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60,924</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18,316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18,357</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Investments in unconsolidated entities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2,902</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3,010</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10,211</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assets held for sale</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105,424</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Intangibles, net</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49,916</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52,381</w:t>
            </w:r>
          </w:p>
        </w:tc>
        <w:tc>
          <w:tcPr>
            <w:tcW w:w="80" w:type="dxa"/>
            <w:vAlign w:val="bottom"/>
            <w:shd w:val="clear" w:color="auto" w:fill="CCEEFF"/>
          </w:tcPr>
          <w:p>
            <w:pPr>
              <w:spacing w:after="0"/>
              <w:rPr>
                <w:sz w:val="16"/>
                <w:szCs w:val="16"/>
                <w:color w:val="auto"/>
              </w:rPr>
            </w:pPr>
          </w:p>
        </w:tc>
      </w:tr>
      <w:tr>
        <w:trPr>
          <w:trHeight w:val="221"/>
        </w:trPr>
        <w:tc>
          <w:tcPr>
            <w:tcW w:w="7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301,119</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386,854</w:t>
            </w:r>
          </w:p>
        </w:tc>
        <w:tc>
          <w:tcPr>
            <w:tcW w:w="80" w:type="dxa"/>
            <w:vAlign w:val="bottom"/>
            <w:tcBorders>
              <w:bottom w:val="single" w:sz="8" w:color="CCEEFF"/>
            </w:tcBorders>
          </w:tcPr>
          <w:p>
            <w:pPr>
              <w:spacing w:after="0"/>
              <w:rPr>
                <w:sz w:val="19"/>
                <w:szCs w:val="19"/>
                <w:color w:val="auto"/>
              </w:rPr>
            </w:pPr>
          </w:p>
        </w:tc>
      </w:tr>
      <w:tr>
        <w:trPr>
          <w:trHeight w:val="166"/>
        </w:trPr>
        <w:tc>
          <w:tcPr>
            <w:tcW w:w="71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Payable to growers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18,377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14,788</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Trade accounts payable</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8,742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5,097</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Accrued expenses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28,149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15,809</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liabilities held for sale</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29,911</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Income tax payable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11,000</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Current portion of term loan</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647</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Current portion of operating leases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3,663</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Current portion of long-term obligations and finance leases</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874</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831</w:t>
            </w:r>
          </w:p>
        </w:tc>
        <w:tc>
          <w:tcPr>
            <w:tcW w:w="80" w:type="dxa"/>
            <w:vAlign w:val="bottom"/>
            <w:shd w:val="clear" w:color="auto" w:fill="CCEEFF"/>
          </w:tcPr>
          <w:p>
            <w:pPr>
              <w:spacing w:after="0"/>
              <w:rPr>
                <w:sz w:val="16"/>
                <w:szCs w:val="16"/>
                <w:color w:val="auto"/>
              </w:rPr>
            </w:pPr>
          </w:p>
        </w:tc>
      </w:tr>
      <w:tr>
        <w:trPr>
          <w:trHeight w:val="181"/>
        </w:trPr>
        <w:tc>
          <w:tcPr>
            <w:tcW w:w="71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73,205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81,746</w:t>
            </w:r>
          </w:p>
        </w:tc>
        <w:tc>
          <w:tcPr>
            <w:tcW w:w="80" w:type="dxa"/>
            <w:vAlign w:val="bottom"/>
          </w:tcPr>
          <w:p>
            <w:pPr>
              <w:spacing w:after="0"/>
              <w:rPr>
                <w:sz w:val="15"/>
                <w:szCs w:val="15"/>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liabilities: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Borrowings pursuant to line of credit, long-term</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35,024</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Long-term liabilities held for sale</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29,295</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Long-term portion of term loan</w:t>
            </w:r>
          </w:p>
        </w:tc>
        <w:tc>
          <w:tcPr>
            <w:tcW w:w="1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3,416</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Long-term portion of operating leases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17,476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17,328</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Long-term portion of obligations and finance leases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Deferred income tax liabilities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4,425</w:t>
            </w:r>
          </w:p>
        </w:tc>
        <w:tc>
          <w:tcPr>
            <w:tcW w:w="80" w:type="dxa"/>
            <w:vAlign w:val="bottom"/>
            <w:tcBorders>
              <w:bottom w:val="single" w:sz="8" w:color="CCEEFF"/>
            </w:tcBorders>
          </w:tcPr>
          <w:p>
            <w:pPr>
              <w:spacing w:after="0"/>
              <w:rPr>
                <w:sz w:val="16"/>
                <w:szCs w:val="16"/>
                <w:color w:val="auto"/>
              </w:rPr>
            </w:pPr>
          </w:p>
        </w:tc>
      </w:tr>
      <w:tr>
        <w:trPr>
          <w:trHeight w:val="181"/>
        </w:trPr>
        <w:tc>
          <w:tcPr>
            <w:tcW w:w="71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Total long-term liabilities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26,138</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94,879</w:t>
            </w:r>
          </w:p>
        </w:tc>
        <w:tc>
          <w:tcPr>
            <w:tcW w:w="80" w:type="dxa"/>
            <w:vAlign w:val="bottom"/>
            <w:shd w:val="clear" w:color="auto" w:fill="CCEEFF"/>
          </w:tcPr>
          <w:p>
            <w:pPr>
              <w:spacing w:after="0"/>
              <w:rPr>
                <w:sz w:val="15"/>
                <w:szCs w:val="15"/>
                <w:color w:val="auto"/>
              </w:rPr>
            </w:pPr>
          </w:p>
        </w:tc>
      </w:tr>
      <w:tr>
        <w:trPr>
          <w:trHeight w:val="188"/>
        </w:trPr>
        <w:tc>
          <w:tcPr>
            <w:tcW w:w="716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Shareholders' equity:</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6"/>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Common stock ($0.001 par value, 100,000 shares authorized; 17,802 (2024) and 17,761 (2023) shares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issued and outstanding)</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r>
      <w:tr>
        <w:trPr>
          <w:trHeight w:val="190"/>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177,973</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176,481</w:t>
            </w:r>
          </w:p>
        </w:tc>
        <w:tc>
          <w:tcPr>
            <w:tcW w:w="80" w:type="dxa"/>
            <w:vAlign w:val="bottom"/>
            <w:shd w:val="clear" w:color="auto" w:fill="CCEEFF"/>
          </w:tcPr>
          <w:p>
            <w:pPr>
              <w:spacing w:after="0"/>
              <w:rPr>
                <w:sz w:val="16"/>
                <w:szCs w:val="16"/>
                <w:color w:val="auto"/>
              </w:rPr>
            </w:pPr>
          </w:p>
        </w:tc>
      </w:tr>
      <w:tr>
        <w:trPr>
          <w:trHeight w:val="188"/>
        </w:trPr>
        <w:tc>
          <w:tcPr>
            <w:tcW w:w="71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Noncontrolling interest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1,392</w:t>
            </w:r>
          </w:p>
        </w:tc>
        <w:tc>
          <w:tcPr>
            <w:tcW w:w="80" w:type="dxa"/>
            <w:vAlign w:val="bottom"/>
          </w:tcPr>
          <w:p>
            <w:pPr>
              <w:spacing w:after="0"/>
              <w:rPr>
                <w:sz w:val="16"/>
                <w:szCs w:val="16"/>
                <w:color w:val="auto"/>
              </w:rPr>
            </w:pPr>
          </w:p>
        </w:tc>
      </w:tr>
      <w:tr>
        <w:trPr>
          <w:trHeight w:val="188"/>
        </w:trPr>
        <w:tc>
          <w:tcPr>
            <w:tcW w:w="7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Retained earnings</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22,341</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32,338</w:t>
            </w:r>
          </w:p>
        </w:tc>
        <w:tc>
          <w:tcPr>
            <w:tcW w:w="80" w:type="dxa"/>
            <w:vAlign w:val="bottom"/>
            <w:shd w:val="clear" w:color="auto" w:fill="CCEEFF"/>
          </w:tcPr>
          <w:p>
            <w:pPr>
              <w:spacing w:after="0"/>
              <w:rPr>
                <w:sz w:val="16"/>
                <w:szCs w:val="16"/>
                <w:color w:val="auto"/>
              </w:rPr>
            </w:pPr>
          </w:p>
        </w:tc>
      </w:tr>
      <w:tr>
        <w:trPr>
          <w:trHeight w:val="181"/>
        </w:trPr>
        <w:tc>
          <w:tcPr>
            <w:tcW w:w="71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201,776</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210,229</w:t>
            </w:r>
          </w:p>
        </w:tc>
        <w:tc>
          <w:tcPr>
            <w:tcW w:w="80" w:type="dxa"/>
            <w:vAlign w:val="bottom"/>
            <w:tcBorders>
              <w:bottom w:val="single" w:sz="8" w:color="CCEEFF"/>
            </w:tcBorders>
          </w:tcPr>
          <w:p>
            <w:pPr>
              <w:spacing w:after="0"/>
              <w:rPr>
                <w:sz w:val="15"/>
                <w:szCs w:val="15"/>
                <w:color w:val="auto"/>
              </w:rPr>
            </w:pPr>
          </w:p>
        </w:tc>
      </w:tr>
      <w:tr>
        <w:trPr>
          <w:trHeight w:val="181"/>
        </w:trPr>
        <w:tc>
          <w:tcPr>
            <w:tcW w:w="7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301,119</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386,854</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94"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b w:val="1"/>
          <w:bCs w:val="1"/>
          <w:color w:val="auto"/>
        </w:rPr>
        <w:t>Year ended</w:t>
      </w:r>
    </w:p>
    <w:p>
      <w:pPr>
        <w:spacing w:after="0" w:line="1" w:lineRule="exact"/>
        <w:rPr>
          <w:sz w:val="20"/>
          <w:szCs w:val="20"/>
          <w:color w:val="auto"/>
        </w:rPr>
      </w:pPr>
    </w:p>
    <w:p>
      <w:pPr>
        <w:jc w:val="right"/>
        <w:ind w:right="1339"/>
        <w:spacing w:after="0"/>
        <w:rPr>
          <w:sz w:val="20"/>
          <w:szCs w:val="20"/>
          <w:color w:val="auto"/>
        </w:rPr>
      </w:pPr>
      <w:r>
        <w:rPr>
          <w:rFonts w:ascii="Times New Roman" w:cs="Times New Roman" w:eastAsia="Times New Roman" w:hAnsi="Times New Roman"/>
          <w:sz w:val="13"/>
          <w:szCs w:val="13"/>
          <w:b w:val="1"/>
          <w:bCs w:val="1"/>
          <w:color w:val="auto"/>
        </w:rPr>
        <w:t>October 31,</w:t>
      </w:r>
    </w:p>
    <w:tbl>
      <w:tblPr>
        <w:tblLayout w:type="fixed"/>
        <w:tblInd w:w="40" w:type="dxa"/>
        <w:tblCellMar>
          <w:top w:w="0" w:type="dxa"/>
          <w:left w:w="0" w:type="dxa"/>
          <w:bottom w:w="0" w:type="dxa"/>
          <w:right w:w="0" w:type="dxa"/>
        </w:tblCellMar>
      </w:tblPr>
      <w:tr>
        <w:trPr>
          <w:trHeight w:val="130"/>
        </w:trPr>
        <w:tc>
          <w:tcPr>
            <w:tcW w:w="59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7"/>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77"/>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7"/>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1"/>
                <w:szCs w:val="11"/>
                <w:color w:val="auto"/>
              </w:rPr>
            </w:pPr>
          </w:p>
        </w:tc>
      </w:tr>
      <w:tr>
        <w:trPr>
          <w:trHeight w:val="130"/>
        </w:trPr>
        <w:tc>
          <w:tcPr>
            <w:tcW w:w="5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661,544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769,691</w:t>
            </w:r>
          </w:p>
        </w:tc>
        <w:tc>
          <w:tcPr>
            <w:tcW w:w="220" w:type="dxa"/>
            <w:vAlign w:val="bottom"/>
            <w:shd w:val="clear" w:color="auto" w:fill="CCEEFF"/>
          </w:tcPr>
          <w:p>
            <w:pPr>
              <w:spacing w:after="0"/>
              <w:rPr>
                <w:sz w:val="17"/>
                <w:szCs w:val="17"/>
                <w:color w:val="auto"/>
              </w:rPr>
            </w:pPr>
          </w:p>
        </w:tc>
      </w:tr>
      <w:tr>
        <w:trPr>
          <w:trHeight w:val="201"/>
        </w:trPr>
        <w:tc>
          <w:tcPr>
            <w:tcW w:w="5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593,740</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531,490</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714,949</w:t>
            </w:r>
          </w:p>
        </w:tc>
        <w:tc>
          <w:tcPr>
            <w:tcW w:w="220" w:type="dxa"/>
            <w:vAlign w:val="bottom"/>
            <w:tcBorders>
              <w:bottom w:val="single" w:sz="8" w:color="CCEEFF"/>
            </w:tcBorders>
          </w:tcPr>
          <w:p>
            <w:pPr>
              <w:spacing w:after="0"/>
              <w:rPr>
                <w:sz w:val="17"/>
                <w:szCs w:val="17"/>
                <w:color w:val="auto"/>
              </w:rPr>
            </w:pPr>
          </w:p>
        </w:tc>
      </w:tr>
      <w:tr>
        <w:trPr>
          <w:trHeight w:val="193"/>
        </w:trPr>
        <w:tc>
          <w:tcPr>
            <w:tcW w:w="5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67,804</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62,612</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54,742</w:t>
            </w:r>
          </w:p>
        </w:tc>
        <w:tc>
          <w:tcPr>
            <w:tcW w:w="220" w:type="dxa"/>
            <w:vAlign w:val="bottom"/>
            <w:shd w:val="clear" w:color="auto" w:fill="CCEEFF"/>
          </w:tcPr>
          <w:p>
            <w:pPr>
              <w:spacing w:after="0"/>
              <w:rPr>
                <w:sz w:val="16"/>
                <w:szCs w:val="16"/>
                <w:color w:val="auto"/>
              </w:rPr>
            </w:pP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50,038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46,538</w:t>
            </w: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Expenses related to Mexican tax matters</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w:t>
            </w:r>
          </w:p>
        </w:tc>
        <w:tc>
          <w:tcPr>
            <w:tcW w:w="220" w:type="dxa"/>
            <w:vAlign w:val="bottom"/>
            <w:shd w:val="clear" w:color="auto" w:fill="CCEEFF"/>
          </w:tcPr>
          <w:p>
            <w:pPr>
              <w:spacing w:after="0"/>
              <w:rPr>
                <w:sz w:val="17"/>
                <w:szCs w:val="17"/>
                <w:color w:val="auto"/>
              </w:rPr>
            </w:pPr>
          </w:p>
        </w:tc>
      </w:tr>
      <w:tr>
        <w:trPr>
          <w:trHeight w:val="193"/>
        </w:trPr>
        <w:tc>
          <w:tcPr>
            <w:tcW w:w="59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Operating income</w:t>
            </w:r>
          </w:p>
        </w:tc>
        <w:tc>
          <w:tcPr>
            <w:tcW w:w="14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16,723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12,208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6,787</w:t>
            </w:r>
          </w:p>
        </w:tc>
        <w:tc>
          <w:tcPr>
            <w:tcW w:w="220" w:type="dxa"/>
            <w:vAlign w:val="bottom"/>
          </w:tcPr>
          <w:p>
            <w:pPr>
              <w:spacing w:after="0"/>
              <w:rPr>
                <w:sz w:val="16"/>
                <w:szCs w:val="16"/>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gain (loss)</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(5,840)</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(973)</w:t>
            </w: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(2,893)</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(2,371)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(1,631)</w:t>
            </w: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net loss on Limoneira shares</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(8,605)</w:t>
            </w:r>
          </w:p>
        </w:tc>
      </w:tr>
      <w:tr>
        <w:trPr>
          <w:trHeight w:val="193"/>
        </w:trPr>
        <w:tc>
          <w:tcPr>
            <w:tcW w:w="59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Income (loss) before income taxes and loss from unconsolidated entities</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9,651</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12,080</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(3,119)</w:t>
            </w:r>
          </w:p>
        </w:tc>
        <w:tc>
          <w:tcPr>
            <w:tcW w:w="220" w:type="dxa"/>
            <w:vAlign w:val="bottom"/>
          </w:tcPr>
          <w:p>
            <w:pPr>
              <w:spacing w:after="0"/>
              <w:rPr>
                <w:sz w:val="16"/>
                <w:szCs w:val="16"/>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(2,325)</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(6,148)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(3,165)</w:t>
            </w: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Net loss from unconsolidated entities</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(478)</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(879)</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(564)</w:t>
            </w:r>
          </w:p>
        </w:tc>
      </w:tr>
      <w:tr>
        <w:trPr>
          <w:trHeight w:val="193"/>
        </w:trPr>
        <w:tc>
          <w:tcPr>
            <w:tcW w:w="5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6,848</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5,053</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(6,848)</w:t>
            </w:r>
          </w:p>
        </w:tc>
        <w:tc>
          <w:tcPr>
            <w:tcW w:w="220" w:type="dxa"/>
            <w:vAlign w:val="bottom"/>
            <w:tcBorders>
              <w:top w:val="single" w:sz="8" w:color="CCEEFF"/>
            </w:tcBorders>
            <w:shd w:val="clear" w:color="auto" w:fill="CCEEFF"/>
          </w:tcPr>
          <w:p>
            <w:pPr>
              <w:spacing w:after="0"/>
              <w:rPr>
                <w:sz w:val="16"/>
                <w:szCs w:val="16"/>
                <w:color w:val="auto"/>
              </w:rPr>
            </w:pP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from discontinued operations (refer to Note 16)</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(7,872)</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(13,020)</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220" w:type="dxa"/>
            <w:vAlign w:val="bottom"/>
          </w:tcPr>
          <w:p>
            <w:pPr>
              <w:spacing w:after="0"/>
              <w:rPr>
                <w:sz w:val="17"/>
                <w:szCs w:val="17"/>
                <w:color w:val="auto"/>
              </w:rPr>
            </w:pPr>
          </w:p>
        </w:tc>
      </w:tr>
      <w:tr>
        <w:trPr>
          <w:trHeight w:val="193"/>
        </w:trPr>
        <w:tc>
          <w:tcPr>
            <w:tcW w:w="59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loss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(1,024)</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(7,967)</w:t>
            </w: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(6,602)</w:t>
            </w:r>
          </w:p>
        </w:tc>
        <w:tc>
          <w:tcPr>
            <w:tcW w:w="220" w:type="dxa"/>
            <w:vAlign w:val="bottom"/>
            <w:tcBorders>
              <w:top w:val="single" w:sz="8" w:color="CCEEFF"/>
            </w:tcBorders>
            <w:shd w:val="clear" w:color="auto" w:fill="CCEEFF"/>
          </w:tcPr>
          <w:p>
            <w:pPr>
              <w:spacing w:after="0"/>
              <w:rPr>
                <w:sz w:val="16"/>
                <w:szCs w:val="16"/>
                <w:color w:val="auto"/>
              </w:rPr>
            </w:pP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Add: Net loss (income) attributable to noncontrolling interest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(52)</w:t>
            </w:r>
          </w:p>
        </w:tc>
        <w:tc>
          <w:tcPr>
            <w:tcW w:w="140" w:type="dxa"/>
            <w:vAlign w:val="bottom"/>
          </w:tcPr>
          <w:p>
            <w:pPr>
              <w:spacing w:after="0"/>
              <w:rPr>
                <w:sz w:val="17"/>
                <w:szCs w:val="17"/>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(377)</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220" w:type="dxa"/>
            <w:vAlign w:val="bottom"/>
          </w:tcPr>
          <w:p>
            <w:pPr>
              <w:spacing w:after="0"/>
              <w:rPr>
                <w:sz w:val="17"/>
                <w:szCs w:val="17"/>
                <w:color w:val="auto"/>
              </w:rPr>
            </w:pPr>
          </w:p>
        </w:tc>
      </w:tr>
      <w:tr>
        <w:trPr>
          <w:trHeight w:val="193"/>
        </w:trPr>
        <w:tc>
          <w:tcPr>
            <w:tcW w:w="59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loss attributable to Calavo Growers, Inc.</w:t>
            </w: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(1,076)</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(8,344)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(6,249)</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8"/>
        </w:trPr>
        <w:tc>
          <w:tcPr>
            <w:tcW w:w="5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Calavo Growers, Inc.’s net income (loss) per share: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(0.37)</w:t>
            </w:r>
          </w:p>
        </w:tc>
      </w:tr>
      <w:tr>
        <w:trPr>
          <w:trHeight w:val="201"/>
        </w:trPr>
        <w:tc>
          <w:tcPr>
            <w:tcW w:w="5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Discontinued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(0.73)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loss attributable to Calavo Growers,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(0.35)</w:t>
            </w:r>
          </w:p>
        </w:tc>
      </w:tr>
      <w:tr>
        <w:trPr>
          <w:trHeight w:val="201"/>
        </w:trPr>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1"/>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5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(0.37)</w:t>
            </w:r>
          </w:p>
        </w:tc>
      </w:tr>
      <w:tr>
        <w:trPr>
          <w:trHeight w:val="201"/>
        </w:trPr>
        <w:tc>
          <w:tcPr>
            <w:tcW w:w="5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Discontinued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shd w:val="clear" w:color="auto" w:fill="CCEEFF"/>
          </w:tcPr>
          <w:p>
            <w:pPr>
              <w:spacing w:after="0"/>
              <w:rPr>
                <w:sz w:val="17"/>
                <w:szCs w:val="17"/>
                <w:color w:val="auto"/>
              </w:rPr>
            </w:pPr>
          </w:p>
        </w:tc>
      </w:tr>
      <w:tr>
        <w:trPr>
          <w:trHeight w:val="201"/>
        </w:trPr>
        <w:tc>
          <w:tcPr>
            <w:tcW w:w="5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loss attributable to Calavo Growers,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(0.35)</w:t>
            </w:r>
          </w:p>
        </w:tc>
      </w:tr>
      <w:tr>
        <w:trPr>
          <w:trHeight w:val="201"/>
        </w:trPr>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ind w:left="40"/>
        <w:spacing w:after="0"/>
        <w:rPr>
          <w:sz w:val="20"/>
          <w:szCs w:val="20"/>
          <w:color w:val="auto"/>
        </w:rPr>
      </w:pPr>
      <w:r>
        <w:rPr>
          <w:rFonts w:ascii="Times New Roman" w:cs="Times New Roman" w:eastAsia="Times New Roman" w:hAnsi="Times New Roman"/>
          <w:sz w:val="17"/>
          <w:szCs w:val="17"/>
          <w:color w:val="auto"/>
        </w:rPr>
        <w:t>Number of shares used in per share computation:</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17,801</w:t>
            </w: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w:t>
            </w: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17,663</w:t>
            </w: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920" w:type="dxa"/>
            <w:vAlign w:val="bottom"/>
            <w:vMerge w:val="continue"/>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17,863</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17,854</w:t>
            </w:r>
          </w:p>
        </w:tc>
        <w:tc>
          <w:tcPr>
            <w:tcW w:w="2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17,745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22"/>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4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620" w:type="dxa"/>
            <w:vAlign w:val="bottom"/>
            <w:tcBorders>
              <w:bottom w:val="single" w:sz="8" w:color="auto"/>
            </w:tcBorders>
          </w:tcPr>
          <w:p>
            <w:pPr>
              <w:jc w:val="right"/>
              <w:ind w:right="82"/>
              <w:spacing w:after="0" w:line="118" w:lineRule="exact"/>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22"/>
              <w:spacing w:after="0" w:line="118"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82"/>
              <w:spacing w:after="0" w:line="118"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62"/>
              <w:spacing w:after="0" w:line="118"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2"/>
              <w:spacing w:after="0" w:line="118"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3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vMerge w:val="continue"/>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Balance, October 31, 2021</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17,686</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18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168,133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57,364</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1,368</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226,883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stock-based compensation, net of</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3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tax withholdings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3,139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3,139</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Avocados de Jalisco noncontrolling interest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(353)</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(353)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loss attributable to Calavo Growers, Inc</w:t>
            </w:r>
          </w:p>
        </w:tc>
        <w:tc>
          <w:tcPr>
            <w:tcW w:w="6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(6,249)</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(6,249)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Balance, October 31, 2022</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17,732</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18" w:lineRule="exact"/>
              <w:rPr>
                <w:sz w:val="20"/>
                <w:szCs w:val="20"/>
                <w:color w:val="auto"/>
              </w:rPr>
            </w:pPr>
            <w:r>
              <w:rPr>
                <w:rFonts w:ascii="Times New Roman" w:cs="Times New Roman" w:eastAsia="Times New Roman" w:hAnsi="Times New Roman"/>
                <w:sz w:val="11"/>
                <w:szCs w:val="11"/>
                <w:color w:val="auto"/>
                <w:w w:val="72"/>
              </w:rPr>
              <w:t>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171,223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51,115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1,015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223,371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stock-based compensation, net of</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withholdings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5,210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5,210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Avocados de Jalisco noncontrolling interest</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377</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Dividends declared to shareholders ($0.4875 per share)</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(10,433)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(10,433)</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loss attributable to Calavo Growers, Inc.</w:t>
            </w:r>
          </w:p>
        </w:tc>
        <w:tc>
          <w:tcPr>
            <w:tcW w:w="6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(8,344)</w:t>
            </w:r>
          </w:p>
        </w:tc>
        <w:tc>
          <w:tcPr>
            <w:tcW w:w="1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(8,344)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Balance, October 31, 2023</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17,761</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18" w:lineRule="exact"/>
              <w:rPr>
                <w:sz w:val="20"/>
                <w:szCs w:val="20"/>
                <w:color w:val="auto"/>
              </w:rPr>
            </w:pPr>
            <w:r>
              <w:rPr>
                <w:rFonts w:ascii="Times New Roman" w:cs="Times New Roman" w:eastAsia="Times New Roman" w:hAnsi="Times New Roman"/>
                <w:sz w:val="11"/>
                <w:szCs w:val="11"/>
                <w:color w:val="auto"/>
                <w:w w:val="72"/>
              </w:rPr>
              <w:t>18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176,481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32,338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1,392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color w:val="auto"/>
              </w:rPr>
              <w:t>210,229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92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Issuance of common stock in connection with stock-based compensation, net of</w:t>
            </w: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withholdings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2,160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2,160</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Dividends declared to shareholders (see Note 13)</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(8,921)</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(8,921)</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Payments of minimum withholding taxes on net share settlement</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(668)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(668)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Avocados de Jalisco noncontrolling interest</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52</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92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Net loss attributable to Calavo Growers, Inc.</w:t>
            </w:r>
          </w:p>
        </w:tc>
        <w:tc>
          <w:tcPr>
            <w:tcW w:w="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jc w:val="right"/>
              <w:ind w:right="7"/>
              <w:spacing w:after="0" w:line="125" w:lineRule="exact"/>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(1,076)</w:t>
            </w: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(1,076)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920" w:type="dxa"/>
            <w:vAlign w:val="bottom"/>
            <w:tcBorders>
              <w:bottom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Balance, October 31, 2024</w:t>
            </w:r>
          </w:p>
        </w:tc>
        <w:tc>
          <w:tcPr>
            <w:tcW w:w="6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17,802</w:t>
            </w:r>
          </w:p>
        </w:tc>
        <w:tc>
          <w:tcPr>
            <w:tcW w:w="14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bottom w:val="single" w:sz="8" w:color="auto"/>
            </w:tcBorders>
            <w:shd w:val="clear" w:color="auto" w:fill="CCEEFF"/>
          </w:tcPr>
          <w:p>
            <w:pPr>
              <w:jc w:val="right"/>
              <w:ind w:right="7"/>
              <w:spacing w:after="0" w:line="118" w:lineRule="exact"/>
              <w:rPr>
                <w:sz w:val="20"/>
                <w:szCs w:val="20"/>
                <w:color w:val="auto"/>
              </w:rPr>
            </w:pPr>
            <w:r>
              <w:rPr>
                <w:rFonts w:ascii="Times New Roman" w:cs="Times New Roman" w:eastAsia="Times New Roman" w:hAnsi="Times New Roman"/>
                <w:sz w:val="11"/>
                <w:szCs w:val="11"/>
                <w:color w:val="auto"/>
                <w:w w:val="72"/>
              </w:rPr>
              <w:t>18</w:t>
            </w: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177,973</w:t>
            </w:r>
          </w:p>
        </w:tc>
        <w:tc>
          <w:tcPr>
            <w:tcW w:w="1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22,341</w:t>
            </w:r>
          </w:p>
        </w:tc>
        <w:tc>
          <w:tcPr>
            <w:tcW w:w="1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1,444</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27"/>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2"/>
                <w:szCs w:val="12"/>
                <w:color w:val="auto"/>
              </w:rPr>
              <w:t>201,776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3"/>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3"/>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5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24"/>
              <w:spacing w:after="0" w:line="138"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(1,024)</w:t>
            </w:r>
          </w:p>
        </w:tc>
        <w:tc>
          <w:tcPr>
            <w:tcW w:w="300" w:type="dxa"/>
            <w:vAlign w:val="bottom"/>
            <w:gridSpan w:val="2"/>
          </w:tcPr>
          <w:p>
            <w:pPr>
              <w:jc w:val="right"/>
              <w:ind w:right="44"/>
              <w:spacing w:after="0" w:line="138"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(7,967)</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(6,602)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10,603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17,282</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16,589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Non-cash operating lease expense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(1,751)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38</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Realized and unrealized net loss on Limoneira shares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8,605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Net loss from unconsolidated entities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879</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564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Impairment of goodwill</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9,280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Divesture of Calavo Salsa Lisa</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624</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Impairment and non-cash charges related to closure of Florida facility</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Gain on sale of RFG</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(192)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Provision for uncollectible Mexican IVA taxes receivable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165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2,474</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2,160</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5,210</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3,139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Amortization of debt issuance costs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286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Gain on sale of Temecula packinghouse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(216)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(216)</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auto"/>
              </w:rPr>
              <w:t>Loss on disposal of property, plant, and equipment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56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40</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8" w:lineRule="exact"/>
              <w:rPr>
                <w:sz w:val="20"/>
                <w:szCs w:val="20"/>
                <w:color w:val="auto"/>
              </w:rPr>
            </w:pPr>
            <w:r>
              <w:rPr>
                <w:rFonts w:ascii="Times New Roman" w:cs="Times New Roman" w:eastAsia="Times New Roman" w:hAnsi="Times New Roman"/>
                <w:sz w:val="13"/>
                <w:szCs w:val="13"/>
                <w:color w:val="auto"/>
              </w:rPr>
              <w:t>Deferred income taxes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(5,209)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1,851</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Effect on cash of changes in operating assets and liabilities: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Accounts receivable, net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(6,540)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(2,360)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19,850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Inventories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(1,886)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(989)</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1,837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1,557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(5,466)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Advances to suppliers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714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(1,326)</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(4,677)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Income taxes receivable/payable</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2,945</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3,620</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8,128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Other assets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2,438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(7,594)</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(4,961)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Payable to growers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3,589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(5,435)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(2,809)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auto"/>
              </w:rPr>
              <w:t>Trade accounts payable, accrued expenses and other liabilities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6,966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(15,131)</w:t>
            </w:r>
          </w:p>
        </w:tc>
        <w:tc>
          <w:tcPr>
            <w:tcW w:w="16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10,527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Borders>
              <w:top w:val="single" w:sz="8" w:color="CCEEFF"/>
            </w:tcBorders>
            <w:shd w:val="clear" w:color="auto" w:fill="CCEEFF"/>
          </w:tcPr>
          <w:p>
            <w:pPr>
              <w:ind w:left="380"/>
              <w:spacing w:after="0" w:line="131"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24,419</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(14,466)</w:t>
            </w:r>
          </w:p>
        </w:tc>
        <w:tc>
          <w:tcPr>
            <w:tcW w:w="3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50,233</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Purchases of property, plant, and equipment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(2,890)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(10,694)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(9,769)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Proceeds received from RFG Sale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83,000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received from Limoneira stock sales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18,450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Pr>
          <w:p>
            <w:pPr>
              <w:ind w:left="380"/>
              <w:spacing w:after="0" w:line="131"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5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80,110</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(10,694)</w:t>
            </w: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8,681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Payment of dividend to shareholders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(8,921)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(10,433)</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(20,330)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revolving credit facility</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85,252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256,912</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267,200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Payments on revolving credit facility</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(120,276)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(223,089)</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(303,700)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Payments of debt issuance cost</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(148)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(693)</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Payments of minimum withholding taxes on net share settlement of equity awards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(668)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term loan</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4,063</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Payments on term loan</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(4,063)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8"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sale leaseback</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Payments on long-term obligations and finance leases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8" w:lineRule="exact"/>
              <w:rPr>
                <w:sz w:val="20"/>
                <w:szCs w:val="20"/>
                <w:color w:val="auto"/>
              </w:rPr>
            </w:pPr>
            <w:r>
              <w:rPr>
                <w:rFonts w:ascii="Times New Roman" w:cs="Times New Roman" w:eastAsia="Times New Roman" w:hAnsi="Times New Roman"/>
                <w:sz w:val="13"/>
                <w:szCs w:val="13"/>
                <w:color w:val="auto"/>
              </w:rPr>
              <w:t>(1,526)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right"/>
              <w:ind w:right="300"/>
              <w:spacing w:after="0" w:line="138" w:lineRule="exact"/>
              <w:rPr>
                <w:sz w:val="20"/>
                <w:szCs w:val="20"/>
                <w:color w:val="auto"/>
              </w:rPr>
            </w:pPr>
            <w:r>
              <w:rPr>
                <w:rFonts w:ascii="Times New Roman" w:cs="Times New Roman" w:eastAsia="Times New Roman" w:hAnsi="Times New Roman"/>
                <w:sz w:val="13"/>
                <w:szCs w:val="13"/>
                <w:color w:val="auto"/>
              </w:rPr>
              <w:t>(1,930)</w:t>
            </w:r>
          </w:p>
        </w:tc>
        <w:tc>
          <w:tcPr>
            <w:tcW w:w="160" w:type="dxa"/>
            <w:vAlign w:val="bottom"/>
          </w:tcPr>
          <w:p>
            <w:pPr>
              <w:spacing w:after="0"/>
              <w:rPr>
                <w:sz w:val="11"/>
                <w:szCs w:val="11"/>
                <w:color w:val="auto"/>
              </w:rPr>
            </w:pPr>
          </w:p>
        </w:tc>
        <w:tc>
          <w:tcPr>
            <w:tcW w:w="740" w:type="dxa"/>
            <w:vAlign w:val="bottom"/>
            <w:gridSpan w:val="2"/>
          </w:tcPr>
          <w:p>
            <w:pPr>
              <w:jc w:val="right"/>
              <w:ind w:right="120"/>
              <w:spacing w:after="0" w:line="138" w:lineRule="exact"/>
              <w:rPr>
                <w:sz w:val="20"/>
                <w:szCs w:val="20"/>
                <w:color w:val="auto"/>
              </w:rPr>
            </w:pPr>
            <w:r>
              <w:rPr>
                <w:rFonts w:ascii="Times New Roman" w:cs="Times New Roman" w:eastAsia="Times New Roman" w:hAnsi="Times New Roman"/>
                <w:sz w:val="13"/>
                <w:szCs w:val="13"/>
                <w:color w:val="auto"/>
              </w:rPr>
              <w:t>(1,996)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Proceeds from stock option exercises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48</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8" w:lineRule="exact"/>
              <w:rPr>
                <w:sz w:val="20"/>
                <w:szCs w:val="20"/>
                <w:color w:val="auto"/>
              </w:rPr>
            </w:pPr>
            <w:r>
              <w:rPr>
                <w:rFonts w:ascii="Times New Roman" w:cs="Times New Roman" w:eastAsia="Times New Roman" w:hAnsi="Times New Roman"/>
                <w:sz w:val="13"/>
                <w:szCs w:val="13"/>
                <w:color w:val="auto"/>
              </w:rPr>
              <w:t>47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Borders>
              <w:bottom w:val="single" w:sz="8" w:color="CCEEFF"/>
            </w:tcBorders>
          </w:tcPr>
          <w:p>
            <w:pPr>
              <w:ind w:left="380"/>
              <w:spacing w:after="0" w:line="131" w:lineRule="exact"/>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5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(50,350)</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24,878</w:t>
            </w:r>
          </w:p>
        </w:tc>
        <w:tc>
          <w:tcPr>
            <w:tcW w:w="3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(58,635)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Net decrease in cash, cash equivalents and restricted cash</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54,179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(282)</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2,852</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3,134</w:t>
            </w: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3"/>
                <w:szCs w:val="13"/>
                <w:color w:val="auto"/>
              </w:rPr>
              <w:t>2,855</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280" w:type="dxa"/>
            <w:vAlign w:val="bottom"/>
            <w:tcBorders>
              <w:bottom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57,031</w:t>
            </w:r>
          </w:p>
        </w:tc>
        <w:tc>
          <w:tcPr>
            <w:tcW w:w="1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2,852</w:t>
            </w:r>
          </w:p>
        </w:tc>
        <w:tc>
          <w:tcPr>
            <w:tcW w:w="3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1" w:lineRule="exact"/>
              <w:rPr>
                <w:sz w:val="20"/>
                <w:szCs w:val="20"/>
                <w:color w:val="auto"/>
              </w:rPr>
            </w:pPr>
            <w:r>
              <w:rPr>
                <w:rFonts w:ascii="Times New Roman" w:cs="Times New Roman" w:eastAsia="Times New Roman" w:hAnsi="Times New Roman"/>
                <w:sz w:val="13"/>
                <w:szCs w:val="13"/>
                <w:color w:val="auto"/>
              </w:rPr>
              <w:t>3,134</w:t>
            </w:r>
          </w:p>
        </w:tc>
        <w:tc>
          <w:tcPr>
            <w:tcW w:w="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Information:</w:t>
            </w: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3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shd w:val="clear" w:color="auto" w:fill="CCEEFF"/>
          </w:tcPr>
          <w:p>
            <w:pPr>
              <w:ind w:left="180"/>
              <w:spacing w:after="0" w:line="138" w:lineRule="exact"/>
              <w:rPr>
                <w:sz w:val="20"/>
                <w:szCs w:val="20"/>
                <w:color w:val="auto"/>
              </w:rPr>
            </w:pPr>
            <w:r>
              <w:rPr>
                <w:rFonts w:ascii="Times New Roman" w:cs="Times New Roman" w:eastAsia="Times New Roman" w:hAnsi="Times New Roman"/>
                <w:sz w:val="13"/>
                <w:szCs w:val="13"/>
                <w:color w:val="auto"/>
              </w:rPr>
              <w:t>Cash paid during the year for:</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80" w:type="dxa"/>
            <w:vAlign w:val="bottom"/>
          </w:tcPr>
          <w:p>
            <w:pPr>
              <w:ind w:left="280"/>
              <w:spacing w:after="0" w:line="138" w:lineRule="exact"/>
              <w:rPr>
                <w:sz w:val="20"/>
                <w:szCs w:val="20"/>
                <w:color w:val="auto"/>
              </w:rPr>
            </w:pPr>
            <w:r>
              <w:rPr>
                <w:rFonts w:ascii="Times New Roman" w:cs="Times New Roman" w:eastAsia="Times New Roman" w:hAnsi="Times New Roman"/>
                <w:sz w:val="13"/>
                <w:szCs w:val="13"/>
                <w:color w:val="auto"/>
              </w:rPr>
              <w:t>Interest</w:t>
            </w:r>
          </w:p>
        </w:tc>
        <w:tc>
          <w:tcPr>
            <w:tcW w:w="720" w:type="dxa"/>
            <w:vAlign w:val="bottom"/>
            <w:gridSpan w:val="2"/>
          </w:tcPr>
          <w:p>
            <w:pPr>
              <w:jc w:val="right"/>
              <w:ind w:right="24"/>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2,637</w:t>
            </w:r>
          </w:p>
        </w:tc>
        <w:tc>
          <w:tcPr>
            <w:tcW w:w="160" w:type="dxa"/>
            <w:vAlign w:val="bottom"/>
          </w:tcPr>
          <w:p>
            <w:pPr>
              <w:spacing w:after="0"/>
              <w:rPr>
                <w:sz w:val="15"/>
                <w:szCs w:val="15"/>
                <w:color w:val="auto"/>
              </w:rPr>
            </w:pPr>
          </w:p>
        </w:tc>
        <w:tc>
          <w:tcPr>
            <w:tcW w:w="300" w:type="dxa"/>
            <w:vAlign w:val="bottom"/>
            <w:gridSpan w:val="2"/>
          </w:tcPr>
          <w:p>
            <w:pPr>
              <w:jc w:val="right"/>
              <w:ind w:right="44"/>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2,492</w:t>
            </w:r>
          </w:p>
        </w:tc>
        <w:tc>
          <w:tcPr>
            <w:tcW w:w="30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80" w:type="dxa"/>
            <w:vAlign w:val="bottom"/>
            <w:tcBorders>
              <w:top w:val="single" w:sz="8" w:color="CCEEFF"/>
              <w:bottom w:val="single" w:sz="8" w:color="CCEEFF"/>
            </w:tcBorders>
            <w:shd w:val="clear" w:color="auto" w:fill="CCEEFF"/>
          </w:tcPr>
          <w:p>
            <w:pPr>
              <w:ind w:left="280"/>
              <w:spacing w:after="0" w:line="116" w:lineRule="exact"/>
              <w:rPr>
                <w:sz w:val="20"/>
                <w:szCs w:val="20"/>
                <w:color w:val="auto"/>
              </w:rPr>
            </w:pPr>
            <w:r>
              <w:rPr>
                <w:rFonts w:ascii="Times New Roman" w:cs="Times New Roman" w:eastAsia="Times New Roman" w:hAnsi="Times New Roman"/>
                <w:sz w:val="13"/>
                <w:szCs w:val="13"/>
                <w:color w:val="auto"/>
              </w:rPr>
              <w:t>Income taxes</w:t>
            </w: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2,292</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1,492</w:t>
            </w: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2,601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2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Right of use assets obtained in exchange for new financing lease obligations</w:t>
            </w:r>
          </w:p>
        </w:tc>
        <w:tc>
          <w:tcPr>
            <w:tcW w:w="720" w:type="dxa"/>
            <w:vAlign w:val="bottom"/>
            <w:gridSpan w:val="2"/>
          </w:tcPr>
          <w:p>
            <w:pPr>
              <w:jc w:val="right"/>
              <w:ind w:right="24"/>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641</w:t>
            </w:r>
          </w:p>
        </w:tc>
        <w:tc>
          <w:tcPr>
            <w:tcW w:w="160" w:type="dxa"/>
            <w:vAlign w:val="bottom"/>
          </w:tcPr>
          <w:p>
            <w:pPr>
              <w:spacing w:after="0"/>
              <w:rPr>
                <w:sz w:val="15"/>
                <w:szCs w:val="15"/>
                <w:color w:val="auto"/>
              </w:rPr>
            </w:pPr>
          </w:p>
        </w:tc>
        <w:tc>
          <w:tcPr>
            <w:tcW w:w="300" w:type="dxa"/>
            <w:vAlign w:val="bottom"/>
            <w:gridSpan w:val="2"/>
          </w:tcPr>
          <w:p>
            <w:pPr>
              <w:jc w:val="right"/>
              <w:ind w:right="44"/>
              <w:spacing w:after="0" w:line="138"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2,814</w:t>
            </w:r>
          </w:p>
        </w:tc>
        <w:tc>
          <w:tcPr>
            <w:tcW w:w="30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611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80" w:type="dxa"/>
            <w:vAlign w:val="bottom"/>
            <w:tcBorders>
              <w:top w:val="single" w:sz="8" w:color="CCEEFF"/>
              <w:bottom w:val="single" w:sz="8" w:color="CCEEFF"/>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Settlement of Agricola Belher infrastructure advance offset against payable to growers</w:t>
            </w: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2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606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928</w:t>
            </w: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1,060</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Property, plant, and equipment included in trade accounts payable and accrued expenses</w:t>
            </w:r>
          </w:p>
        </w:tc>
        <w:tc>
          <w:tcPr>
            <w:tcW w:w="5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53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40" w:type="dxa"/>
            <w:vAlign w:val="bottom"/>
            <w:tcBorders>
              <w:bottom w:val="single" w:sz="8" w:color="auto"/>
            </w:tcBorders>
          </w:tcPr>
          <w:p>
            <w:pPr>
              <w:jc w:val="right"/>
              <w:ind w:right="2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160" w:type="dxa"/>
            <w:vAlign w:val="bottom"/>
            <w:tcBorders>
              <w:bottom w:val="single" w:sz="8" w:color="auto"/>
            </w:tcBorders>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1,794</w:t>
            </w:r>
          </w:p>
        </w:tc>
        <w:tc>
          <w:tcPr>
            <w:tcW w:w="300" w:type="dxa"/>
            <w:vAlign w:val="bottom"/>
          </w:tcPr>
          <w:p>
            <w:pPr>
              <w:spacing w:after="0"/>
              <w:rPr>
                <w:sz w:val="10"/>
                <w:szCs w:val="10"/>
                <w:color w:val="auto"/>
              </w:rPr>
            </w:pPr>
          </w:p>
        </w:tc>
        <w:tc>
          <w:tcPr>
            <w:tcW w:w="160" w:type="dxa"/>
            <w:vAlign w:val="bottom"/>
            <w:tcBorders>
              <w:bottom w:val="single" w:sz="8" w:color="auto"/>
            </w:tcBorders>
          </w:tcPr>
          <w:p>
            <w:pPr>
              <w:jc w:val="right"/>
              <w:ind w:right="44"/>
              <w:spacing w:after="0" w:line="116"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160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r>
        <w:rPr>
          <w:rFonts w:ascii="Times New Roman" w:cs="Times New Roman" w:eastAsia="Times New Roman" w:hAnsi="Times New Roman"/>
          <w:sz w:val="12"/>
          <w:szCs w:val="12"/>
          <w:i w:val="1"/>
          <w:iCs w:val="1"/>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332105</wp:posOffset>
            </wp:positionV>
            <wp:extent cx="566102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61025"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CALAVO GROWERS,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 Description of the business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210" w:lineRule="exact"/>
        <w:rPr>
          <w:sz w:val="20"/>
          <w:szCs w:val="20"/>
          <w:color w:val="auto"/>
        </w:rPr>
      </w:pPr>
    </w:p>
    <w:p>
      <w:pPr>
        <w:ind w:left="40" w:right="179" w:firstLine="241"/>
        <w:spacing w:after="0" w:line="268" w:lineRule="auto"/>
        <w:rPr>
          <w:sz w:val="20"/>
          <w:szCs w:val="20"/>
          <w:color w:val="auto"/>
        </w:rPr>
      </w:pPr>
      <w:r>
        <w:rPr>
          <w:rFonts w:ascii="Times New Roman" w:cs="Times New Roman" w:eastAsia="Times New Roman" w:hAnsi="Times New Roman"/>
          <w:sz w:val="16"/>
          <w:szCs w:val="16"/>
          <w:color w:val="auto"/>
        </w:rPr>
        <w:t>Calavo Growers, Inc. (referred to in this report as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worldwide. We procure avocado products from California, Mexico and other growing regions around the world. Through our various operating facilities, we (i) sort, pack, and/or ripen avocados, tomatoes and/or Hawaiian grown papayas and (ii) process and package guacamole. We distribute our products both domestically and internationally. We report our operations in two different business segments: Grown and Prepared.</w:t>
      </w:r>
    </w:p>
    <w:p>
      <w:pPr>
        <w:spacing w:after="0" w:line="192" w:lineRule="exact"/>
        <w:rPr>
          <w:sz w:val="20"/>
          <w:szCs w:val="20"/>
          <w:color w:val="auto"/>
        </w:rPr>
      </w:pPr>
    </w:p>
    <w:p>
      <w:pPr>
        <w:ind w:left="40" w:right="199" w:firstLine="241"/>
        <w:spacing w:after="0" w:line="252" w:lineRule="auto"/>
        <w:rPr>
          <w:sz w:val="20"/>
          <w:szCs w:val="20"/>
          <w:color w:val="auto"/>
        </w:rPr>
      </w:pPr>
      <w:r>
        <w:rPr>
          <w:rFonts w:ascii="Times New Roman" w:cs="Times New Roman" w:eastAsia="Times New Roman" w:hAnsi="Times New Roman"/>
          <w:sz w:val="17"/>
          <w:szCs w:val="17"/>
          <w:color w:val="auto"/>
        </w:rPr>
        <w:t>During the year ended October 31, 2024, management concluded that the Fresh Cut business meets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The Company's reporting segments have also been changed for the effects of the divestiture, as described in Note 10. For more information, see Note 16.</w:t>
      </w:r>
    </w:p>
    <w:p>
      <w:pPr>
        <w:spacing w:after="0" w:line="177" w:lineRule="exact"/>
        <w:rPr>
          <w:sz w:val="20"/>
          <w:szCs w:val="20"/>
          <w:color w:val="auto"/>
        </w:rPr>
      </w:pPr>
    </w:p>
    <w:p>
      <w:pPr>
        <w:ind w:left="40" w:right="199" w:firstLine="241"/>
        <w:spacing w:after="0" w:line="259" w:lineRule="auto"/>
        <w:rPr>
          <w:sz w:val="20"/>
          <w:szCs w:val="20"/>
          <w:color w:val="auto"/>
        </w:rPr>
      </w:pPr>
      <w:r>
        <w:rPr>
          <w:rFonts w:ascii="Times New Roman" w:cs="Times New Roman" w:eastAsia="Times New Roman" w:hAnsi="Times New Roman"/>
          <w:sz w:val="17"/>
          <w:szCs w:val="17"/>
          <w:color w:val="auto"/>
        </w:rPr>
        <w:t>We completed the sale of our Fresh Cut business and related real estate on August 15, 2024 for $83.0 million, subject to various closing adjustments. The Fresh Cut business represents substantially all of the business of the Prepared segment other than the guacamole business, which has been retained following the Transaction. For more information, see Note 17.</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2. Basis of Presentation and Significant Accounting Policies</w:t>
      </w:r>
    </w:p>
    <w:p>
      <w:pPr>
        <w:spacing w:after="0" w:line="210" w:lineRule="exact"/>
        <w:rPr>
          <w:sz w:val="20"/>
          <w:szCs w:val="20"/>
          <w:color w:val="auto"/>
        </w:rPr>
      </w:pPr>
    </w:p>
    <w:p>
      <w:pPr>
        <w:ind w:left="40" w:right="139" w:firstLine="241"/>
        <w:spacing w:after="0" w:line="272" w:lineRule="auto"/>
        <w:rPr>
          <w:sz w:val="20"/>
          <w:szCs w:val="20"/>
          <w:color w:val="auto"/>
        </w:rPr>
      </w:pPr>
      <w:r>
        <w:rPr>
          <w:rFonts w:ascii="Times New Roman" w:cs="Times New Roman" w:eastAsia="Times New Roman" w:hAnsi="Times New Roman"/>
          <w:sz w:val="17"/>
          <w:szCs w:val="17"/>
          <w:color w:val="auto"/>
        </w:rPr>
        <w:t>The accompanying consolidated financial statements were prepared in accordance with accounting principles generally accepted in the U.S.</w:t>
      </w:r>
    </w:p>
    <w:p>
      <w:pPr>
        <w:spacing w:after="0" w:line="159" w:lineRule="exact"/>
        <w:rPr>
          <w:sz w:val="20"/>
          <w:szCs w:val="20"/>
          <w:color w:val="auto"/>
        </w:rPr>
      </w:pPr>
    </w:p>
    <w:p>
      <w:pPr>
        <w:ind w:left="40" w:right="139" w:firstLine="241"/>
        <w:spacing w:after="0" w:line="251" w:lineRule="auto"/>
        <w:rPr>
          <w:sz w:val="20"/>
          <w:szCs w:val="20"/>
          <w:color w:val="auto"/>
        </w:rPr>
      </w:pPr>
      <w:r>
        <w:rPr>
          <w:rFonts w:ascii="Times New Roman" w:cs="Times New Roman" w:eastAsia="Times New Roman" w:hAnsi="Times New Roman"/>
          <w:sz w:val="17"/>
          <w:szCs w:val="17"/>
          <w:color w:val="auto"/>
        </w:rPr>
        <w:t>Our consolidated financial statements include the accounts of i) Calavo Growers, Inc., ii) our wholly owned subsidiaries, Calavo de Mexico S.A. de C.V. (Calavo de Mexico), Calavo Growers de Mexico, S. de R.L. de C.V. (Calavo Growers de Mexico), Maui Fresh International, Inc. (Maui), Hawaiian Sweet, Inc. (HS), CW Hawaii Pride, LLC (HP), and RFG 2D, LLC (formerly known as Renaissance Food Group, LLC or RFG, including its wholly-owned subsidiaries) and iii) Avocados de Jalisco, S.A.P.I. de C.V. (Avocados de Jalisco), in which we have an 83% ownership interest. All intercompany accounts and transactions have been eliminated in consolidation.</w:t>
      </w:r>
    </w:p>
    <w:p>
      <w:pPr>
        <w:spacing w:after="0" w:line="178" w:lineRule="exact"/>
        <w:rPr>
          <w:sz w:val="20"/>
          <w:szCs w:val="20"/>
          <w:color w:val="auto"/>
        </w:rPr>
      </w:pPr>
    </w:p>
    <w:p>
      <w:pPr>
        <w:ind w:left="40" w:right="499" w:firstLine="241"/>
        <w:spacing w:after="0" w:line="272" w:lineRule="auto"/>
        <w:rPr>
          <w:sz w:val="20"/>
          <w:szCs w:val="20"/>
          <w:color w:val="auto"/>
        </w:rPr>
      </w:pPr>
      <w:r>
        <w:rPr>
          <w:rFonts w:ascii="Times New Roman" w:cs="Times New Roman" w:eastAsia="Times New Roman" w:hAnsi="Times New Roman"/>
          <w:sz w:val="17"/>
          <w:szCs w:val="17"/>
          <w:color w:val="auto"/>
        </w:rPr>
        <w:t>Retrospective reclassifications have been made to prior period financial statements and disclosures to present the Fresh Cut business unit as discontinued operations (see Note 16, “Assets Held for Sale and Discontinued Operations”).</w:t>
      </w:r>
    </w:p>
    <w:p>
      <w:pPr>
        <w:spacing w:after="0" w:line="196"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7"/>
          <w:szCs w:val="17"/>
          <w:color w:val="auto"/>
        </w:rPr>
        <w:t>Prior period amounts related to foreign currency remeasurement gains (losses) have been reclassified from cost of sales to foreign currency gain (loss) to conform to the current period presentation.</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10" w:lineRule="exact"/>
        <w:rPr>
          <w:sz w:val="20"/>
          <w:szCs w:val="20"/>
          <w:color w:val="auto"/>
        </w:rPr>
      </w:pPr>
    </w:p>
    <w:p>
      <w:pPr>
        <w:ind w:left="40" w:right="79" w:firstLine="241"/>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accounts,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0" w:lineRule="exact"/>
        <w:rPr>
          <w:sz w:val="20"/>
          <w:szCs w:val="20"/>
          <w:color w:val="auto"/>
        </w:rPr>
      </w:pPr>
    </w:p>
    <w:p>
      <w:pPr>
        <w:ind w:left="40" w:right="339" w:firstLine="241"/>
        <w:spacing w:after="0" w:line="272" w:lineRule="auto"/>
        <w:rPr>
          <w:sz w:val="20"/>
          <w:szCs w:val="20"/>
          <w:color w:val="auto"/>
        </w:rPr>
      </w:pPr>
      <w:r>
        <w:rPr>
          <w:rFonts w:ascii="Times New Roman" w:cs="Times New Roman" w:eastAsia="Times New Roman" w:hAnsi="Times New Roman"/>
          <w:sz w:val="17"/>
          <w:szCs w:val="17"/>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10"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6"/>
          <w:szCs w:val="16"/>
          <w:color w:val="auto"/>
        </w:rPr>
        <w:t>As of October 31, 2023, in connection with the Credit Facility, we had temporarily posted cash collateral to satisfy certain collateral requirements related to our transition between banks providing letters of credit related to our workers compensation insurance policies. Accordingly as of October 31, 2023, we recorded $0.8 million in restricted cash and $3.0 million of prepaid and other current assets, related to this transition. As of October 31, 2024, we no longer have restricted cash nor prepaid and other current assets related to our workers compensation insurance policies outstanding. Both have been replaced by standby letters-of-credit.</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Prepaid Expenses and Other Current Assets</w:t>
      </w:r>
    </w:p>
    <w:p>
      <w:pPr>
        <w:spacing w:after="0" w:line="210" w:lineRule="exact"/>
        <w:rPr>
          <w:sz w:val="20"/>
          <w:szCs w:val="20"/>
          <w:color w:val="auto"/>
        </w:rPr>
      </w:pPr>
    </w:p>
    <w:p>
      <w:pPr>
        <w:ind w:left="40" w:right="199" w:firstLine="241"/>
        <w:spacing w:after="0" w:line="272" w:lineRule="auto"/>
        <w:rPr>
          <w:sz w:val="20"/>
          <w:szCs w:val="20"/>
          <w:color w:val="auto"/>
        </w:rPr>
      </w:pPr>
      <w:r>
        <w:rPr>
          <w:rFonts w:ascii="Times New Roman" w:cs="Times New Roman" w:eastAsia="Times New Roman" w:hAnsi="Times New Roman"/>
          <w:sz w:val="16"/>
          <w:szCs w:val="16"/>
          <w:color w:val="auto"/>
        </w:rPr>
        <w:t>Prepaid expenses and other current assets consist primarily of non-trade receivables, infrastructure advances and prepaid expenses. Non-trade receivables were $4.2 million and $5.9 million at October 31, 2024 and 2023, respectively. Included in non-trade receivables are $2.0 million and $2.7 million related to the current portion of non-CDM Mexican IVA (i.e. value-added) taxes at October 31, 2024 and 2023 (See Note 14). Infrastructure advances are discussed below. Prepaid expenses totaling $3.5 million and $4.2 million at October 31, 2024 and 2023, respectively, are primarily for insurance, rent and other items.</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72"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Trade accounts receivable are reported at amounts due from customers, net of an allowance for estimated credit losses and customer deductions accounted for as variable consideration. The Company performs credit evaluations of customers and evaluates the need for allowances for potential credit losses based on historical experience, as well as current and expected general economic conditions.</w:t>
      </w:r>
    </w:p>
    <w:p>
      <w:pPr>
        <w:spacing w:after="0" w:line="172" w:lineRule="exact"/>
        <w:rPr>
          <w:sz w:val="20"/>
          <w:szCs w:val="20"/>
          <w:color w:val="auto"/>
        </w:rPr>
      </w:pPr>
    </w:p>
    <w:p>
      <w:pPr>
        <w:ind w:left="40" w:right="59" w:firstLine="226"/>
        <w:spacing w:after="0" w:line="272" w:lineRule="auto"/>
        <w:rPr>
          <w:sz w:val="20"/>
          <w:szCs w:val="20"/>
          <w:color w:val="auto"/>
        </w:rPr>
      </w:pPr>
      <w:r>
        <w:rPr>
          <w:rFonts w:ascii="Times New Roman" w:cs="Times New Roman" w:eastAsia="Times New Roman" w:hAnsi="Times New Roman"/>
          <w:sz w:val="17"/>
          <w:szCs w:val="17"/>
          <w:color w:val="auto"/>
        </w:rPr>
        <w:t>The total allowance for estimated uncollectable accounts receivable balances and customer deductions were $3.6 million and $3.4 million as of October 31, 2024 and 2023, respectively.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10" w:lineRule="exact"/>
        <w:rPr>
          <w:sz w:val="20"/>
          <w:szCs w:val="20"/>
          <w:color w:val="auto"/>
        </w:rPr>
      </w:pPr>
    </w:p>
    <w:p>
      <w:pPr>
        <w:jc w:val="both"/>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210"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10" w:lineRule="exact"/>
        <w:rPr>
          <w:sz w:val="20"/>
          <w:szCs w:val="20"/>
          <w:color w:val="auto"/>
        </w:rPr>
      </w:pPr>
    </w:p>
    <w:p>
      <w:pPr>
        <w:ind w:left="40" w:right="439" w:firstLine="226"/>
        <w:spacing w:after="0" w:line="259" w:lineRule="auto"/>
        <w:rPr>
          <w:sz w:val="20"/>
          <w:szCs w:val="20"/>
          <w:color w:val="auto"/>
        </w:rPr>
      </w:pPr>
      <w:r>
        <w:rPr>
          <w:rFonts w:ascii="Times New Roman" w:cs="Times New Roman" w:eastAsia="Times New Roman" w:hAnsi="Times New Roman"/>
          <w:sz w:val="17"/>
          <w:szCs w:val="17"/>
          <w:color w:val="auto"/>
        </w:rPr>
        <w:t>Goodwill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Additionally, when a business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49" w:name="page50"/>
    <w:bookmarkEnd w:id="49"/>
    <w:p>
      <w:pPr>
        <w:ind w:left="40" w:right="59"/>
        <w:spacing w:after="0" w:line="249" w:lineRule="auto"/>
        <w:rPr>
          <w:sz w:val="20"/>
          <w:szCs w:val="20"/>
          <w:color w:val="auto"/>
        </w:rPr>
      </w:pPr>
      <w:r>
        <w:rPr>
          <w:rFonts w:ascii="Times New Roman" w:cs="Times New Roman" w:eastAsia="Times New Roman" w:hAnsi="Times New Roman"/>
          <w:sz w:val="17"/>
          <w:szCs w:val="17"/>
          <w:color w:val="auto"/>
        </w:rPr>
        <w:t>within a reporting unit is disposed of, goodwill is allocated to the disposed business using the relative fair value method. Relative fair value is estimated using a combination of a discounted cash flow analysis and market valuation approach. We perform a goodwill impairment test on an annual basis, and between annual tests whenever events or changes in circumstances indicate that the carrying amount may not be recoverable. When evaluating goodwill for impairment, we may first perform a qualitative assessment (“step zero” of the impairment test) to determine whether it is more likely than not that a reporting unit is impaired. If we decide not to perform a qualitative assessment, or if we determine that it is more likely than not the carrying amount of a reporting unit exceeds its fair value, then we perform a quantitative assessment (“step one” of the impairment test), and calculate the estimated fair value of the reporting unit. To the extent the carrying amount of the reporting unit’s allocated goodwill exceeds the unit’s fair value, we recognize an impairment of goodwill for the excess up to the amount of goodwill of that reporting unit.</w:t>
      </w:r>
    </w:p>
    <w:p>
      <w:pPr>
        <w:spacing w:after="0" w:line="181" w:lineRule="exact"/>
        <w:rPr>
          <w:sz w:val="20"/>
          <w:szCs w:val="20"/>
          <w:color w:val="auto"/>
        </w:rPr>
      </w:pPr>
    </w:p>
    <w:p>
      <w:pPr>
        <w:ind w:left="40" w:right="99" w:firstLine="226"/>
        <w:spacing w:after="0" w:line="249" w:lineRule="auto"/>
        <w:rPr>
          <w:sz w:val="20"/>
          <w:szCs w:val="20"/>
          <w:color w:val="auto"/>
        </w:rPr>
      </w:pPr>
      <w:r>
        <w:rPr>
          <w:rFonts w:ascii="Times New Roman" w:cs="Times New Roman" w:eastAsia="Times New Roman" w:hAnsi="Times New Roman"/>
          <w:sz w:val="17"/>
          <w:szCs w:val="17"/>
          <w:color w:val="auto"/>
        </w:rPr>
        <w:t>As a result of the Fresh Cut business being classified as held for sale and discontinued operations, goodwill related to our Prepared segment was allocated between our Fresh Cut and Guacamole businesses based on the relative fair value of the disposal group and the portion of the reporting unit to be retained as of the date of the assets held for sale determination. The relative fair value was determined based on a discounted cash flow analysis, which included estimates to assumptions such as the weighted-average cost of capital, revenue growth rates, and profitability assumptions. Prior to the goodwill reallocation, an impairment assessment was performed which indicated no impairment to the Company’s reporting units. During our fiscal third quarter, given the sale of our Fresh Cut business was pending, we evaluated whether it was more likely than not that the carrying value of the Fresh Cut business exceeded its fair value. We performed an impairment analysis in which the fair value was estimated based on the arm’s length sale price. Accordingly, the Company recorded a goodwill impairment charge of $9.3 million during the quarter ended July 31, 2024 as a result of the ongoing negotiations and finalization of the sale price (See Note 16).</w:t>
      </w:r>
    </w:p>
    <w:p>
      <w:pPr>
        <w:spacing w:after="0" w:line="179" w:lineRule="exact"/>
        <w:rPr>
          <w:sz w:val="20"/>
          <w:szCs w:val="20"/>
          <w:color w:val="auto"/>
        </w:rPr>
      </w:pPr>
    </w:p>
    <w:p>
      <w:pPr>
        <w:ind w:left="40" w:right="79" w:firstLine="226"/>
        <w:spacing w:after="0" w:line="248" w:lineRule="auto"/>
        <w:rPr>
          <w:sz w:val="20"/>
          <w:szCs w:val="20"/>
          <w:color w:val="auto"/>
        </w:rPr>
      </w:pPr>
      <w:r>
        <w:rPr>
          <w:rFonts w:ascii="Times New Roman" w:cs="Times New Roman" w:eastAsia="Times New Roman" w:hAnsi="Times New Roman"/>
          <w:sz w:val="17"/>
          <w:szCs w:val="17"/>
          <w:color w:val="auto"/>
        </w:rPr>
        <w:t>In fiscal 2024 and 2023, the Company performed a qualitative assessment for its Grown reporting unit by reviewing macroeconomic conditions, industry and market conditions, cost factors, overall performance compared with prior projections, and other relevant entity-specific events, and performed a quantitative assessment for its Prepared reporting unit. The quantitative assessment of the Company’s Prepared reporting unit was determined using a combination of valuation techniques, including a discounted cash flow methodology. To corroborate the discounted cash flow analysis, a market approach is utilized using observable market data such as comparable companies in similar lines of business that are publicly traded. Other than the goodwill impairment charge of $9.3 million, as discussed above, the Company concluded based on quantitative assessment tests that no goodwill impairment existed in the fiscal years ended October 31, 2024 and 2023.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which include forecasted cash flow. The estimates and assumptions described above, along with other factors such as discount rates, will significantly affect the outcome of the impairment tests and the amounts of any resulting impairment losses.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10" w:lineRule="exact"/>
        <w:rPr>
          <w:sz w:val="20"/>
          <w:szCs w:val="20"/>
          <w:color w:val="auto"/>
        </w:rPr>
      </w:pPr>
    </w:p>
    <w:p>
      <w:pPr>
        <w:ind w:left="40" w:right="159" w:firstLine="241"/>
        <w:spacing w:after="0" w:line="249" w:lineRule="auto"/>
        <w:rPr>
          <w:sz w:val="20"/>
          <w:szCs w:val="20"/>
          <w:color w:val="auto"/>
        </w:rPr>
      </w:pPr>
      <w:r>
        <w:rPr>
          <w:rFonts w:ascii="Times New Roman" w:cs="Times New Roman" w:eastAsia="Times New Roman" w:hAnsi="Times New Roman"/>
          <w:sz w:val="17"/>
          <w:szCs w:val="17"/>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2024 and 2023, we performed our annual assessment of long-lived assets and determined that no impairment existed as of October 31, 2024 and 2023.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50" w:name="page51"/>
    <w:bookmarkEnd w:id="50"/>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210" w:lineRule="exact"/>
        <w:rPr>
          <w:sz w:val="20"/>
          <w:szCs w:val="20"/>
          <w:color w:val="auto"/>
        </w:rPr>
      </w:pPr>
    </w:p>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77" w:lineRule="exact"/>
        <w:rPr>
          <w:sz w:val="20"/>
          <w:szCs w:val="20"/>
          <w:color w:val="auto"/>
        </w:rPr>
      </w:pPr>
    </w:p>
    <w:p>
      <w:pPr>
        <w:ind w:left="40" w:right="59" w:firstLine="241"/>
        <w:spacing w:after="0" w:line="249" w:lineRule="auto"/>
        <w:rPr>
          <w:sz w:val="20"/>
          <w:szCs w:val="20"/>
          <w:color w:val="auto"/>
        </w:rPr>
      </w:pPr>
      <w:r>
        <w:rPr>
          <w:rFonts w:ascii="Times New Roman" w:cs="Times New Roman" w:eastAsia="Times New Roman" w:hAnsi="Times New Roman"/>
          <w:sz w:val="17"/>
          <w:szCs w:val="17"/>
          <w:color w:val="auto"/>
        </w:rPr>
        <w:t>In December 2014, Calavo formed a wholly-owned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and sale of tomatoes and other produce. Belo and Calavo Sub have an equal one-half ownership interest in Don Memo. Pursuant to a management service agreement, Belo, through its officers and employees, shall have day-to-day power and authority to manage the operations. This investment contribution represents Calavo Sub’s 50% ownership in Don Memo, which is included in investment in unconsolidated entities on our balance sheet. We use the equity method to account for this investment. As of October 31, 2024 and 2023, we have an investment of $2.4 million and $2.9 million, respectively, in Don Memo.</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Advances to Suppliers</w:t>
      </w:r>
    </w:p>
    <w:p>
      <w:pPr>
        <w:spacing w:after="0" w:line="210"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We advance funds to third-party growers primarily in Mexico for various farming needs. Typically, we obtain collateral (i.e. fruit, fixed assets, etc.) that approximates the value at risk, prior to making such advances. We continuously evaluate the ability of these growers to repay advances in order to evaluate the possible need to record an allowance. No such allowance was required at October 31, 2024 and 2023.</w:t>
      </w:r>
    </w:p>
    <w:p>
      <w:pPr>
        <w:spacing w:after="0" w:line="147" w:lineRule="exact"/>
        <w:rPr>
          <w:sz w:val="20"/>
          <w:szCs w:val="20"/>
          <w:color w:val="auto"/>
        </w:rPr>
      </w:pPr>
    </w:p>
    <w:p>
      <w:pPr>
        <w:ind w:left="40" w:right="119" w:firstLine="241"/>
        <w:spacing w:after="0" w:line="250" w:lineRule="auto"/>
        <w:rPr>
          <w:sz w:val="20"/>
          <w:szCs w:val="20"/>
          <w:color w:val="auto"/>
        </w:rPr>
      </w:pPr>
      <w:r>
        <w:rPr>
          <w:rFonts w:ascii="Times New Roman" w:cs="Times New Roman" w:eastAsia="Times New Roman" w:hAnsi="Times New Roman"/>
          <w:sz w:val="17"/>
          <w:szCs w:val="17"/>
          <w:color w:val="auto"/>
        </w:rPr>
        <w:t>Pursuant to our distribution agreement with Agricola Belher (Belher) of Mexico, a producer of fresh vegetables, primarily tomatoes, for export to the U.S. market, Belher agreed, at their sole cost and expense, to harvest, pack, export, ship, and deliver tomatoes exclusively to our Company, primarily to the facility we use in Arizona.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typically by the end of each year. As of October 31, 2024 and 2023, we have total advances, offset by tomato liabilities, of $5.1 million and $5.4 million, respectively, to Belher pursuant to this agreement, respectively, which are recorded in advances to suppliers.</w:t>
      </w:r>
    </w:p>
    <w:p>
      <w:pPr>
        <w:spacing w:after="0" w:line="177" w:lineRule="exact"/>
        <w:rPr>
          <w:sz w:val="20"/>
          <w:szCs w:val="20"/>
          <w:color w:val="auto"/>
        </w:rPr>
      </w:pPr>
    </w:p>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2024 and 2023, we have total advances, net of tomato liabilities of $7.7 million and $7.3 million, respectively, to Don Memo, which is recorded in advances to suppliers, offset by tomato liabilities from the sales of tomatoes per the tomato marketing agreement.</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We also have a distribution agreement with tomato grower Exportadora Silvalber (Silvalber) similar to Belher and Don Memo.</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We had $1.8 million in advances, offset by tomato liabilities, as of October 31, 2024 and 2023.</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Infrastructure Advances</w:t>
      </w:r>
    </w:p>
    <w:p>
      <w:pPr>
        <w:spacing w:after="0" w:line="210" w:lineRule="exact"/>
        <w:rPr>
          <w:sz w:val="20"/>
          <w:szCs w:val="20"/>
          <w:color w:val="auto"/>
        </w:rPr>
      </w:pPr>
    </w:p>
    <w:p>
      <w:pPr>
        <w:ind w:left="40" w:right="199" w:firstLine="241"/>
        <w:spacing w:after="0" w:line="304" w:lineRule="auto"/>
        <w:rPr>
          <w:sz w:val="20"/>
          <w:szCs w:val="20"/>
          <w:color w:val="auto"/>
        </w:rPr>
      </w:pPr>
      <w:r>
        <w:rPr>
          <w:rFonts w:ascii="Times New Roman" w:cs="Times New Roman" w:eastAsia="Times New Roman" w:hAnsi="Times New Roman"/>
          <w:sz w:val="16"/>
          <w:szCs w:val="16"/>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36" w:lineRule="exact"/>
        <w:rPr>
          <w:sz w:val="20"/>
          <w:szCs w:val="20"/>
          <w:color w:val="auto"/>
        </w:rPr>
      </w:pPr>
    </w:p>
    <w:p>
      <w:pPr>
        <w:ind w:left="40" w:right="279" w:firstLine="241"/>
        <w:spacing w:after="0" w:line="259" w:lineRule="auto"/>
        <w:rPr>
          <w:sz w:val="20"/>
          <w:szCs w:val="20"/>
          <w:color w:val="auto"/>
        </w:rPr>
      </w:pPr>
      <w:r>
        <w:rPr>
          <w:rFonts w:ascii="Times New Roman" w:cs="Times New Roman" w:eastAsia="Times New Roman" w:hAnsi="Times New Roman"/>
          <w:sz w:val="17"/>
          <w:szCs w:val="17"/>
          <w:color w:val="auto"/>
        </w:rPr>
        <w:t>In October 2020, we entered into an infrastructure loan agreement with Don Memo for $2.4 million secured by Don Memo’s property and equipment. This infrastructure loan accrues interest at 7.25%. In October 2020, we advanced $0.7 million related to this loan agreement. We advanced an additional $0.7 million, and $0.6 million in the first, and second</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1" w:name="page52"/>
    <w:bookmarkEnd w:id="51"/>
    <w:p>
      <w:pPr>
        <w:ind w:left="40" w:right="279"/>
        <w:spacing w:after="0" w:line="272" w:lineRule="auto"/>
        <w:rPr>
          <w:sz w:val="20"/>
          <w:szCs w:val="20"/>
          <w:color w:val="auto"/>
        </w:rPr>
      </w:pPr>
      <w:r>
        <w:rPr>
          <w:rFonts w:ascii="Times New Roman" w:cs="Times New Roman" w:eastAsia="Times New Roman" w:hAnsi="Times New Roman"/>
          <w:sz w:val="17"/>
          <w:szCs w:val="17"/>
          <w:color w:val="auto"/>
        </w:rPr>
        <w:t>quarters of fiscal 2021, respectively. We had a total balance outstanding of $1.6 million at October 31, 2024 (included in prepaids and other current assets) and at October 31, 2023 (included in other assets).</w:t>
      </w:r>
    </w:p>
    <w:p>
      <w:pPr>
        <w:spacing w:after="0" w:line="159" w:lineRule="exact"/>
        <w:rPr>
          <w:sz w:val="20"/>
          <w:szCs w:val="20"/>
          <w:color w:val="auto"/>
        </w:rPr>
      </w:pPr>
    </w:p>
    <w:p>
      <w:pPr>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the amount due against the grower payable due to Belher. For each the years ended October 31, 2024 and 2023, we withheld $0.6 million and $0.9 million, respectively, from payments to Belher to offset the bridge loan repayments. As of October 31, 2024 the remaining bridge loan has been recorded as $0.6 million in prepaid expenses and other current assets and $0.5 million in other assets. As of October 31, 2023 the remaining bridge loan was recorded as $1.7 million was recorded in prepaid expenses and other current assets.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w:t>
      </w:r>
    </w:p>
    <w:p>
      <w:pPr>
        <w:spacing w:after="0" w:line="210" w:lineRule="exact"/>
        <w:rPr>
          <w:sz w:val="20"/>
          <w:szCs w:val="20"/>
          <w:color w:val="auto"/>
        </w:rPr>
      </w:pPr>
    </w:p>
    <w:p>
      <w:pPr>
        <w:jc w:val="both"/>
        <w:ind w:left="40" w:right="179" w:firstLine="301"/>
        <w:spacing w:after="0" w:line="304" w:lineRule="auto"/>
        <w:rPr>
          <w:sz w:val="20"/>
          <w:szCs w:val="20"/>
          <w:color w:val="auto"/>
        </w:rPr>
      </w:pPr>
      <w:r>
        <w:rPr>
          <w:rFonts w:ascii="Times New Roman" w:cs="Times New Roman" w:eastAsia="Times New Roman" w:hAnsi="Times New Roman"/>
          <w:sz w:val="16"/>
          <w:szCs w:val="16"/>
          <w:color w:val="auto"/>
        </w:rPr>
        <w:t>Included in accrued expenses are liabilities related to the receipt of goods and/or services for which an invoice has not yet been received. These totaled approximately $12.0 million and $5.3 million for the years ended October 31, 2024 and 2023, respectively.</w:t>
      </w:r>
    </w:p>
    <w:p>
      <w:pPr>
        <w:spacing w:after="0" w:line="1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47" w:lineRule="exact"/>
        <w:rPr>
          <w:sz w:val="20"/>
          <w:szCs w:val="20"/>
          <w:color w:val="auto"/>
        </w:rPr>
      </w:pPr>
    </w:p>
    <w:p>
      <w:pPr>
        <w:ind w:left="40" w:right="219" w:firstLine="241"/>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for the lease term and lease liabilities represent the Company's obligation to make lease payments arising from the lease. The Company makes a determination if an arrangement constitutes a lease at inception, and categorizes the lease as either an operating or finance lease.</w:t>
      </w:r>
    </w:p>
    <w:p>
      <w:pPr>
        <w:spacing w:after="0" w:line="207" w:lineRule="exact"/>
        <w:rPr>
          <w:sz w:val="20"/>
          <w:szCs w:val="20"/>
          <w:color w:val="auto"/>
        </w:rPr>
      </w:pPr>
    </w:p>
    <w:p>
      <w:pPr>
        <w:ind w:left="40" w:right="239" w:firstLine="241"/>
        <w:spacing w:after="0" w:line="276" w:lineRule="auto"/>
        <w:rPr>
          <w:sz w:val="20"/>
          <w:szCs w:val="20"/>
          <w:color w:val="auto"/>
        </w:rPr>
      </w:pPr>
      <w:r>
        <w:rPr>
          <w:rFonts w:ascii="Times New Roman" w:cs="Times New Roman" w:eastAsia="Times New Roman" w:hAnsi="Times New Roman"/>
          <w:sz w:val="16"/>
          <w:szCs w:val="16"/>
          <w:color w:val="auto"/>
        </w:rPr>
        <w:t>Right-of-use assets and liabilities are recognized at the lease commencement date based on the estimated present value of lease payments over the lease term. For finance leases, we recognize interest expense and amortization of the right-of-use asset, and for operating leases, we recognize lease expense on a straight-line basis over the lease term. The interest expense amortization component of the finance lease liabilities is recorded within interest expense on the consolidated statements of operations.</w:t>
      </w:r>
    </w:p>
    <w:p>
      <w:pPr>
        <w:spacing w:after="0" w:line="182"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auto"/>
        </w:rPr>
        <w:t>When available, we use the rate implicit in the lease to discount lease payments to present value; however, most of our leases do not provide a readily determinable implicit rate. We estimated our incremental borrowing rate based upon a synthetic credit rating and yield curve analysis. As a result, the incremental borrowing rate is estimated to approximate the interest rate on a collateralized basis with similar terms and payments.</w:t>
      </w:r>
    </w:p>
    <w:p>
      <w:pPr>
        <w:spacing w:after="0" w:line="210" w:lineRule="exact"/>
        <w:rPr>
          <w:sz w:val="20"/>
          <w:szCs w:val="20"/>
          <w:color w:val="auto"/>
        </w:rPr>
      </w:pPr>
    </w:p>
    <w:p>
      <w:pPr>
        <w:jc w:val="both"/>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0" w:lineRule="exact"/>
        <w:rPr>
          <w:sz w:val="20"/>
          <w:szCs w:val="20"/>
          <w:color w:val="auto"/>
        </w:rPr>
      </w:pPr>
    </w:p>
    <w:p>
      <w:pPr>
        <w:ind w:left="40" w:right="79" w:firstLine="241"/>
        <w:spacing w:after="0" w:line="249" w:lineRule="auto"/>
        <w:rPr>
          <w:sz w:val="20"/>
          <w:szCs w:val="20"/>
          <w:color w:val="auto"/>
        </w:rPr>
      </w:pPr>
      <w:r>
        <w:rPr>
          <w:rFonts w:ascii="Times New Roman" w:cs="Times New Roman" w:eastAsia="Times New Roman" w:hAnsi="Times New Roman"/>
          <w:sz w:val="17"/>
          <w:szCs w:val="17"/>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variable considerations such as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52" w:name="page53"/>
    <w:bookmarkEnd w:id="52"/>
    <w:p>
      <w:pPr>
        <w:ind w:left="280"/>
        <w:spacing w:after="0"/>
        <w:rPr>
          <w:sz w:val="20"/>
          <w:szCs w:val="20"/>
          <w:color w:val="auto"/>
        </w:rPr>
      </w:pPr>
      <w:r>
        <w:rPr>
          <w:rFonts w:ascii="Times New Roman" w:cs="Times New Roman" w:eastAsia="Times New Roman" w:hAnsi="Times New Roman"/>
          <w:sz w:val="17"/>
          <w:szCs w:val="17"/>
          <w:i w:val="1"/>
          <w:iCs w:val="1"/>
          <w:color w:val="auto"/>
        </w:rPr>
        <w:t>Sales Incentives and Other Promotional Programs</w:t>
      </w:r>
    </w:p>
    <w:p>
      <w:pPr>
        <w:spacing w:after="0" w:line="235" w:lineRule="exact"/>
        <w:rPr>
          <w:sz w:val="20"/>
          <w:szCs w:val="20"/>
          <w:color w:val="auto"/>
        </w:rPr>
      </w:pPr>
    </w:p>
    <w:p>
      <w:pPr>
        <w:ind w:left="40" w:right="79" w:firstLine="241"/>
        <w:spacing w:after="0" w:line="248" w:lineRule="auto"/>
        <w:rPr>
          <w:sz w:val="20"/>
          <w:szCs w:val="20"/>
          <w:color w:val="auto"/>
        </w:rPr>
      </w:pPr>
      <w:r>
        <w:rPr>
          <w:rFonts w:ascii="Times New Roman" w:cs="Times New Roman" w:eastAsia="Times New Roman" w:hAnsi="Times New Roman"/>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accounts receivable.</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Promotional Allowances</w:t>
      </w:r>
    </w:p>
    <w:p>
      <w:pPr>
        <w:spacing w:after="0" w:line="222" w:lineRule="exact"/>
        <w:rPr>
          <w:sz w:val="20"/>
          <w:szCs w:val="20"/>
          <w:color w:val="auto"/>
        </w:rPr>
      </w:pPr>
    </w:p>
    <w:p>
      <w:pPr>
        <w:ind w:left="40" w:right="219" w:firstLine="241"/>
        <w:spacing w:after="0" w:line="251" w:lineRule="auto"/>
        <w:rPr>
          <w:sz w:val="20"/>
          <w:szCs w:val="20"/>
          <w:color w:val="auto"/>
        </w:rPr>
      </w:pPr>
      <w:r>
        <w:rPr>
          <w:rFonts w:ascii="Times New Roman" w:cs="Times New Roman" w:eastAsia="Times New Roman" w:hAnsi="Times New Roman"/>
          <w:sz w:val="17"/>
          <w:szCs w:val="17"/>
          <w:color w:val="auto"/>
        </w:rPr>
        <w:t>Our estimates for promotional allowances are recorded at the time of sale and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an allowance on accounts receivable.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2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Principal vs. Agent Considerations</w:t>
      </w:r>
    </w:p>
    <w:p>
      <w:pPr>
        <w:spacing w:after="0" w:line="222" w:lineRule="exact"/>
        <w:rPr>
          <w:sz w:val="20"/>
          <w:szCs w:val="20"/>
          <w:color w:val="auto"/>
        </w:rPr>
      </w:pPr>
    </w:p>
    <w:p>
      <w:pPr>
        <w:ind w:left="40" w:right="179" w:firstLine="241"/>
        <w:spacing w:after="0" w:line="250" w:lineRule="auto"/>
        <w:rPr>
          <w:sz w:val="20"/>
          <w:szCs w:val="20"/>
          <w:color w:val="auto"/>
        </w:rPr>
      </w:pPr>
      <w:r>
        <w:rPr>
          <w:rFonts w:ascii="Times New Roman" w:cs="Times New Roman" w:eastAsia="Times New Roman" w:hAnsi="Times New Roman"/>
          <w:sz w:val="17"/>
          <w:szCs w:val="17"/>
          <w:color w:val="auto"/>
        </w:rPr>
        <w:t>We frequently enter into consignment arrangements with avocado and tomato growers and packers located outside of the U.S. and growers of certain perishable products in the U.S. We evaluate whether the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Customers</w:t>
      </w:r>
    </w:p>
    <w:p>
      <w:pPr>
        <w:spacing w:after="0" w:line="210" w:lineRule="exact"/>
        <w:rPr>
          <w:sz w:val="20"/>
          <w:szCs w:val="20"/>
          <w:color w:val="auto"/>
        </w:rPr>
      </w:pPr>
    </w:p>
    <w:p>
      <w:pPr>
        <w:ind w:left="40" w:right="219" w:firstLine="241"/>
        <w:spacing w:after="0" w:line="252" w:lineRule="auto"/>
        <w:rPr>
          <w:sz w:val="20"/>
          <w:szCs w:val="20"/>
          <w:color w:val="auto"/>
        </w:rPr>
      </w:pPr>
      <w:r>
        <w:rPr>
          <w:rFonts w:ascii="Times New Roman" w:cs="Times New Roman" w:eastAsia="Times New Roman" w:hAnsi="Times New Roman"/>
          <w:sz w:val="17"/>
          <w:szCs w:val="17"/>
          <w:color w:val="auto"/>
        </w:rPr>
        <w:t>We sell to retail grocery, foodservice, club stores, mass merchandisers, food distributors and wholesale customers. Our top ten customers accounted for approximately 50%, 60% and 50% of our consolidated net sales in fiscal years 2024, 2023 and 2022, respectively. Sales to our largest customer, Walmart (including its affiliates) represented approximately 12%, 12%, and 14% of net sales in each of fiscal years 2024, 2023, and 2022, respectively. Kroger, represented approximately 10% of net sales in fiscal year 2023. No other single customer accounted for more than 10% of our net sales in any of the last three fiscal years.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Shipping and Handling</w:t>
      </w:r>
    </w:p>
    <w:p>
      <w:pPr>
        <w:spacing w:after="0" w:line="210"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7"/>
          <w:szCs w:val="17"/>
          <w:color w:val="auto"/>
        </w:rPr>
        <w:t>We include shipping and handling fees billed to customers in net sales. Amounts incurred by us for freight are included in cost of goods sold.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53" w:name="page54"/>
    <w:bookmarkEnd w:id="53"/>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Consignment Arrangements</w:t>
      </w:r>
    </w:p>
    <w:p>
      <w:pPr>
        <w:spacing w:after="0" w:line="210" w:lineRule="exact"/>
        <w:rPr>
          <w:sz w:val="20"/>
          <w:szCs w:val="20"/>
          <w:color w:val="auto"/>
        </w:rPr>
      </w:pPr>
    </w:p>
    <w:p>
      <w:pPr>
        <w:ind w:left="40" w:right="99" w:firstLine="241"/>
        <w:spacing w:after="0" w:line="250" w:lineRule="auto"/>
        <w:rPr>
          <w:sz w:val="20"/>
          <w:szCs w:val="20"/>
          <w:color w:val="auto"/>
        </w:rPr>
      </w:pPr>
      <w:r>
        <w:rPr>
          <w:rFonts w:ascii="Times New Roman" w:cs="Times New Roman" w:eastAsia="Times New Roman" w:hAnsi="Times New Roman"/>
          <w:sz w:val="17"/>
          <w:szCs w:val="17"/>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 procured under consignment arrangements. Amounts recorded for each of the fiscal years ended October 31, 2024, 2023 and 2022 in the financial statements pursuant to consignment arrangements are as follows (in thousands):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w:t>
            </w:r>
          </w:p>
        </w:tc>
        <w:tc>
          <w:tcPr>
            <w:tcW w:w="28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56,811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59,748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2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64,242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51,937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53,238</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27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7,679</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4,874</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6,510</w:t>
            </w: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w:t>
      </w:r>
    </w:p>
    <w:p>
      <w:pPr>
        <w:spacing w:after="0" w:line="210" w:lineRule="exact"/>
        <w:rPr>
          <w:sz w:val="20"/>
          <w:szCs w:val="20"/>
          <w:color w:val="auto"/>
        </w:rPr>
      </w:pPr>
    </w:p>
    <w:p>
      <w:pPr>
        <w:ind w:left="40" w:right="239" w:firstLine="241"/>
        <w:spacing w:after="0" w:line="259" w:lineRule="auto"/>
        <w:rPr>
          <w:sz w:val="20"/>
          <w:szCs w:val="20"/>
          <w:color w:val="auto"/>
        </w:rPr>
      </w:pPr>
      <w:r>
        <w:rPr>
          <w:rFonts w:ascii="Times New Roman" w:cs="Times New Roman" w:eastAsia="Times New Roman" w:hAnsi="Times New Roman"/>
          <w:sz w:val="17"/>
          <w:szCs w:val="17"/>
          <w:color w:val="auto"/>
        </w:rPr>
        <w:t>Advertising costs are expensed when incurred and are generally included as a component of selling, general and administrative expense. Such costs were approximately $0.3 million, $0.4 million and $0.6 million for fiscal years 2024, 2023, and 2022, respectively.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10" w:lineRule="exact"/>
        <w:rPr>
          <w:sz w:val="20"/>
          <w:szCs w:val="20"/>
          <w:color w:val="auto"/>
        </w:rPr>
      </w:pPr>
    </w:p>
    <w:p>
      <w:pPr>
        <w:ind w:left="40" w:right="219" w:firstLine="241"/>
        <w:spacing w:after="0" w:line="259"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are generally included as a component of selling, general and administrative expense. Total research and development costs for fiscal year 2024, 2023 and 2022 was approximately $0.1 million, $0.1 million and $0.1 million, respectively.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Restructuring Costs</w:t>
      </w:r>
    </w:p>
    <w:p>
      <w:pPr>
        <w:spacing w:after="0" w:line="210" w:lineRule="exact"/>
        <w:rPr>
          <w:sz w:val="20"/>
          <w:szCs w:val="20"/>
          <w:color w:val="auto"/>
        </w:rPr>
      </w:pPr>
    </w:p>
    <w:p>
      <w:pPr>
        <w:ind w:left="40" w:right="179" w:firstLine="241"/>
        <w:spacing w:after="0" w:line="252" w:lineRule="auto"/>
        <w:rPr>
          <w:sz w:val="20"/>
          <w:szCs w:val="20"/>
          <w:color w:val="auto"/>
        </w:rPr>
      </w:pPr>
      <w:r>
        <w:rPr>
          <w:rFonts w:ascii="Times New Roman" w:cs="Times New Roman" w:eastAsia="Times New Roman" w:hAnsi="Times New Roman"/>
          <w:sz w:val="17"/>
          <w:szCs w:val="17"/>
          <w:color w:val="auto"/>
        </w:rPr>
        <w:t>For the year ended October 31, 2022, we recorded $2.8 million of consulting expenses (included in selling, general and administrative expenses) related to an enterprise-wide strategic business review conducted for the purpose of restructuring to improve the profitability of the organization and efficiency of our operations. We also recorded $1.0 million, $5.5 million and $2.0 million for the years ended October 31, 2024, 2023 and 2022, respectively, of management recruiting and severance costs related to this restructuring initiative.</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Included in other income is dividend income totaling $0.8 million for fiscal year 2022.</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0" w:lineRule="exact"/>
        <w:rPr>
          <w:sz w:val="20"/>
          <w:szCs w:val="20"/>
          <w:color w:val="auto"/>
        </w:rPr>
      </w:pPr>
    </w:p>
    <w:p>
      <w:pPr>
        <w:ind w:left="40" w:right="79" w:firstLine="241"/>
        <w:spacing w:after="0" w:line="251" w:lineRule="auto"/>
        <w:rPr>
          <w:sz w:val="20"/>
          <w:szCs w:val="20"/>
          <w:color w:val="auto"/>
        </w:rPr>
      </w:pPr>
      <w:r>
        <w:rPr>
          <w:rFonts w:ascii="Times New Roman" w:cs="Times New Roman" w:eastAsia="Times New Roman" w:hAnsi="Times New Roman"/>
          <w:sz w:val="17"/>
          <w:szCs w:val="17"/>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78"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4" w:name="page55"/>
    <w:bookmarkEnd w:id="54"/>
    <w:p>
      <w:pPr>
        <w:ind w:left="40" w:right="79" w:firstLine="245"/>
        <w:spacing w:after="0" w:line="252" w:lineRule="auto"/>
        <w:rPr>
          <w:sz w:val="20"/>
          <w:szCs w:val="20"/>
          <w:color w:val="auto"/>
        </w:rPr>
      </w:pPr>
      <w:r>
        <w:rPr>
          <w:rFonts w:ascii="Times New Roman" w:cs="Times New Roman" w:eastAsia="Times New Roman" w:hAnsi="Times New Roman"/>
          <w:sz w:val="17"/>
          <w:szCs w:val="17"/>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77" w:lineRule="exact"/>
        <w:rPr>
          <w:sz w:val="20"/>
          <w:szCs w:val="20"/>
          <w:color w:val="auto"/>
        </w:rPr>
      </w:pPr>
    </w:p>
    <w:p>
      <w:pPr>
        <w:ind w:left="40" w:right="59" w:firstLine="241"/>
        <w:spacing w:after="0" w:line="276" w:lineRule="auto"/>
        <w:rPr>
          <w:sz w:val="20"/>
          <w:szCs w:val="20"/>
          <w:color w:val="auto"/>
        </w:rPr>
      </w:pPr>
      <w:r>
        <w:rPr>
          <w:rFonts w:ascii="Times New Roman" w:cs="Times New Roman" w:eastAsia="Times New Roman" w:hAnsi="Times New Roman"/>
          <w:sz w:val="16"/>
          <w:szCs w:val="16"/>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Net Income (Loss) per Share</w:t>
      </w:r>
    </w:p>
    <w:p>
      <w:pPr>
        <w:spacing w:after="0" w:line="210" w:lineRule="exact"/>
        <w:rPr>
          <w:sz w:val="20"/>
          <w:szCs w:val="20"/>
          <w:color w:val="auto"/>
        </w:rPr>
      </w:pPr>
    </w:p>
    <w:p>
      <w:pPr>
        <w:ind w:left="40" w:right="299" w:firstLine="241"/>
        <w:spacing w:after="0" w:line="255" w:lineRule="auto"/>
        <w:rPr>
          <w:sz w:val="20"/>
          <w:szCs w:val="20"/>
          <w:color w:val="auto"/>
        </w:rPr>
      </w:pPr>
      <w:r>
        <w:rPr>
          <w:rFonts w:ascii="Times New Roman" w:cs="Times New Roman" w:eastAsia="Times New Roman" w:hAnsi="Times New Roman"/>
          <w:sz w:val="17"/>
          <w:szCs w:val="17"/>
          <w:color w:val="auto"/>
        </w:rPr>
        <w:t>Basic earnings per share is calculated using the weighted-average number of common shares outstanding during the period without consideration of the dilutive effect of stock options and contingent consideration. Diluted earnings per share is calculated using the weighted-average number of common shares outstanding during the period after consideration of the dilutive effect of stock options and the effect of contingent consideration shares.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Basic and diluted net income (loss) per share is calculated as follows (in thousands, except per share data):</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c>
          <w:tcPr>
            <w:tcW w:w="620" w:type="dxa"/>
            <w:vAlign w:val="bottom"/>
            <w:tcBorders>
              <w:bottom w:val="single" w:sz="8" w:color="auto"/>
            </w:tcBorders>
          </w:tcPr>
          <w:p>
            <w:pPr>
              <w:spacing w:after="0"/>
              <w:rPr>
                <w:sz w:val="14"/>
                <w:szCs w:val="14"/>
                <w:color w:val="auto"/>
              </w:rPr>
            </w:pPr>
          </w:p>
        </w:tc>
      </w:tr>
      <w:tr>
        <w:trPr>
          <w:trHeight w:val="130"/>
        </w:trPr>
        <w:tc>
          <w:tcPr>
            <w:tcW w:w="61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79"/>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8"/>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78"/>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93"/>
        </w:trPr>
        <w:tc>
          <w:tcPr>
            <w:tcW w:w="6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Numerator:</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5,053</w:t>
            </w:r>
          </w:p>
        </w:tc>
        <w:tc>
          <w:tcPr>
            <w:tcW w:w="16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(6,848)</w:t>
            </w: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Add: Net income attributable to noncontrolling interest</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193"/>
        </w:trPr>
        <w:tc>
          <w:tcPr>
            <w:tcW w:w="61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income from continuing operations attributable to Calavo Growers, Inc.</w:t>
            </w: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6,796</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4,676</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(6,495)</w:t>
            </w: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from discontinued operations (refer to Note 16)</w:t>
            </w: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(7,872)</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(13,020)</w:t>
            </w: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r>
      <w:tr>
        <w:trPr>
          <w:trHeight w:val="193"/>
        </w:trPr>
        <w:tc>
          <w:tcPr>
            <w:tcW w:w="61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Net loss attributable to Calavo Growers, Inc.</w:t>
            </w:r>
          </w:p>
        </w:tc>
        <w:tc>
          <w:tcPr>
            <w:tcW w:w="18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(1,076)</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60"/>
              <w:spacing w:after="0" w:line="194" w:lineRule="exact"/>
              <w:rPr>
                <w:sz w:val="20"/>
                <w:szCs w:val="20"/>
                <w:color w:val="auto"/>
              </w:rPr>
            </w:pPr>
            <w:r>
              <w:rPr>
                <w:rFonts w:ascii="Times New Roman" w:cs="Times New Roman" w:eastAsia="Times New Roman" w:hAnsi="Times New Roman"/>
                <w:sz w:val="17"/>
                <w:szCs w:val="17"/>
                <w:color w:val="auto"/>
              </w:rPr>
              <w:t>(8,344)</w:t>
            </w:r>
          </w:p>
        </w:tc>
        <w:tc>
          <w:tcPr>
            <w:tcW w:w="20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(6,249)</w:t>
            </w:r>
          </w:p>
        </w:tc>
      </w:tr>
      <w:tr>
        <w:trPr>
          <w:trHeight w:val="201"/>
        </w:trPr>
        <w:tc>
          <w:tcPr>
            <w:tcW w:w="6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shares - Basic</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17,663</w:t>
            </w:r>
          </w:p>
        </w:tc>
      </w:tr>
      <w:tr>
        <w:trPr>
          <w:trHeight w:val="201"/>
        </w:trPr>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on dilutive securities – Restricted stock/units/options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193"/>
        </w:trPr>
        <w:tc>
          <w:tcPr>
            <w:tcW w:w="61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Weighted average shares - Diluted</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17,863</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17,854</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17,745</w:t>
            </w:r>
          </w:p>
        </w:tc>
      </w:tr>
      <w:tr>
        <w:trPr>
          <w:trHeight w:val="20"/>
        </w:trPr>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8"/>
        </w:trPr>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from continuing operations</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6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(0.37)</w:t>
            </w: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r>
      <w:tr>
        <w:trPr>
          <w:trHeight w:val="213"/>
        </w:trPr>
        <w:tc>
          <w:tcPr>
            <w:tcW w:w="6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income (loss) from discontinued operations (refer to Note 16)</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(0.44)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(0.73)</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(0.73)</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r>
      <w:tr>
        <w:trPr>
          <w:trHeight w:val="201"/>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Calavo Growers, Inc:</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1"/>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(0.47)</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(0.35)</w:t>
            </w:r>
          </w:p>
        </w:tc>
      </w:tr>
      <w:tr>
        <w:trPr>
          <w:trHeight w:val="201"/>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(0.47)</w:t>
            </w: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(0.35)</w:t>
            </w:r>
          </w:p>
        </w:tc>
      </w:tr>
    </w:tbl>
    <w:p>
      <w:pPr>
        <w:spacing w:after="0" w:line="184" w:lineRule="exact"/>
        <w:rPr>
          <w:sz w:val="20"/>
          <w:szCs w:val="20"/>
          <w:color w:val="auto"/>
        </w:rPr>
      </w:pPr>
    </w:p>
    <w:p>
      <w:pPr>
        <w:ind w:left="40" w:right="239" w:firstLine="241"/>
        <w:spacing w:after="0" w:line="259" w:lineRule="auto"/>
        <w:rPr>
          <w:sz w:val="20"/>
          <w:szCs w:val="20"/>
          <w:color w:val="auto"/>
        </w:rPr>
      </w:pPr>
      <w:r>
        <w:rPr>
          <w:rFonts w:ascii="Times New Roman" w:cs="Times New Roman" w:eastAsia="Times New Roman" w:hAnsi="Times New Roman"/>
          <w:sz w:val="17"/>
          <w:szCs w:val="17"/>
          <w:color w:val="auto"/>
        </w:rPr>
        <w:t>For the year ended October 31, 2024, 2023 and 2022, approximately 62,000 shares, 104,000 shares, and 82,000 shares of common stock equivalents were excluded in the computation of diluted net loss per share, respectively, as the effect would be anti-dilutive since the Company reported a net loss.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55" w:name="page56"/>
    <w:bookmarkEnd w:id="55"/>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10" w:lineRule="exact"/>
        <w:rPr>
          <w:sz w:val="20"/>
          <w:szCs w:val="20"/>
          <w:color w:val="auto"/>
        </w:rPr>
      </w:pPr>
    </w:p>
    <w:p>
      <w:pPr>
        <w:ind w:left="40" w:right="119" w:firstLine="241"/>
        <w:spacing w:after="0" w:line="255" w:lineRule="auto"/>
        <w:rPr>
          <w:sz w:val="20"/>
          <w:szCs w:val="20"/>
          <w:color w:val="auto"/>
        </w:rPr>
      </w:pPr>
      <w:r>
        <w:rPr>
          <w:rFonts w:ascii="Times New Roman" w:cs="Times New Roman" w:eastAsia="Times New Roman" w:hAnsi="Times New Roman"/>
          <w:sz w:val="17"/>
          <w:szCs w:val="17"/>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2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For the years ended October 31, 2024, 2023 and 2022, we recognized compensation expense of $2.2 million, $5.2 million, and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 million related to stock-based compensation, respectively (See Note 12). For our restricted stock awards, the value of the stock-</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based compensation was determined from quoted market prices at the date of the grant. For our stock option awards, we measure the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fair value of our stock options awards using the Black-Scholes-Merton and lattice-based option valuation models.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 and Remeasurement</w:t>
      </w:r>
    </w:p>
    <w:p>
      <w:pPr>
        <w:spacing w:after="0" w:line="210" w:lineRule="exact"/>
        <w:rPr>
          <w:sz w:val="20"/>
          <w:szCs w:val="20"/>
          <w:color w:val="auto"/>
        </w:rPr>
      </w:pPr>
    </w:p>
    <w:p>
      <w:pPr>
        <w:ind w:left="40" w:right="119" w:firstLine="241"/>
        <w:spacing w:after="0" w:line="251" w:lineRule="auto"/>
        <w:rPr>
          <w:sz w:val="20"/>
          <w:szCs w:val="20"/>
          <w:color w:val="auto"/>
        </w:rPr>
      </w:pPr>
      <w:r>
        <w:rPr>
          <w:rFonts w:ascii="Times New Roman" w:cs="Times New Roman" w:eastAsia="Times New Roman" w:hAnsi="Times New Roman"/>
          <w:sz w:val="17"/>
          <w:szCs w:val="17"/>
          <w:color w:val="auto"/>
        </w:rPr>
        <w:t>Our foreign operations are subject to exchange rate fluctuations and foreign currency transaction costs. The functional currency of our foreign subsidiaries is the United States (U.S.) dollar. As a result, monetary assets and liabilities are remeasured into U.S. dollars at exchange rates as of the balance sheet date and non-monetary assets, liabilities and equity are translated at historical rates. Sales and expenses are measured using a weighted-average exchange rate for the period. Total foreign currency remeasurement losses for fiscal 2024 and 2022, net of gains, was $5.8 million and $1.0 million, respectively. Total foreign currency remeasurements gains for fiscal 2023, net of losses, was $1.4 million.</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210" w:lineRule="exact"/>
        <w:rPr>
          <w:sz w:val="20"/>
          <w:szCs w:val="20"/>
          <w:color w:val="auto"/>
        </w:rPr>
      </w:pPr>
    </w:p>
    <w:p>
      <w:pPr>
        <w:ind w:left="40" w:right="59" w:firstLine="241"/>
        <w:spacing w:after="0" w:line="276" w:lineRule="auto"/>
        <w:rPr>
          <w:sz w:val="20"/>
          <w:szCs w:val="20"/>
          <w:color w:val="auto"/>
        </w:rPr>
      </w:pPr>
      <w:r>
        <w:rPr>
          <w:rFonts w:ascii="Times New Roman" w:cs="Times New Roman" w:eastAsia="Times New Roman" w:hAnsi="Times New Roman"/>
          <w:sz w:val="16"/>
          <w:szCs w:val="16"/>
          <w:color w:val="auto"/>
        </w:rPr>
        <w:t>We believe that the carrying amounts of cash and cash equivalents, accounts receivable, accounts payable, and short-term borrowings approximate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$5.1 million and $5.5 million as of October 31, 2024 and 2023, respectively.</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Derivative Financial Instruments</w:t>
      </w:r>
    </w:p>
    <w:p>
      <w:pPr>
        <w:spacing w:after="0" w:line="210" w:lineRule="exact"/>
        <w:rPr>
          <w:sz w:val="20"/>
          <w:szCs w:val="20"/>
          <w:color w:val="auto"/>
        </w:rPr>
      </w:pPr>
    </w:p>
    <w:p>
      <w:pPr>
        <w:ind w:left="40" w:right="259" w:firstLine="241"/>
        <w:spacing w:after="0" w:line="259" w:lineRule="auto"/>
        <w:rPr>
          <w:sz w:val="20"/>
          <w:szCs w:val="20"/>
          <w:color w:val="auto"/>
        </w:rPr>
      </w:pPr>
      <w:r>
        <w:rPr>
          <w:rFonts w:ascii="Times New Roman" w:cs="Times New Roman" w:eastAsia="Times New Roman" w:hAnsi="Times New Roman"/>
          <w:sz w:val="17"/>
          <w:szCs w:val="17"/>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210"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In November 2023, the Financial Standards Accounting Board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after December 15, 2023, and interim periods within fiscal years beginning after December 15, 2024, with early adoption permitted. The Company is currently evaluating the potential effect that the updated standard will have on its financial statement disclosures.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56" w:name="page57"/>
    <w:bookmarkEnd w:id="56"/>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Noncontrolling Interest</w:t>
      </w:r>
    </w:p>
    <w:p>
      <w:pPr>
        <w:spacing w:after="0" w:line="210" w:lineRule="exact"/>
        <w:rPr>
          <w:sz w:val="20"/>
          <w:szCs w:val="20"/>
          <w:color w:val="auto"/>
        </w:rPr>
      </w:pPr>
    </w:p>
    <w:p>
      <w:pPr>
        <w:ind w:left="40" w:right="47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tables reconcile shareholders’ equity attributable to noncontrolling interest related to Avocados de Jalisco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4"/>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4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Avocados de Jalisco noncontrolling interest</w:t>
            </w:r>
          </w:p>
        </w:tc>
        <w:tc>
          <w:tcPr>
            <w:tcW w:w="1240" w:type="dxa"/>
            <w:vAlign w:val="bottom"/>
            <w:gridSpan w:val="5"/>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October 31, 2024</w:t>
            </w:r>
          </w:p>
        </w:tc>
        <w:tc>
          <w:tcPr>
            <w:tcW w:w="40" w:type="dxa"/>
            <w:vAlign w:val="bottom"/>
          </w:tcPr>
          <w:p>
            <w:pPr>
              <w:spacing w:after="0"/>
              <w:rPr>
                <w:sz w:val="17"/>
                <w:szCs w:val="17"/>
                <w:color w:val="auto"/>
              </w:rPr>
            </w:pPr>
          </w:p>
        </w:tc>
        <w:tc>
          <w:tcPr>
            <w:tcW w:w="1160" w:type="dxa"/>
            <w:vAlign w:val="bottom"/>
            <w:gridSpan w:val="5"/>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October 31, 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auto"/>
            </w:tcBorders>
          </w:tcPr>
          <w:p>
            <w:pPr>
              <w:spacing w:after="0"/>
              <w:rPr>
                <w:sz w:val="16"/>
                <w:szCs w:val="16"/>
                <w:color w:val="auto"/>
              </w:rPr>
            </w:pPr>
          </w:p>
        </w:tc>
        <w:tc>
          <w:tcPr>
            <w:tcW w:w="6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 beginning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 of Avocados de Jalisco</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82"/>
              </w:rPr>
              <w:t>52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377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480" w:type="dxa"/>
            <w:vAlign w:val="bottom"/>
            <w:tcBorders>
              <w:bottom w:val="single" w:sz="8" w:color="CCEEFF"/>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Noncontrolling interest, ending</w:t>
            </w: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gridSpan w:val="3"/>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1,444</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right w:val="single" w:sz="8" w:color="CCEEFF"/>
            </w:tcBorders>
            <w:shd w:val="clear" w:color="auto" w:fill="CCEEFF"/>
          </w:tcPr>
          <w:p>
            <w:pPr>
              <w:jc w:val="right"/>
              <w:ind w:right="19"/>
              <w:spacing w:after="0" w:line="194" w:lineRule="exact"/>
              <w:rPr>
                <w:sz w:val="20"/>
                <w:szCs w:val="20"/>
                <w:color w:val="auto"/>
              </w:rPr>
            </w:pPr>
            <w:r>
              <w:rPr>
                <w:rFonts w:ascii="Times New Roman" w:cs="Times New Roman" w:eastAsia="Times New Roman" w:hAnsi="Times New Roman"/>
                <w:sz w:val="17"/>
                <w:szCs w:val="17"/>
                <w:color w:val="auto"/>
              </w:rPr>
              <w:t>1,392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3.  Inventories</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4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64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Inventories consist of the following (in thousands):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October 31,</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jc w:val="right"/>
              <w:ind w:right="20"/>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9"/>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6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Fresh fruit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20,002</w:t>
            </w:r>
          </w:p>
        </w:tc>
        <w:tc>
          <w:tcPr>
            <w:tcW w:w="460" w:type="dxa"/>
            <w:vAlign w:val="bottom"/>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15,429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Packing supplies and ingredients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6,936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prepared foods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8,795</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46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7"/>
                <w:szCs w:val="17"/>
                <w:color w:val="auto"/>
              </w:rPr>
              <w:t>34,157</w:t>
            </w:r>
          </w:p>
        </w:tc>
        <w:tc>
          <w:tcPr>
            <w:tcW w:w="280" w:type="dxa"/>
            <w:vAlign w:val="bottom"/>
            <w:gridSpan w:val="2"/>
          </w:tcPr>
          <w:p>
            <w:pPr>
              <w:spacing w:after="0"/>
              <w:rPr>
                <w:sz w:val="16"/>
                <w:szCs w:val="16"/>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8"/>
              </w:rPr>
              <w:t>31,571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77" w:lineRule="exact"/>
        <w:rPr>
          <w:sz w:val="20"/>
          <w:szCs w:val="20"/>
          <w:color w:val="auto"/>
        </w:rPr>
      </w:pPr>
    </w:p>
    <w:p>
      <w:pPr>
        <w:ind w:left="40" w:right="259" w:firstLine="241"/>
        <w:spacing w:after="0" w:line="255" w:lineRule="auto"/>
        <w:rPr>
          <w:sz w:val="20"/>
          <w:szCs w:val="20"/>
          <w:color w:val="auto"/>
        </w:rPr>
      </w:pPr>
      <w:r>
        <w:rPr>
          <w:rFonts w:ascii="Times New Roman" w:cs="Times New Roman" w:eastAsia="Times New Roman" w:hAnsi="Times New Roman"/>
          <w:sz w:val="17"/>
          <w:szCs w:val="17"/>
          <w:color w:val="auto"/>
        </w:rPr>
        <w:t>The assessment of the recoverability of inventories and the amounts of any write-downs are based on currently available information and assumptions about future demand and market conditions. Demand for prepared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68" w:lineRule="exact"/>
        <w:rPr>
          <w:sz w:val="20"/>
          <w:szCs w:val="20"/>
          <w:color w:val="auto"/>
        </w:rPr>
      </w:pPr>
    </w:p>
    <w:p>
      <w:pPr>
        <w:ind w:left="380" w:hanging="342"/>
        <w:spacing w:after="0"/>
        <w:tabs>
          <w:tab w:leader="none" w:pos="3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Plant, and Equipment</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Property, plant, and equipment consist of the following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Land</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8,201</w:t>
            </w:r>
          </w:p>
        </w:tc>
        <w:tc>
          <w:tcPr>
            <w:tcW w:w="4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Equipment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79,735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Information systems - hardware and software</w:t>
            </w:r>
          </w:p>
        </w:tc>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shd w:val="clear" w:color="auto" w:fill="CCEEFF"/>
          </w:tcPr>
          <w:p>
            <w:pPr>
              <w:spacing w:after="0"/>
              <w:rPr>
                <w:sz w:val="16"/>
                <w:szCs w:val="16"/>
                <w:color w:val="auto"/>
              </w:rPr>
            </w:pPr>
          </w:p>
        </w:tc>
        <w:tc>
          <w:tcPr>
            <w:tcW w:w="3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132,545</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7"/>
              </w:rPr>
              <w:t>132,110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(78,345)</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(71,186)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80" w:type="dxa"/>
            <w:vAlign w:val="bottom"/>
            <w:tcBorders>
              <w:bottom w:val="single" w:sz="8" w:color="CCEEFF"/>
            </w:tcBorders>
            <w:shd w:val="clear" w:color="auto" w:fill="CCEEFF"/>
          </w:tcPr>
          <w:p>
            <w:pPr>
              <w:spacing w:after="0"/>
              <w:rPr>
                <w:sz w:val="16"/>
                <w:szCs w:val="16"/>
                <w:color w:val="auto"/>
              </w:rPr>
            </w:pPr>
          </w:p>
        </w:tc>
        <w:tc>
          <w:tcPr>
            <w:tcW w:w="3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54,200</w:t>
            </w:r>
          </w:p>
        </w:tc>
        <w:tc>
          <w:tcPr>
            <w:tcW w:w="2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60,924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140" w:type="dxa"/>
            <w:vAlign w:val="bottom"/>
            <w:vMerge w:val="restart"/>
          </w:tcPr>
          <w:p>
            <w:pPr>
              <w:jc w:val="right"/>
              <w:ind w:right="2316"/>
              <w:spacing w:after="0"/>
              <w:rPr>
                <w:sz w:val="20"/>
                <w:szCs w:val="20"/>
                <w:color w:val="auto"/>
              </w:rPr>
            </w:pPr>
            <w:r>
              <w:rPr>
                <w:rFonts w:ascii="Times New Roman" w:cs="Times New Roman" w:eastAsia="Times New Roman" w:hAnsi="Times New Roman"/>
                <w:sz w:val="17"/>
                <w:szCs w:val="17"/>
                <w:color w:val="auto"/>
              </w:rPr>
              <w:t>57</w:t>
            </w: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71" w:right="1440" w:bottom="1440" w:gutter="0" w:footer="0" w:header="0"/>
        </w:sectPr>
      </w:pPr>
    </w:p>
    <w:bookmarkStart w:id="57" w:name="page58"/>
    <w:bookmarkEnd w:id="57"/>
    <w:p>
      <w:pPr>
        <w:ind w:left="40" w:right="119" w:firstLine="301"/>
        <w:spacing w:after="0" w:line="259" w:lineRule="auto"/>
        <w:rPr>
          <w:sz w:val="20"/>
          <w:szCs w:val="20"/>
          <w:color w:val="auto"/>
        </w:rPr>
      </w:pPr>
      <w:r>
        <w:rPr>
          <w:rFonts w:ascii="Times New Roman" w:cs="Times New Roman" w:eastAsia="Times New Roman" w:hAnsi="Times New Roman"/>
          <w:sz w:val="17"/>
          <w:szCs w:val="17"/>
          <w:color w:val="auto"/>
        </w:rPr>
        <w:t>Depreciation expense was $6.6 million, $6.7 million and $6.8 million for fiscal years 2024, 2023, and 2022, respectively. Included in property, plant, and equipment are finance leases. Amortization of finance leases was $1.0 million, $0.8 million and $0.6 million for fiscal years 2024, 2023, and 2022, respectively.</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w:t>
            </w:r>
          </w:p>
        </w:tc>
        <w:tc>
          <w:tcPr>
            <w:tcW w:w="55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80" w:type="dxa"/>
            <w:vAlign w:val="bottom"/>
          </w:tcPr>
          <w:p>
            <w:pPr>
              <w:spacing w:after="0"/>
              <w:rPr>
                <w:sz w:val="24"/>
                <w:szCs w:val="24"/>
                <w:color w:val="auto"/>
              </w:rPr>
            </w:pPr>
          </w:p>
        </w:tc>
        <w:tc>
          <w:tcPr>
            <w:tcW w:w="5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assets consist of the following (in thousands):</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80" w:type="dxa"/>
            <w:vAlign w:val="bottom"/>
          </w:tcPr>
          <w:p>
            <w:pPr>
              <w:spacing w:after="0"/>
              <w:rPr>
                <w:sz w:val="24"/>
                <w:szCs w:val="2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0" w:type="dxa"/>
            <w:vAlign w:val="bottom"/>
          </w:tcPr>
          <w:p>
            <w:pPr>
              <w:spacing w:after="0"/>
              <w:rPr>
                <w:sz w:val="1"/>
                <w:szCs w:val="1"/>
                <w:color w:val="auto"/>
              </w:rPr>
            </w:pPr>
          </w:p>
        </w:tc>
      </w:tr>
      <w:tr>
        <w:trPr>
          <w:trHeight w:val="162"/>
        </w:trPr>
        <w:tc>
          <w:tcPr>
            <w:tcW w:w="18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Mexican IVA (i.e. value-added) taxes receivable, net (see Note 14)</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48,739</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49,888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Infrastructure advances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3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30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49,916</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52,381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6.</w:t>
            </w:r>
          </w:p>
        </w:tc>
        <w:tc>
          <w:tcPr>
            <w:tcW w:w="55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Revolving Credit Facilities</w:t>
            </w: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80" w:type="dxa"/>
            <w:vAlign w:val="bottom"/>
            <w:vMerge w:val="continue"/>
          </w:tcPr>
          <w:p>
            <w:pPr>
              <w:spacing w:after="0"/>
              <w:rPr>
                <w:sz w:val="24"/>
                <w:szCs w:val="24"/>
                <w:color w:val="auto"/>
              </w:rPr>
            </w:pPr>
          </w:p>
        </w:tc>
        <w:tc>
          <w:tcPr>
            <w:tcW w:w="5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0" w:right="339" w:firstLine="241"/>
        <w:spacing w:after="0" w:line="276" w:lineRule="auto"/>
        <w:rPr>
          <w:sz w:val="20"/>
          <w:szCs w:val="20"/>
          <w:color w:val="auto"/>
        </w:rPr>
      </w:pPr>
      <w:r>
        <w:rPr>
          <w:rFonts w:ascii="Times New Roman" w:cs="Times New Roman" w:eastAsia="Times New Roman" w:hAnsi="Times New Roman"/>
          <w:sz w:val="16"/>
          <w:szCs w:val="16"/>
          <w:color w:val="auto"/>
        </w:rPr>
        <w:t>On June 26, 2023, Calavo and certain subsidiaries entered into a credit agreement (the “Credit Agreement”) by and among Calavo, certain subsidiaries of Calavo as guarantors, and Wells Fargo Bank, National Association, as agent and lender (“Agent”). The Credit Agreement provided for a revolving credit facility of up to $90.0 million (the “Revolving Loans”), along with a capex credit facility of up to $10.0 million (the “Term Loan”, and together with the Revolving Loans, the “Credit Facility”).</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On August 15, 2024, in conjunction with its sale of the RFG Business, Calavo and certain of its subsidiaries (collectively, the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“Borrower”) entered into a First Amendment to Credit Agreement and Consent (as amended, the “Credit Agreement”) with Wells</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Fargo Bank, National Association, as agent and lender (“Agent”), whereby (i) the Credit Agreement was amended to (A) reduce the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revolving commitments thereunder from $90.0 million to $75.0 million and (B) reduce the machinery and equipment subline of the</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loans from $6.8 million to $1.7 million, and to reduce the related monthly amortization on such subline from $80,952.38 to</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$24,335.37, and (ii) the Borrower obtained consent from Agent for entry into the Asset Purchase Agreement and Purchase and Sale</w:t>
      </w: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Agreement.</w:t>
      </w:r>
    </w:p>
    <w:p>
      <w:pPr>
        <w:spacing w:after="0" w:line="189"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Borrowings of the Revolving Loans under the Credit Agreement are asset-based and are subject to a borrowing base calculation that includes a certain percentage of eligible accounts receivable, inventory and equipment of Calavo, less any reserves implemented by Agent in its permitted discretion; provided that the equipment-based portion of such borrowing base calculation will reduce monthly following the Closing Date.</w:t>
      </w:r>
    </w:p>
    <w:p>
      <w:pPr>
        <w:spacing w:after="0" w:line="172" w:lineRule="exact"/>
        <w:rPr>
          <w:sz w:val="20"/>
          <w:szCs w:val="20"/>
          <w:color w:val="auto"/>
        </w:rPr>
      </w:pPr>
    </w:p>
    <w:p>
      <w:pPr>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Borrowings under the Credit Agreement bear interest at a rate per annum equal to an applicable margin, plus, at Calavo’s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Term Loan, 1.00% for base rate borrowings and 2.00% for SOFR term rate borrowings. The Credit Facility matures on June 26, 2028 (the “Maturity Date”). Calavo may voluntarily prepay loans under the Credit Facility, in whole or in part, without premium or penalty. Subject to the terms and conditions set forth in the Credit Agreement, Calavo may be required to make certain mandatory prepayments prior to the Maturity Date.</w:t>
      </w:r>
    </w:p>
    <w:p>
      <w:pPr>
        <w:spacing w:after="0" w:line="180" w:lineRule="exact"/>
        <w:rPr>
          <w:sz w:val="20"/>
          <w:szCs w:val="20"/>
          <w:color w:val="auto"/>
        </w:rPr>
      </w:pPr>
    </w:p>
    <w:p>
      <w:pPr>
        <w:ind w:left="40" w:right="59" w:firstLine="241"/>
        <w:spacing w:after="0" w:line="270" w:lineRule="auto"/>
        <w:rPr>
          <w:sz w:val="20"/>
          <w:szCs w:val="20"/>
          <w:color w:val="auto"/>
        </w:rPr>
      </w:pPr>
      <w:r>
        <w:rPr>
          <w:rFonts w:ascii="Times New Roman" w:cs="Times New Roman" w:eastAsia="Times New Roman" w:hAnsi="Times New Roman"/>
          <w:sz w:val="16"/>
          <w:szCs w:val="16"/>
          <w:color w:val="auto"/>
        </w:rPr>
        <w:t>The Credit Agreement contains negative covenants that, among other things, limit Calavo’s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Calavo to borrow under the Credit Facility is less than 10% of the total revolving credit facility.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58" w:name="page59"/>
    <w:bookmarkEnd w:id="58"/>
    <w:p>
      <w:pPr>
        <w:ind w:left="40" w:right="159" w:firstLine="241"/>
        <w:spacing w:after="0" w:line="259" w:lineRule="auto"/>
        <w:rPr>
          <w:sz w:val="20"/>
          <w:szCs w:val="20"/>
          <w:color w:val="auto"/>
        </w:rPr>
      </w:pPr>
      <w:r>
        <w:rPr>
          <w:rFonts w:ascii="Times New Roman" w:cs="Times New Roman" w:eastAsia="Times New Roman" w:hAnsi="Times New Roman"/>
          <w:sz w:val="17"/>
          <w:szCs w:val="17"/>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October 31, 2024, we were in compliance with the financial covenants, and we expect to remain in compliance for the next</w:t>
      </w:r>
    </w:p>
    <w:p>
      <w:pPr>
        <w:spacing w:after="0" w:line="33" w:lineRule="exact"/>
        <w:rPr>
          <w:sz w:val="20"/>
          <w:szCs w:val="20"/>
          <w:color w:val="auto"/>
        </w:rPr>
      </w:pPr>
    </w:p>
    <w:p>
      <w:pPr>
        <w:ind w:left="40" w:right="759"/>
        <w:spacing w:after="0" w:line="252" w:lineRule="auto"/>
        <w:rPr>
          <w:sz w:val="20"/>
          <w:szCs w:val="20"/>
          <w:color w:val="auto"/>
        </w:rPr>
      </w:pPr>
      <w:r>
        <w:rPr>
          <w:rFonts w:ascii="Times New Roman" w:cs="Times New Roman" w:eastAsia="Times New Roman" w:hAnsi="Times New Roman"/>
          <w:sz w:val="17"/>
          <w:szCs w:val="17"/>
          <w:color w:val="auto"/>
        </w:rPr>
        <w:t>12 months. As of October 31, 2024, approximately $51.8 million was available for borrowing based on the borrowing base calculation discussed above.</w:t>
      </w:r>
    </w:p>
    <w:p>
      <w:pPr>
        <w:spacing w:after="0" w:line="175"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The weighted-average interest rate under the Credit Facility was 7.2% for fiscal year ended October 31, 2024. Under the Credit Facility, as of October 31, 2024, we had no amounts outstanding related to the Revolving Loans or Term Loan. In August 2024 we fully repaid the Term Loan with proceeds from the sale of the Fresh Cut business. Amounts are no longer available to be drawn from such Term Loan and we will accordingly have no further amortization of this Term Loan.</w:t>
      </w:r>
    </w:p>
    <w:p>
      <w:pPr>
        <w:spacing w:after="0" w:line="172"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6"/>
          <w:szCs w:val="16"/>
          <w:color w:val="auto"/>
        </w:rPr>
        <w:t>As of October 31, 2023, in connection with the Credit Facility, we had temporarily posted cash collateral to satisfy certain collateral requirements related to our transition between banks providing letters of credit related to our workers compensation insurance policies. Accordingly, as of October 31, 2023, we had $0.8 million in restricted cash and $3.0 million of prepaid and other current assets related to this transition. As of October 31, 2024, we no longer have restricted cash nor prepaid and other current assets related to our workers compensation insurance policies outstanding. Both have been replaced by standby letters-of-credit.</w:t>
      </w:r>
    </w:p>
    <w:p>
      <w:pPr>
        <w:spacing w:after="0" w:line="199"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The weighted-average interest rate under the Credit Facility with Wells Fargo Bank was 7.1% at October 31, 2023. Under this credit facility, we had $35.0 million and $4.1 million outstanding related to the Revolving Loans and Term Loan, respectively, as of October 31, 2023.</w:t>
      </w:r>
    </w:p>
    <w:p>
      <w:pPr>
        <w:spacing w:after="0" w:line="203" w:lineRule="exact"/>
        <w:rPr>
          <w:sz w:val="20"/>
          <w:szCs w:val="20"/>
          <w:color w:val="auto"/>
        </w:rPr>
      </w:pPr>
    </w:p>
    <w:p>
      <w:pPr>
        <w:ind w:left="380" w:hanging="342"/>
        <w:spacing w:after="0"/>
        <w:tabs>
          <w:tab w:leader="none" w:pos="38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guarantees</w:t>
      </w:r>
    </w:p>
    <w:p>
      <w:pPr>
        <w:spacing w:after="0" w:line="210" w:lineRule="exact"/>
        <w:rPr>
          <w:sz w:val="20"/>
          <w:szCs w:val="20"/>
          <w:color w:val="auto"/>
        </w:rPr>
      </w:pPr>
    </w:p>
    <w:p>
      <w:pPr>
        <w:ind w:left="40" w:right="419" w:firstLine="241"/>
        <w:spacing w:after="0" w:line="259" w:lineRule="auto"/>
        <w:rPr>
          <w:sz w:val="20"/>
          <w:szCs w:val="20"/>
          <w:color w:val="auto"/>
        </w:rPr>
      </w:pPr>
      <w:r>
        <w:rPr>
          <w:rFonts w:ascii="Times New Roman" w:cs="Times New Roman" w:eastAsia="Times New Roman" w:hAnsi="Times New Roman"/>
          <w:sz w:val="17"/>
          <w:szCs w:val="17"/>
          <w:color w:val="auto"/>
        </w:rPr>
        <w:t>We lease facilities and certain equipment under non-cancelable leases expiring at various dates. We are committed to make minimum cash payments under these agreements as of October 31, 2024. See Note 15 for additional details on the type of lease agreements.</w:t>
      </w:r>
    </w:p>
    <w:p>
      <w:pPr>
        <w:spacing w:after="0" w:line="170" w:lineRule="exact"/>
        <w:rPr>
          <w:sz w:val="20"/>
          <w:szCs w:val="20"/>
          <w:color w:val="auto"/>
        </w:rPr>
      </w:pPr>
    </w:p>
    <w:p>
      <w:pPr>
        <w:ind w:left="40" w:right="199" w:firstLine="241"/>
        <w:spacing w:after="0" w:line="259" w:lineRule="auto"/>
        <w:rPr>
          <w:sz w:val="20"/>
          <w:szCs w:val="20"/>
          <w:color w:val="auto"/>
        </w:rPr>
      </w:pPr>
      <w:r>
        <w:rPr>
          <w:rFonts w:ascii="Times New Roman" w:cs="Times New Roman" w:eastAsia="Times New Roman" w:hAnsi="Times New Roman"/>
          <w:sz w:val="17"/>
          <w:szCs w:val="17"/>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70" w:lineRule="exact"/>
        <w:rPr>
          <w:sz w:val="20"/>
          <w:szCs w:val="20"/>
          <w:color w:val="auto"/>
        </w:rPr>
      </w:pPr>
    </w:p>
    <w:p>
      <w:pPr>
        <w:ind w:left="40" w:right="139" w:firstLine="241"/>
        <w:spacing w:after="0" w:line="250" w:lineRule="auto"/>
        <w:rPr>
          <w:sz w:val="20"/>
          <w:szCs w:val="20"/>
          <w:color w:val="auto"/>
        </w:rPr>
      </w:pPr>
      <w:r>
        <w:rPr>
          <w:rFonts w:ascii="Times New Roman" w:cs="Times New Roman" w:eastAsia="Times New Roman" w:hAnsi="Times New Roman"/>
          <w:sz w:val="17"/>
          <w:szCs w:val="17"/>
          <w:color w:val="auto"/>
        </w:rPr>
        <w:t>In conjunction with the sale of the Fresh Cut business on August 15, 2024, the Company assigned leases resulting in the Company being relieved of its primary obligation under these leases. As a result of these lease assignments, the buyer is the primary obligor under the leases, with the Company secondarily liable as a guarantor. If the buyer should fail to perform under a lease, the Company could be liable to fulfill any remaining lease obligation. The leases had a remaining average term of 5.3 years as of October 31, 2024. The resulting maximum exposure includes $32.0 million of undiscounted future minimum lease payments plus $13.3 million of potential additional payments to satisfy common area maintenance, taxes, insurance and other requirements for the remainder of the lease terms. The Company does not believe it is probable that it will be responsible for the obligations under these leases.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Compliance matters</w:t>
      </w:r>
    </w:p>
    <w:p>
      <w:pPr>
        <w:spacing w:after="0" w:line="210" w:lineRule="exact"/>
        <w:rPr>
          <w:sz w:val="20"/>
          <w:szCs w:val="20"/>
          <w:color w:val="auto"/>
        </w:rPr>
      </w:pPr>
    </w:p>
    <w:p>
      <w:pPr>
        <w:ind w:left="40" w:right="159" w:firstLine="241"/>
        <w:spacing w:after="0" w:line="251" w:lineRule="auto"/>
        <w:rPr>
          <w:sz w:val="20"/>
          <w:szCs w:val="20"/>
          <w:color w:val="auto"/>
        </w:rPr>
      </w:pPr>
      <w:r>
        <w:rPr>
          <w:rFonts w:ascii="Times New Roman" w:cs="Times New Roman" w:eastAsia="Times New Roman" w:hAnsi="Times New Roman"/>
          <w:sz w:val="17"/>
          <w:szCs w:val="17"/>
          <w:color w:val="auto"/>
        </w:rPr>
        <w:t>On January 16, 2024, the Company announced that its internal audit process had identified to the Audit Committee of the Board of Directors certain matters that the Board of Directors determined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59" w:name="page60"/>
    <w:bookmarkEnd w:id="59"/>
    <w:p>
      <w:pPr>
        <w:ind w:left="40" w:right="99"/>
        <w:spacing w:after="0" w:line="251" w:lineRule="auto"/>
        <w:rPr>
          <w:sz w:val="20"/>
          <w:szCs w:val="20"/>
          <w:color w:val="auto"/>
        </w:rPr>
      </w:pPr>
      <w:r>
        <w:rPr>
          <w:rFonts w:ascii="Times New Roman" w:cs="Times New Roman" w:eastAsia="Times New Roman" w:hAnsi="Times New Roman"/>
          <w:sz w:val="17"/>
          <w:szCs w:val="17"/>
          <w:color w:val="auto"/>
        </w:rPr>
        <w:t>Department of Justice ("DOJ"), and the Company intends to fully cooperate with the SEC and the DOJ in connection with these matters. 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Mexico tax audits</w:t>
      </w:r>
    </w:p>
    <w:p>
      <w:pPr>
        <w:spacing w:after="0" w:line="210" w:lineRule="exact"/>
        <w:rPr>
          <w:sz w:val="20"/>
          <w:szCs w:val="20"/>
          <w:color w:val="auto"/>
        </w:rPr>
      </w:pPr>
    </w:p>
    <w:p>
      <w:pPr>
        <w:ind w:left="40" w:right="199" w:firstLine="241"/>
        <w:spacing w:after="0" w:line="259" w:lineRule="auto"/>
        <w:rPr>
          <w:sz w:val="20"/>
          <w:szCs w:val="20"/>
          <w:color w:val="auto"/>
        </w:rPr>
      </w:pPr>
      <w:r>
        <w:rPr>
          <w:rFonts w:ascii="Times New Roman" w:cs="Times New Roman" w:eastAsia="Times New Roman" w:hAnsi="Times New Roman"/>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2013 Assessment</w:t>
      </w:r>
    </w:p>
    <w:p>
      <w:pPr>
        <w:spacing w:after="0" w:line="210" w:lineRule="exact"/>
        <w:rPr>
          <w:sz w:val="20"/>
          <w:szCs w:val="20"/>
          <w:color w:val="auto"/>
        </w:rPr>
      </w:pPr>
    </w:p>
    <w:p>
      <w:pPr>
        <w:ind w:left="40" w:right="139" w:firstLine="241"/>
        <w:spacing w:after="0" w:line="255" w:lineRule="auto"/>
        <w:rPr>
          <w:sz w:val="20"/>
          <w:szCs w:val="20"/>
          <w:color w:val="auto"/>
        </w:rPr>
      </w:pPr>
      <w:r>
        <w:rPr>
          <w:rFonts w:ascii="Times New Roman" w:cs="Times New Roman" w:eastAsia="Times New Roman" w:hAnsi="Times New Roman"/>
          <w:sz w:val="17"/>
          <w:szCs w:val="17"/>
          <w:color w:val="auto"/>
        </w:rPr>
        <w:t>In January 2017, we received preliminary observations from the Servicio de Administracion Tributaria in Mexico (the “SAT”) related to an audit for fiscal year 2013 outlining certain proposed adjustments primarily related to intercompany funding, deductions for services from certain vendors/suppliers and IVA. We provided a written rebuttal to these preliminary observations during our second fiscal quarter of 2017.</w:t>
      </w:r>
    </w:p>
    <w:p>
      <w:pPr>
        <w:spacing w:after="0" w:line="172" w:lineRule="exact"/>
        <w:rPr>
          <w:sz w:val="20"/>
          <w:szCs w:val="20"/>
          <w:color w:val="auto"/>
        </w:rPr>
      </w:pPr>
    </w:p>
    <w:p>
      <w:pPr>
        <w:ind w:left="40" w:right="59" w:firstLine="241"/>
        <w:spacing w:after="0" w:line="268" w:lineRule="auto"/>
        <w:rPr>
          <w:sz w:val="20"/>
          <w:szCs w:val="20"/>
          <w:color w:val="auto"/>
        </w:rPr>
      </w:pPr>
      <w:r>
        <w:rPr>
          <w:rFonts w:ascii="Times New Roman" w:cs="Times New Roman" w:eastAsia="Times New Roman" w:hAnsi="Times New Roman"/>
          <w:sz w:val="16"/>
          <w:szCs w:val="16"/>
          <w:color w:val="auto"/>
        </w:rPr>
        <w:t>In July 2018, the SAT’s local office in Uruapan issued to CDM a final tax assessment (the “2013 Assessment”) totaling approximately $2.6 billion Mexican pesos (which includes annual adjustments for inflation, and equals approximately $128.9 million USD at October 31, 2024) related to income tax, flat rate business tax, and value added tax, related to this fiscal 2013 tax audit. This amount has been adjusted for inflation as of October 31, 2024 to the amount of $3 billion Mexican pesos (approximately $148.8 million USD). Additionally, the tax authorities have determined that we owe our employees profit-sharing liability, totaling approximately $118 million Mexican pesos (approximately $5.9 million USD at October 31, 2024). In August 2018, we filed an Administrative Appeal on the 2013 Assessment, appealing our case to the SAT’s central legal department in Michoacan.</w:t>
      </w:r>
    </w:p>
    <w:p>
      <w:pPr>
        <w:spacing w:after="0" w:line="167" w:lineRule="exact"/>
        <w:rPr>
          <w:sz w:val="20"/>
          <w:szCs w:val="20"/>
          <w:color w:val="auto"/>
        </w:rPr>
      </w:pPr>
    </w:p>
    <w:p>
      <w:pPr>
        <w:ind w:left="40" w:right="179" w:firstLine="241"/>
        <w:spacing w:after="0" w:line="251" w:lineRule="auto"/>
        <w:rPr>
          <w:sz w:val="20"/>
          <w:szCs w:val="20"/>
          <w:color w:val="auto"/>
        </w:rPr>
      </w:pPr>
      <w:r>
        <w:rPr>
          <w:rFonts w:ascii="Times New Roman" w:cs="Times New Roman" w:eastAsia="Times New Roman" w:hAnsi="Times New Roman"/>
          <w:sz w:val="17"/>
          <w:szCs w:val="17"/>
          <w:color w:val="auto"/>
        </w:rPr>
        <w:t>On June 25, 2021, we became aware that the Administrative Appeal had been resolved by the SAT against CDM on March 12, 2021, and that we had allegedly failed to timely respond to and challenge the SAT’s notification of such resolution, therefore rendering the 2013 Assessment as definitive. Consequently, the SAT placed liens on the fixed assets of CDM, with a net book value of approximately $26 million USD, and on bank accounts of CDM totaling approximately $1 million USD in order to guaranty the 2013 Assessment. Based on legal counsel from our tax advisory firm, we and our tax advisory firm have concluded that the March notification was not legally communicated.</w:t>
      </w:r>
    </w:p>
    <w:p>
      <w:pPr>
        <w:spacing w:after="0" w:line="178" w:lineRule="exact"/>
        <w:rPr>
          <w:sz w:val="20"/>
          <w:szCs w:val="20"/>
          <w:color w:val="auto"/>
        </w:rPr>
      </w:pPr>
    </w:p>
    <w:p>
      <w:pPr>
        <w:ind w:left="40" w:right="219" w:firstLine="241"/>
        <w:spacing w:after="0" w:line="252" w:lineRule="auto"/>
        <w:rPr>
          <w:sz w:val="20"/>
          <w:szCs w:val="20"/>
          <w:color w:val="auto"/>
        </w:rPr>
      </w:pPr>
      <w:r>
        <w:rPr>
          <w:rFonts w:ascii="Times New Roman" w:cs="Times New Roman" w:eastAsia="Times New Roman" w:hAnsi="Times New Roman"/>
          <w:sz w:val="17"/>
          <w:szCs w:val="17"/>
          <w:color w:val="auto"/>
        </w:rPr>
        <w:t>On August 18, 2021, we filed an Administrative Reconsideration (the Reconsideration) before the Central Legal Department of the SAT located in Mexico City, asserting that the resolution in March of the Administrative Appeal was wrongly concluded, in particular with respect to the following matters:</w:t>
      </w:r>
    </w:p>
    <w:p>
      <w:pPr>
        <w:ind w:left="1500" w:hanging="296"/>
        <w:spacing w:after="0" w:line="232" w:lineRule="auto"/>
        <w:tabs>
          <w:tab w:leader="none" w:pos="1500"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Failure to recognize CDM as a “maquiladora”</w:t>
      </w:r>
    </w:p>
    <w:p>
      <w:pPr>
        <w:spacing w:after="0" w:line="1" w:lineRule="exact"/>
        <w:rPr>
          <w:rFonts w:ascii="Courier New" w:cs="Courier New" w:eastAsia="Courier New" w:hAnsi="Courier New"/>
          <w:sz w:val="17"/>
          <w:szCs w:val="17"/>
          <w:color w:val="auto"/>
        </w:rPr>
      </w:pPr>
    </w:p>
    <w:p>
      <w:pPr>
        <w:ind w:left="1500" w:hanging="296"/>
        <w:spacing w:after="0" w:line="227" w:lineRule="auto"/>
        <w:tabs>
          <w:tab w:leader="none" w:pos="1500"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Considering the Company to have a permanent establishment in Mexico,</w:t>
      </w:r>
    </w:p>
    <w:p>
      <w:pPr>
        <w:spacing w:after="0" w:line="2" w:lineRule="exact"/>
        <w:rPr>
          <w:rFonts w:ascii="Courier New" w:cs="Courier New" w:eastAsia="Courier New" w:hAnsi="Courier New"/>
          <w:sz w:val="17"/>
          <w:szCs w:val="17"/>
          <w:color w:val="auto"/>
        </w:rPr>
      </w:pPr>
    </w:p>
    <w:p>
      <w:pPr>
        <w:ind w:left="1500" w:hanging="296"/>
        <w:spacing w:after="0" w:line="227" w:lineRule="auto"/>
        <w:tabs>
          <w:tab w:leader="none" w:pos="1500"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Including fruit purchase deposits transferred by the Company to CDM as taxable,</w:t>
      </w:r>
    </w:p>
    <w:p>
      <w:pPr>
        <w:spacing w:after="0" w:line="2" w:lineRule="exact"/>
        <w:rPr>
          <w:rFonts w:ascii="Courier New" w:cs="Courier New" w:eastAsia="Courier New" w:hAnsi="Courier New"/>
          <w:sz w:val="17"/>
          <w:szCs w:val="17"/>
          <w:color w:val="auto"/>
        </w:rPr>
      </w:pPr>
    </w:p>
    <w:p>
      <w:pPr>
        <w:ind w:left="1500" w:hanging="296"/>
        <w:spacing w:after="0" w:line="227" w:lineRule="auto"/>
        <w:tabs>
          <w:tab w:leader="none" w:pos="1500"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Application of 16% IVA tax to fruit purchase deposits; and</w:t>
      </w:r>
    </w:p>
    <w:p>
      <w:pPr>
        <w:spacing w:after="0" w:line="2" w:lineRule="exact"/>
        <w:rPr>
          <w:rFonts w:ascii="Courier New" w:cs="Courier New" w:eastAsia="Courier New" w:hAnsi="Courier New"/>
          <w:sz w:val="17"/>
          <w:szCs w:val="17"/>
          <w:color w:val="auto"/>
        </w:rPr>
      </w:pPr>
    </w:p>
    <w:p>
      <w:pPr>
        <w:ind w:left="1500" w:hanging="296"/>
        <w:spacing w:after="0" w:line="227" w:lineRule="auto"/>
        <w:tabs>
          <w:tab w:leader="none" w:pos="1500" w:val="left"/>
        </w:tabs>
        <w:numPr>
          <w:ilvl w:val="0"/>
          <w:numId w:val="19"/>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Imposing double-taxation on the fruit purchase transactions</w:t>
      </w:r>
    </w:p>
    <w:p>
      <w:pPr>
        <w:spacing w:after="0" w:line="185" w:lineRule="exact"/>
        <w:rPr>
          <w:sz w:val="20"/>
          <w:szCs w:val="20"/>
          <w:color w:val="auto"/>
        </w:rPr>
      </w:pPr>
    </w:p>
    <w:p>
      <w:pPr>
        <w:ind w:left="40" w:right="139" w:firstLine="241"/>
        <w:spacing w:after="0" w:line="255" w:lineRule="auto"/>
        <w:rPr>
          <w:sz w:val="20"/>
          <w:szCs w:val="20"/>
          <w:color w:val="auto"/>
        </w:rPr>
      </w:pPr>
      <w:r>
        <w:rPr>
          <w:rFonts w:ascii="Times New Roman" w:cs="Times New Roman" w:eastAsia="Times New Roman" w:hAnsi="Times New Roman"/>
          <w:sz w:val="17"/>
          <w:szCs w:val="17"/>
          <w:color w:val="auto"/>
        </w:rPr>
        <w:t>On August 20, 2021 we filed an Annulment Suit (the Annulment Suit) with the Federal Tax Court, which among other things, strongly contends that the notifications made by the SAT to CDM and its designated advisors of the resolution of the Administrative Appeal in March 2021 were not legally communicated. In addition, the Annulment Suit asserts the same matters central to the Reconsideration, as described above, as wrongly concluded in the resolution of the Administrative Appeal.</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0" w:name="page61"/>
    <w:bookmarkEnd w:id="60"/>
    <w:p>
      <w:pPr>
        <w:jc w:val="both"/>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On October 13, 2023, the company filed an extension of the Annulment Suit filed on August 20, 2021, as a result of the response to the lawsuit filed by the Tax Authority, pointing out that Tax Authority’s resolution is unlawful due to improper substantiation and motivation, because of the following:</w:t>
      </w:r>
    </w:p>
    <w:p>
      <w:pPr>
        <w:spacing w:after="0" w:line="170" w:lineRule="exact"/>
        <w:rPr>
          <w:sz w:val="20"/>
          <w:szCs w:val="20"/>
          <w:color w:val="auto"/>
        </w:rPr>
      </w:pPr>
    </w:p>
    <w:p>
      <w:pPr>
        <w:ind w:left="140" w:hanging="102"/>
        <w:spacing w:after="0"/>
        <w:tabs>
          <w:tab w:leader="none" w:pos="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QR Code does not allow the company to verify the veracity of the document,</w:t>
      </w:r>
    </w:p>
    <w:p>
      <w:pPr>
        <w:spacing w:after="0" w:line="21" w:lineRule="exact"/>
        <w:rPr>
          <w:rFonts w:ascii="Times New Roman" w:cs="Times New Roman" w:eastAsia="Times New Roman" w:hAnsi="Times New Roman"/>
          <w:sz w:val="17"/>
          <w:szCs w:val="17"/>
          <w:color w:val="auto"/>
        </w:rPr>
      </w:pPr>
    </w:p>
    <w:p>
      <w:pPr>
        <w:ind w:left="40" w:right="339" w:hanging="2"/>
        <w:spacing w:after="0" w:line="252" w:lineRule="auto"/>
        <w:tabs>
          <w:tab w:leader="none" w:pos="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notification of the tax assessment was not sent to the phone number indicated by the company, when the Tax Authority was obliged to do so, among others.</w:t>
      </w:r>
    </w:p>
    <w:p>
      <w:pPr>
        <w:spacing w:after="0" w:line="175"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On November 14, 2023, the Tax Court acknowledged the admission of the extension to the lawsuit. Additionally, in November 2024, the Administrative Reconsideration and related Injunction action were finalized. The tax authority determined that the filing of the Administrative Reconsideration was not legally viable, citing the existence of a concurrent legal remedy—the Nullity Petition. Furthermore, the SAT noted a presumption that the Nullity Petition was filed within the required timeframe, as evidenced by its admission by the Tax Court.</w:t>
      </w:r>
    </w:p>
    <w:p>
      <w:pPr>
        <w:spacing w:after="0" w:line="177" w:lineRule="exact"/>
        <w:rPr>
          <w:sz w:val="20"/>
          <w:szCs w:val="20"/>
          <w:color w:val="auto"/>
        </w:rPr>
      </w:pPr>
    </w:p>
    <w:p>
      <w:pPr>
        <w:ind w:left="40" w:right="99" w:firstLine="241"/>
        <w:spacing w:after="0" w:line="259" w:lineRule="auto"/>
        <w:rPr>
          <w:sz w:val="20"/>
          <w:szCs w:val="20"/>
          <w:color w:val="auto"/>
        </w:rPr>
      </w:pPr>
      <w:r>
        <w:rPr>
          <w:rFonts w:ascii="Times New Roman" w:cs="Times New Roman" w:eastAsia="Times New Roman" w:hAnsi="Times New Roman"/>
          <w:sz w:val="17"/>
          <w:szCs w:val="17"/>
          <w:color w:val="auto"/>
        </w:rPr>
        <w:t>These resolutions can be used as supervening evidence to support the arguments that the Nullity Petition should be admitted. The resolutions will contribute to demonstrate that SAT considers that the Nullity Petition was filed on time. This is a statement made within a formal procedure that contradicts what SAT had been arguing (within the reconsideration procedure).</w:t>
      </w:r>
    </w:p>
    <w:p>
      <w:pPr>
        <w:spacing w:after="0" w:line="170" w:lineRule="exact"/>
        <w:rPr>
          <w:sz w:val="20"/>
          <w:szCs w:val="20"/>
          <w:color w:val="auto"/>
        </w:rPr>
      </w:pPr>
    </w:p>
    <w:p>
      <w:pPr>
        <w:ind w:left="40" w:right="59" w:firstLine="241"/>
        <w:spacing w:after="0" w:line="249" w:lineRule="auto"/>
        <w:rPr>
          <w:sz w:val="20"/>
          <w:szCs w:val="20"/>
          <w:color w:val="auto"/>
        </w:rPr>
      </w:pPr>
      <w:r>
        <w:rPr>
          <w:rFonts w:ascii="Times New Roman" w:cs="Times New Roman" w:eastAsia="Times New Roman" w:hAnsi="Times New Roman"/>
          <w:sz w:val="17"/>
          <w:szCs w:val="17"/>
          <w:color w:val="auto"/>
        </w:rPr>
        <w:t>While we continue to believe that the 2013 Assessment is completely without merit, and that we will prevail on the Annulment Suit in the Tax Court, we also believe that it is in the best interest of CDM and the Company to settle the 2013 Assessment as quickly as possible. Furthermore, we believe that the above actions taken by CDM will encourage the SAT to agree to reach a settlement. In accordance with our cumulative probability analysis on uncertain tax positions, our settlements made by the SAT in other cases, the 2011 Assessment settlement reached by CDM with the MFM, and the value of CDM assets, we recorded a provision of $11.0 million in the third quarter of fiscal 2021. The provision includes estimated penalties, interest and inflationary adjustments. We believe that this provision remains appropriate as of October 31, 2024 based on our cumulative probability analysis. We incurred $1.0 million of related professional fees for the year ended October 31, 2024, which have been recorded in Expenses related to Mexican Tax matters on the consolidated statements of operations.</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10" w:lineRule="exact"/>
        <w:rPr>
          <w:sz w:val="20"/>
          <w:szCs w:val="20"/>
          <w:color w:val="auto"/>
        </w:rPr>
      </w:pPr>
    </w:p>
    <w:p>
      <w:pPr>
        <w:ind w:left="40" w:right="379" w:firstLine="241"/>
        <w:spacing w:after="0" w:line="259" w:lineRule="auto"/>
        <w:rPr>
          <w:sz w:val="20"/>
          <w:szCs w:val="20"/>
          <w:color w:val="auto"/>
        </w:rPr>
      </w:pPr>
      <w:r>
        <w:rPr>
          <w:rFonts w:ascii="Times New Roman" w:cs="Times New Roman" w:eastAsia="Times New Roman" w:hAnsi="Times New Roman"/>
          <w:sz w:val="17"/>
          <w:szCs w:val="17"/>
          <w:color w:val="auto"/>
        </w:rPr>
        <w:t>From time to time, we are also involved in litigation arising in the ordinary course of our business that we do not believe will have a material adverse impact on our financial statements. We do not believe that the outcome of any of our current legal proceedings will have a material adverse impact on our business, financial condition and results of operations.</w:t>
      </w:r>
    </w:p>
    <w:p>
      <w:pPr>
        <w:spacing w:after="0" w:line="166" w:lineRule="exact"/>
        <w:rPr>
          <w:sz w:val="20"/>
          <w:szCs w:val="20"/>
          <w:color w:val="auto"/>
        </w:rPr>
      </w:pPr>
    </w:p>
    <w:p>
      <w:pPr>
        <w:ind w:left="380" w:hanging="342"/>
        <w:spacing w:after="0"/>
        <w:tabs>
          <w:tab w:leader="none" w:pos="3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Related-Party Transactions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Board of Directors and Chief Executive Officer</w:t>
      </w:r>
    </w:p>
    <w:p>
      <w:pPr>
        <w:spacing w:after="0" w:line="210" w:lineRule="exact"/>
        <w:rPr>
          <w:sz w:val="20"/>
          <w:szCs w:val="20"/>
          <w:color w:val="auto"/>
        </w:rPr>
      </w:pPr>
    </w:p>
    <w:p>
      <w:pPr>
        <w:ind w:left="40" w:right="139" w:firstLine="241"/>
        <w:spacing w:after="0" w:line="251" w:lineRule="auto"/>
        <w:rPr>
          <w:sz w:val="20"/>
          <w:szCs w:val="20"/>
          <w:color w:val="auto"/>
        </w:rPr>
      </w:pPr>
      <w:r>
        <w:rPr>
          <w:rFonts w:ascii="Times New Roman" w:cs="Times New Roman" w:eastAsia="Times New Roman" w:hAnsi="Times New Roman"/>
          <w:sz w:val="17"/>
          <w:szCs w:val="17"/>
          <w:color w:val="auto"/>
        </w:rPr>
        <w:t>Certain members of our Board of Directors market California avocados through Calavo pursuant to marketing agreements substantially similar to the marketing agreements that we enter with other growers. During the years ended October 31, 2024, 2023, and 2022, the aggregate value of avocados procured from entities owned or controlled by members of our Board of Directors was $5.8 million, $2.7 million and $7.5 million, respectively. We did not have any amounts due to Board members as of October 31, 2024 and 2023. For the year ended October 31, 2024 and 2023, we have purchased $13.2 million and $3.1 million of avocados from entities affiliated with our Chief Executive Officer, respectively.</w:t>
      </w:r>
    </w:p>
    <w:p>
      <w:pPr>
        <w:spacing w:after="0" w:line="1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Agricola Don Memo, S.A. de C.V. (“Don Memo”)</w:t>
      </w:r>
    </w:p>
    <w:p>
      <w:pPr>
        <w:spacing w:after="0" w:line="210" w:lineRule="exact"/>
        <w:rPr>
          <w:sz w:val="20"/>
          <w:szCs w:val="20"/>
          <w:color w:val="auto"/>
        </w:rPr>
      </w:pPr>
    </w:p>
    <w:p>
      <w:pPr>
        <w:jc w:val="both"/>
        <w:ind w:left="40" w:right="99" w:firstLine="241"/>
        <w:spacing w:after="0" w:line="259" w:lineRule="auto"/>
        <w:rPr>
          <w:sz w:val="20"/>
          <w:szCs w:val="20"/>
          <w:color w:val="auto"/>
        </w:rPr>
      </w:pPr>
      <w:r>
        <w:rPr>
          <w:rFonts w:ascii="Times New Roman" w:cs="Times New Roman" w:eastAsia="Times New Roman" w:hAnsi="Times New Roman"/>
          <w:sz w:val="17"/>
          <w:szCs w:val="17"/>
          <w:color w:val="auto"/>
        </w:rPr>
        <w:t>In December 2014, Calavo formed a wholly-owned subsidiary, Calavo Growers De Mexico, S. de R.L. de C.V. (Calavo Sub). In July 2015, Calavo Sub entered into a Shareholder Agreement with Belo, a Mexican company owned by Agricola Belher, and formed Agricola Don Memo, S.A. de C.V. Belo and Calavo Sub have an equal one-half ownership</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1" w:name="page62"/>
    <w:bookmarkEnd w:id="61"/>
    <w:p>
      <w:pPr>
        <w:ind w:left="40" w:right="79"/>
        <w:spacing w:after="0" w:line="276" w:lineRule="auto"/>
        <w:rPr>
          <w:sz w:val="20"/>
          <w:szCs w:val="20"/>
          <w:color w:val="auto"/>
        </w:rPr>
      </w:pPr>
      <w:r>
        <w:rPr>
          <w:rFonts w:ascii="Times New Roman" w:cs="Times New Roman" w:eastAsia="Times New Roman" w:hAnsi="Times New Roman"/>
          <w:sz w:val="16"/>
          <w:szCs w:val="16"/>
          <w:color w:val="auto"/>
        </w:rPr>
        <w:t>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payable annually in July of each year. Additionally, Calavo Sub is entitled to commission for the sale of produce in Mexico, the U.S., Canada, and any other overseas market.</w:t>
      </w:r>
    </w:p>
    <w:p>
      <w:pPr>
        <w:spacing w:after="0" w:line="157" w:lineRule="exact"/>
        <w:rPr>
          <w:sz w:val="20"/>
          <w:szCs w:val="20"/>
          <w:color w:val="auto"/>
        </w:rPr>
      </w:pPr>
    </w:p>
    <w:p>
      <w:pPr>
        <w:ind w:left="40" w:right="179" w:firstLine="241"/>
        <w:spacing w:after="0" w:line="267" w:lineRule="auto"/>
        <w:rPr>
          <w:sz w:val="20"/>
          <w:szCs w:val="20"/>
          <w:color w:val="auto"/>
        </w:rPr>
      </w:pPr>
      <w:r>
        <w:rPr>
          <w:rFonts w:ascii="Times New Roman" w:cs="Times New Roman" w:eastAsia="Times New Roman" w:hAnsi="Times New Roman"/>
          <w:sz w:val="16"/>
          <w:szCs w:val="16"/>
          <w:color w:val="auto"/>
        </w:rPr>
        <w:t>As of October 31, 2024, 2023 and 2022, we have an investment of $2.4 million, $2.9 million and $3.8 million, respectively,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and aforementioned advances. As of October 31, 2024, 2023 and 2022, we had outstanding advances of $7.7 million, $7.3 million and $7.0 million, respectively, to Don Memo. As of October 31, 2024, 2023 and 2022, we had a tomato liability of $3.1 million, $1.5 million and $1.9 million, respectively, to Don Memo. During the year ended October 31, 2024, 2023 and 2022 we purchased $14.4 million, $15.8 million and $13.7 million, respectively, of tomatoes from Don Memo pursuant to our consignment agreement.</w:t>
      </w:r>
    </w:p>
    <w:p>
      <w:pPr>
        <w:spacing w:after="0" w:line="168" w:lineRule="exact"/>
        <w:rPr>
          <w:sz w:val="20"/>
          <w:szCs w:val="20"/>
          <w:color w:val="auto"/>
        </w:rPr>
      </w:pPr>
    </w:p>
    <w:p>
      <w:pPr>
        <w:ind w:left="40" w:right="99" w:firstLine="241"/>
        <w:spacing w:after="0" w:line="252" w:lineRule="auto"/>
        <w:rPr>
          <w:sz w:val="20"/>
          <w:szCs w:val="20"/>
          <w:color w:val="auto"/>
        </w:rPr>
      </w:pPr>
      <w:r>
        <w:rPr>
          <w:rFonts w:ascii="Times New Roman" w:cs="Times New Roman" w:eastAsia="Times New Roman" w:hAnsi="Times New Roman"/>
          <w:sz w:val="17"/>
          <w:szCs w:val="17"/>
          <w:color w:val="auto"/>
        </w:rPr>
        <w:t>In October 2020, we entered into an infrastructure loan agreement with Don Memo for up to $2.4 million secured by certain property and equipment of Don Memo. This infrastructure loan accrues interest at 7.25%. The total outstanding balance related to this infrastructure loan agreement at October 31, 2024 was $1.6 million included in prepaids and other current assets). The total outstanding balance related to this infrastructure loan agreement at October 31, 2023 was $1.6 million included in prepaids and other current assets.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Belher</w:t>
      </w:r>
    </w:p>
    <w:p>
      <w:pPr>
        <w:spacing w:after="0" w:line="210" w:lineRule="exact"/>
        <w:rPr>
          <w:sz w:val="20"/>
          <w:szCs w:val="20"/>
          <w:color w:val="auto"/>
        </w:rPr>
      </w:pPr>
    </w:p>
    <w:p>
      <w:pPr>
        <w:ind w:left="40" w:right="139" w:firstLine="241"/>
        <w:spacing w:after="0" w:line="255" w:lineRule="auto"/>
        <w:rPr>
          <w:sz w:val="20"/>
          <w:szCs w:val="20"/>
          <w:color w:val="auto"/>
        </w:rPr>
      </w:pPr>
      <w:r>
        <w:rPr>
          <w:rFonts w:ascii="Times New Roman" w:cs="Times New Roman" w:eastAsia="Times New Roman" w:hAnsi="Times New Roman"/>
          <w:sz w:val="17"/>
          <w:szCs w:val="17"/>
          <w:color w:val="auto"/>
        </w:rPr>
        <w:t>We make advances to Belher for operating purposes, provide additional advances as shipments are made during the season, and return the proceeds from tomato sales under our marketing program to Belher, net of our commission and aforementioned advances. We had grower advances due from Belher of $5.1 million, $5.4 million and $4.5 million as of October 31, 2024, 2023 and 2022, respectively.</w:t>
      </w:r>
    </w:p>
    <w:p>
      <w:pPr>
        <w:spacing w:after="0" w:line="172" w:lineRule="exact"/>
        <w:rPr>
          <w:sz w:val="20"/>
          <w:szCs w:val="20"/>
          <w:color w:val="auto"/>
        </w:rPr>
      </w:pPr>
    </w:p>
    <w:p>
      <w:pPr>
        <w:ind w:left="40" w:right="159" w:firstLine="241"/>
        <w:spacing w:after="0" w:line="249" w:lineRule="auto"/>
        <w:rPr>
          <w:sz w:val="20"/>
          <w:szCs w:val="20"/>
          <w:color w:val="auto"/>
        </w:rPr>
      </w:pPr>
      <w:r>
        <w:rPr>
          <w:rFonts w:ascii="Times New Roman" w:cs="Times New Roman" w:eastAsia="Times New Roman" w:hAnsi="Times New Roman"/>
          <w:sz w:val="17"/>
          <w:szCs w:val="17"/>
          <w:color w:val="auto"/>
        </w:rPr>
        <w:t>In July 2021, we made a bridge loan of $3.5 million to Belher. This loan is secured by certain farmland in Mexico and accrues interest at 10%. In the first quarter of fiscal 2024, this loan was amended to be due with installments of $0.6 million on July 31, 2024, $0.6 million on July 31, 2025 and $0.5 million on July 31, 2026. As part of this amended loan agreement, we can withhold payments on both the infrastructure advances and the bridge loan through the netting against the grower payable due to Belher. For the years ended October 31, 2024, 2023 and 2022, we withheld $0.6 million, $0.9 million and $1.1 million, respectively, from payments to Belher to offset the bridge loan repayments. As of October 31, 2024, the balance of the bridge loan has been recorded as $0.6 million in prepaid expenses and $0.5 million in other assets. As of October 31, 2023, the balance of the bridge loan has been recorded as $1.7 million in prepaid expenses and other current assets. During the year ended October 31, 2024, 2023 and 2022, we purchased $29.0 million, $16.2 million, and $19.4 million, respectively, of tomatoes from Belher pursuant to our consignment agreement.</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Avocados de Jalisco, S.A.P.I. de C.V. (“Avocados de Jalisco”)</w:t>
      </w:r>
    </w:p>
    <w:p>
      <w:pPr>
        <w:spacing w:after="0" w:line="210" w:lineRule="exact"/>
        <w:rPr>
          <w:sz w:val="20"/>
          <w:szCs w:val="20"/>
          <w:color w:val="auto"/>
        </w:rPr>
      </w:pPr>
    </w:p>
    <w:p>
      <w:pPr>
        <w:ind w:left="40" w:right="99" w:firstLine="241"/>
        <w:spacing w:after="0" w:line="251" w:lineRule="auto"/>
        <w:rPr>
          <w:sz w:val="20"/>
          <w:szCs w:val="20"/>
          <w:color w:val="auto"/>
        </w:rPr>
      </w:pPr>
      <w:r>
        <w:rPr>
          <w:rFonts w:ascii="Times New Roman" w:cs="Times New Roman" w:eastAsia="Times New Roman" w:hAnsi="Times New Roman"/>
          <w:sz w:val="17"/>
          <w:szCs w:val="17"/>
          <w:color w:val="auto"/>
        </w:rPr>
        <w:t>In August 2015, we entered into a Shareholder’s Agreement with various partners to form Avocados de Jalisco, which is a Mexican corporation engaged in procuring, packing, and selling avocados. This entity is approximately 83% owned by Calavo and is consolidated in our financial statements. Avocados de Jalisco built a packinghouse located in Jalisco, Mexico and it began operations in June of 2017. As of October 31, 2023 and 2022, we have made an insignificant amount of preseason advances to various partners of Avocados de Jalisco. During the year ended October 31, 2024, 2023 and 2022, we purchased approximately $0.8 million, $8.1 million and $7.0 million, respectively, of avocados from the partners of Avocados de Jalisco.</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2" w:name="page63"/>
    <w:bookmarkEnd w:id="62"/>
    <w:p>
      <w:pPr>
        <w:ind w:left="380" w:hanging="342"/>
        <w:spacing w:after="0"/>
        <w:tabs>
          <w:tab w:leader="none" w:pos="38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income tax provision from continuing operations consists of the following for the years ended October 31, (in thousands):</w:t>
      </w:r>
    </w:p>
    <w:p>
      <w:pPr>
        <w:spacing w:after="0" w:line="211"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3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Foreign</w:t>
            </w:r>
          </w:p>
        </w:tc>
        <w:tc>
          <w:tcPr>
            <w:tcW w:w="1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current</w:t>
            </w:r>
          </w:p>
        </w:tc>
        <w:tc>
          <w:tcPr>
            <w:tcW w:w="1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3,656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3,568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5,134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Federal</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(349)</w:t>
            </w: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(604)</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deferred</w:t>
            </w:r>
          </w:p>
        </w:tc>
        <w:tc>
          <w:tcPr>
            <w:tcW w:w="1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404</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2,580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Change in valuation allowance</w:t>
            </w: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813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income tax provision</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11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presents domestic and foreign components of income (loss) before income taxes for the years ended October 31,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3"/>
        </w:trPr>
        <w:tc>
          <w:tcPr>
            <w:tcW w:w="6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Domestic</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10,518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4,485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ind w:left="80"/>
              <w:spacing w:after="0" w:line="194" w:lineRule="exact"/>
              <w:rPr>
                <w:sz w:val="20"/>
                <w:szCs w:val="20"/>
                <w:color w:val="auto"/>
              </w:rPr>
            </w:pPr>
            <w:r>
              <w:rPr>
                <w:rFonts w:ascii="Times New Roman" w:cs="Times New Roman" w:eastAsia="Times New Roman" w:hAnsi="Times New Roman"/>
                <w:sz w:val="17"/>
                <w:szCs w:val="17"/>
                <w:color w:val="auto"/>
                <w:w w:val="92"/>
              </w:rPr>
              <w:t>(1,743)</w:t>
            </w:r>
          </w:p>
        </w:tc>
      </w:tr>
      <w:tr>
        <w:trPr>
          <w:trHeight w:val="213"/>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(1,345)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2"/>
              </w:rPr>
              <w:t>(1,940)</w:t>
            </w:r>
          </w:p>
        </w:tc>
      </w:tr>
      <w:tr>
        <w:trPr>
          <w:trHeight w:val="193"/>
        </w:trPr>
        <w:tc>
          <w:tcPr>
            <w:tcW w:w="63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Income (loss) before taxes</w:t>
            </w: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9,173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11,201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ind w:left="80"/>
              <w:spacing w:after="0" w:line="194" w:lineRule="exact"/>
              <w:rPr>
                <w:sz w:val="20"/>
                <w:szCs w:val="20"/>
                <w:color w:val="auto"/>
              </w:rPr>
            </w:pPr>
            <w:r>
              <w:rPr>
                <w:rFonts w:ascii="Times New Roman" w:cs="Times New Roman" w:eastAsia="Times New Roman" w:hAnsi="Times New Roman"/>
                <w:sz w:val="17"/>
                <w:szCs w:val="17"/>
                <w:color w:val="auto"/>
                <w:w w:val="92"/>
              </w:rPr>
              <w:t>(3,683)</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179" w:firstLine="241"/>
        <w:spacing w:after="0" w:line="272" w:lineRule="auto"/>
        <w:rPr>
          <w:sz w:val="20"/>
          <w:szCs w:val="20"/>
          <w:color w:val="auto"/>
        </w:rPr>
      </w:pPr>
      <w:r>
        <w:rPr>
          <w:rFonts w:ascii="Times New Roman" w:cs="Times New Roman" w:eastAsia="Times New Roman" w:hAnsi="Times New Roman"/>
          <w:sz w:val="17"/>
          <w:szCs w:val="17"/>
          <w:color w:val="auto"/>
        </w:rPr>
        <w:t>The above income (loss) before income taxes includes the net loss from unconsolidated entities of $0.5 million and $0.9 million for the years ended October 31, 2024 and 2023, which is recorded in foreign operations, respectively.</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63" w:name="page64"/>
    <w:bookmarkEnd w:id="63"/>
    <w:p>
      <w:pPr>
        <w:ind w:left="40"/>
        <w:spacing w:after="0"/>
        <w:rPr>
          <w:sz w:val="20"/>
          <w:szCs w:val="20"/>
          <w:color w:val="auto"/>
        </w:rPr>
      </w:pPr>
      <w:r>
        <w:rPr>
          <w:rFonts w:ascii="Times New Roman" w:cs="Times New Roman" w:eastAsia="Times New Roman" w:hAnsi="Times New Roman"/>
          <w:sz w:val="17"/>
          <w:szCs w:val="17"/>
          <w:color w:val="auto"/>
        </w:rPr>
        <w:t>Significant components of our deferred tax assets (liabilities) as of October 31, are as follows (in thousands):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20" w:type="dxa"/>
            <w:vAlign w:val="bottom"/>
            <w:vMerge w:val="restart"/>
          </w:tcPr>
          <w:p>
            <w:pPr>
              <w:spacing w:after="0"/>
              <w:rPr>
                <w:sz w:val="24"/>
                <w:szCs w:val="24"/>
                <w:color w:val="auto"/>
              </w:rPr>
            </w:pPr>
          </w:p>
        </w:tc>
        <w:tc>
          <w:tcPr>
            <w:tcW w:w="4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5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taxes</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Allowance for accounts receivable</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Net operating loss</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loss carryover</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Credits and incentives</w:t>
            </w:r>
          </w:p>
        </w:tc>
        <w:tc>
          <w:tcPr>
            <w:tcW w:w="2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deferred income tax assets</w:t>
            </w:r>
          </w:p>
        </w:tc>
        <w:tc>
          <w:tcPr>
            <w:tcW w:w="2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15,508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25,827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 right of use assets</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w:t>
            </w: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deferred income tax liabilities</w:t>
            </w:r>
          </w:p>
        </w:tc>
        <w:tc>
          <w:tcPr>
            <w:tcW w:w="23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(6,273)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Net deferred income tax assets</w:t>
            </w:r>
          </w:p>
        </w:tc>
        <w:tc>
          <w:tcPr>
            <w:tcW w:w="2360" w:type="dxa"/>
            <w:vAlign w:val="bottom"/>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7,473</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2,264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179" w:firstLine="241"/>
        <w:spacing w:after="0" w:line="272" w:lineRule="auto"/>
        <w:rPr>
          <w:sz w:val="20"/>
          <w:szCs w:val="20"/>
          <w:color w:val="auto"/>
        </w:rPr>
      </w:pPr>
      <w:r>
        <w:rPr>
          <w:rFonts w:ascii="Times New Roman" w:cs="Times New Roman" w:eastAsia="Times New Roman" w:hAnsi="Times New Roman"/>
          <w:sz w:val="17"/>
          <w:szCs w:val="17"/>
          <w:color w:val="auto"/>
        </w:rPr>
        <w:t>The Company’s net deferred income tax assets as presented in the consolidated balance sheets consists of the following items as of October 31,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r>
      <w:tr>
        <w:trPr>
          <w:trHeight w:val="186"/>
        </w:trPr>
        <w:tc>
          <w:tcPr>
            <w:tcW w:w="70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3"/>
        </w:trPr>
        <w:tc>
          <w:tcPr>
            <w:tcW w:w="7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Deferred income tax assets</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7,473</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3,010</w:t>
            </w:r>
          </w:p>
        </w:tc>
      </w:tr>
      <w:tr>
        <w:trPr>
          <w:trHeight w:val="201"/>
        </w:trPr>
        <w:tc>
          <w:tcPr>
            <w:tcW w:w="70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16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w:t>
            </w:r>
          </w:p>
        </w:tc>
      </w:tr>
      <w:tr>
        <w:trPr>
          <w:trHeight w:val="193"/>
        </w:trPr>
        <w:tc>
          <w:tcPr>
            <w:tcW w:w="70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deferred income tax assets</w:t>
            </w: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7,473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2,264</w:t>
            </w: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79" w:firstLine="301"/>
        <w:spacing w:after="0" w:line="252" w:lineRule="auto"/>
        <w:rPr>
          <w:sz w:val="20"/>
          <w:szCs w:val="20"/>
          <w:color w:val="auto"/>
        </w:rPr>
      </w:pPr>
      <w:r>
        <w:rPr>
          <w:rFonts w:ascii="Times New Roman" w:cs="Times New Roman" w:eastAsia="Times New Roman" w:hAnsi="Times New Roman"/>
          <w:sz w:val="17"/>
          <w:szCs w:val="17"/>
          <w:color w:val="auto"/>
        </w:rPr>
        <w:t>As of October 31, 2024 and 2023, the Company had a federal net operating loss carryforward of none and $6.6 million, respectively. As of October 31, 2024 and 2023, the Company has gross state net operating loss carryforwards of approximately $10.8 million and $13.4 million, respectively, with carryforward periods primarily ranging from 20 years to indefinite. As of October 31, 2024 and 2023, the Company has gross foreign net operating loss carryforwards of approximately $6.1 million and $6.3 million, respectively, with carryforward periods 10 years from generation.</w:t>
      </w:r>
    </w:p>
    <w:p>
      <w:pPr>
        <w:spacing w:after="0" w:line="177" w:lineRule="exact"/>
        <w:rPr>
          <w:sz w:val="20"/>
          <w:szCs w:val="20"/>
          <w:color w:val="auto"/>
        </w:rPr>
      </w:pPr>
    </w:p>
    <w:p>
      <w:pPr>
        <w:ind w:left="40" w:right="79" w:firstLine="301"/>
        <w:spacing w:after="0" w:line="248" w:lineRule="auto"/>
        <w:rPr>
          <w:sz w:val="20"/>
          <w:szCs w:val="20"/>
          <w:color w:val="auto"/>
        </w:rPr>
      </w:pPr>
      <w:r>
        <w:rPr>
          <w:rFonts w:ascii="Times New Roman" w:cs="Times New Roman" w:eastAsia="Times New Roman" w:hAnsi="Times New Roman"/>
          <w:sz w:val="17"/>
          <w:szCs w:val="17"/>
          <w:color w:val="auto"/>
        </w:rPr>
        <w:t>The Company records a valuation allowance against deferred tax assets when determined that all or a portion of the deferred tax assets are not more likely than not to be realized based on all available evidence. During the fourth quarter of the year ended October 31, 2024, the Company completed the sale of the Fresh Cut business, which generated taxable income and, as a result, the Company was able to utilize all its federal net operating losses, and a portion of its state net operating losses. The Company’s domestic continuing operations have generated cumulative operating income for the last three years, and the Company expects the profitability trend to continue. Based on this evaluation, the Company determined that it is more likely than not for the Company to realize a majority of the deferred tax assets, with the exception of the federal and state capital loss carryforwards, and state tax credits. As of October 31, 2024 and 2023, there is a valuation allowance of $1.8 million and $4.9 million, respectively, against the deferred tax assets that are more likely not to be realized. During the year ended October 31, 2024, the Company decreased the valuation allowance against deferred income tax assets by $3.1 million. During the year ended October 31, 2023, the Company increased the valuation allowance against deferred income tax assets by $3.1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4" w:name="page65"/>
    <w:bookmarkEnd w:id="64"/>
    <w:p>
      <w:pPr>
        <w:ind w:left="40" w:right="219" w:firstLine="241"/>
        <w:spacing w:after="0" w:line="272" w:lineRule="auto"/>
        <w:rPr>
          <w:sz w:val="20"/>
          <w:szCs w:val="20"/>
          <w:color w:val="auto"/>
        </w:rPr>
      </w:pPr>
      <w:r>
        <w:rPr>
          <w:rFonts w:ascii="Times New Roman" w:cs="Times New Roman" w:eastAsia="Times New Roman" w:hAnsi="Times New Roman"/>
          <w:sz w:val="17"/>
          <w:szCs w:val="17"/>
          <w:color w:val="auto"/>
        </w:rPr>
        <w:t>A reconciliation of the significant differences between the federal statutory income tax rate and the effective income tax rate on pretax income from continuing operations for the years ended October 31, is as follows: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tax rate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8"/>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21.0</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8"/>
              </w:rPr>
              <w:t>%</w:t>
            </w:r>
          </w:p>
        </w:tc>
        <w:tc>
          <w:tcPr>
            <w:tcW w:w="8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21.0  %</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 of federal effects</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tax rate differential</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based compensation</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(0.6)</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(5.6)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Provision to return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(54.5)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tax on foreign income, net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center"/>
              <w:ind w:right="2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State rate change</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(0.1)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(22.1)</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Limits on executive compensation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center"/>
              <w:ind w:right="256"/>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permanent differences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(32.7)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25.3</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55.0</w:t>
            </w:r>
          </w:p>
        </w:tc>
        <w:tc>
          <w:tcPr>
            <w:tcW w:w="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9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7"/>
              </w:rPr>
              <w:t>(85.9)</w:t>
            </w:r>
          </w:p>
        </w:tc>
        <w:tc>
          <w:tcPr>
            <w:tcW w:w="340" w:type="dxa"/>
            <w:vAlign w:val="bottom"/>
            <w:tcBorders>
              <w:bottom w:val="single" w:sz="8" w:color="CCEEFF"/>
            </w:tcBorders>
            <w:shd w:val="clear" w:color="auto" w:fill="CCEEFF"/>
          </w:tcPr>
          <w:p>
            <w:pPr>
              <w:jc w:val="right"/>
              <w:ind w:right="116"/>
              <w:spacing w:after="0" w:line="194"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399" w:firstLine="301"/>
        <w:spacing w:after="0" w:line="272" w:lineRule="auto"/>
        <w:rPr>
          <w:sz w:val="20"/>
          <w:szCs w:val="20"/>
          <w:color w:val="auto"/>
        </w:rPr>
      </w:pPr>
      <w:r>
        <w:rPr>
          <w:rFonts w:ascii="Times New Roman" w:cs="Times New Roman" w:eastAsia="Times New Roman" w:hAnsi="Times New Roman"/>
          <w:sz w:val="17"/>
          <w:szCs w:val="17"/>
          <w:color w:val="auto"/>
        </w:rPr>
        <w:t>As of October 31, 2024, and 2023, we had $11.1 million for unrecognized tax benefits related primarily to the 2013 Mexico Assessment. See Note 7 for further information.</w:t>
      </w:r>
    </w:p>
    <w:p>
      <w:pPr>
        <w:spacing w:after="0" w:line="159" w:lineRule="exact"/>
        <w:rPr>
          <w:sz w:val="20"/>
          <w:szCs w:val="20"/>
          <w:color w:val="auto"/>
        </w:rPr>
      </w:pPr>
    </w:p>
    <w:p>
      <w:pPr>
        <w:ind w:left="40" w:right="339" w:firstLine="301"/>
        <w:spacing w:after="0" w:line="272" w:lineRule="auto"/>
        <w:rPr>
          <w:sz w:val="20"/>
          <w:szCs w:val="20"/>
          <w:color w:val="auto"/>
        </w:rPr>
      </w:pPr>
      <w:r>
        <w:rPr>
          <w:rFonts w:ascii="Times New Roman" w:cs="Times New Roman" w:eastAsia="Times New Roman" w:hAnsi="Times New Roman"/>
          <w:sz w:val="17"/>
          <w:szCs w:val="17"/>
          <w:color w:val="auto"/>
        </w:rPr>
        <w:t>A reconciliation of the beginning and ending amount of gross unrecognized taxes (exclusive of interest and penalties) was as follows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r>
      <w:tr>
        <w:trPr>
          <w:trHeight w:val="186"/>
        </w:trPr>
        <w:tc>
          <w:tcPr>
            <w:tcW w:w="7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3"/>
        </w:trPr>
        <w:tc>
          <w:tcPr>
            <w:tcW w:w="70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Beginning balance</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11,131</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11,131</w:t>
            </w:r>
          </w:p>
        </w:tc>
      </w:tr>
      <w:tr>
        <w:trPr>
          <w:trHeight w:val="20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Reductions based on tax positions related to prior periods</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increase - Tax positions in prior periods</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Gross increase - Tax positions in current period</w:t>
            </w: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3"/>
        </w:trPr>
        <w:tc>
          <w:tcPr>
            <w:tcW w:w="704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Ending balance</w:t>
            </w:r>
          </w:p>
        </w:tc>
        <w:tc>
          <w:tcPr>
            <w:tcW w:w="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11,131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11,131</w:t>
            </w:r>
          </w:p>
        </w:tc>
      </w:tr>
      <w:tr>
        <w:trPr>
          <w:trHeight w:val="20"/>
        </w:trPr>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79" w:firstLine="301"/>
        <w:spacing w:after="0" w:line="251" w:lineRule="auto"/>
        <w:rPr>
          <w:sz w:val="20"/>
          <w:szCs w:val="20"/>
          <w:color w:val="auto"/>
        </w:rPr>
      </w:pPr>
      <w:r>
        <w:rPr>
          <w:rFonts w:ascii="Times New Roman" w:cs="Times New Roman" w:eastAsia="Times New Roman" w:hAnsi="Times New Roman"/>
          <w:sz w:val="17"/>
          <w:szCs w:val="17"/>
          <w:color w:val="auto"/>
        </w:rPr>
        <w:t>Although it is reasonably possible that certain unrecognized tax benefits may increase or decrease within the next twelve months due to tax examination changes, settlement activities, expirations of statutes of limitations, or the impact on recognition and measurement considerations related to the results of published tax cases or other similar activities, the Company does not anticipate any significant changes to unrecognized tax benefits over the next 12 months. The Company accounts for income taxes regarding uncertain tax positions and recognized interest and penalties related to uncertain tax positions in income tax benefit/(expense) in the consolidated statements of operations.</w:t>
      </w:r>
    </w:p>
    <w:p>
      <w:pPr>
        <w:spacing w:after="0" w:line="178" w:lineRule="exact"/>
        <w:rPr>
          <w:sz w:val="20"/>
          <w:szCs w:val="20"/>
          <w:color w:val="auto"/>
        </w:rPr>
      </w:pPr>
    </w:p>
    <w:p>
      <w:pPr>
        <w:jc w:val="both"/>
        <w:ind w:left="40" w:right="119" w:firstLine="301"/>
        <w:spacing w:after="0" w:line="259" w:lineRule="auto"/>
        <w:rPr>
          <w:sz w:val="20"/>
          <w:szCs w:val="20"/>
          <w:color w:val="auto"/>
        </w:rPr>
      </w:pPr>
      <w:r>
        <w:rPr>
          <w:rFonts w:ascii="Times New Roman" w:cs="Times New Roman" w:eastAsia="Times New Roman" w:hAnsi="Times New Roman"/>
          <w:sz w:val="17"/>
          <w:szCs w:val="17"/>
          <w:color w:val="auto"/>
        </w:rPr>
        <w:t>We are subject to U.S. federal income tax as well as income of multiple state tax and foreign tax jurisdictions. We are no longer subject to U.S. income tax examinations for the fiscal years prior to October 31, 2021, and are no longer subject to state income tax examinations for fiscal years prior to October 31, 2020.</w:t>
      </w:r>
    </w:p>
    <w:p>
      <w:pPr>
        <w:spacing w:after="0" w:line="207" w:lineRule="exact"/>
        <w:rPr>
          <w:sz w:val="20"/>
          <w:szCs w:val="20"/>
          <w:color w:val="auto"/>
        </w:rPr>
      </w:pPr>
    </w:p>
    <w:p>
      <w:pPr>
        <w:ind w:left="40" w:right="199" w:firstLine="241"/>
        <w:spacing w:after="0" w:line="255" w:lineRule="auto"/>
        <w:rPr>
          <w:sz w:val="20"/>
          <w:szCs w:val="20"/>
          <w:color w:val="auto"/>
        </w:rPr>
      </w:pPr>
      <w:r>
        <w:rPr>
          <w:rFonts w:ascii="Times New Roman" w:cs="Times New Roman" w:eastAsia="Times New Roman" w:hAnsi="Times New Roman"/>
          <w:sz w:val="17"/>
          <w:szCs w:val="17"/>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210" w:lineRule="exact"/>
        <w:rPr>
          <w:sz w:val="20"/>
          <w:szCs w:val="20"/>
          <w:color w:val="auto"/>
        </w:rPr>
      </w:pPr>
    </w:p>
    <w:p>
      <w:pPr>
        <w:ind w:left="40" w:right="79" w:firstLine="241"/>
        <w:spacing w:after="0" w:line="255" w:lineRule="auto"/>
        <w:rPr>
          <w:sz w:val="20"/>
          <w:szCs w:val="20"/>
          <w:color w:val="auto"/>
        </w:rPr>
      </w:pPr>
      <w:r>
        <w:rPr>
          <w:rFonts w:ascii="Times New Roman" w:cs="Times New Roman" w:eastAsia="Times New Roman" w:hAnsi="Times New Roman"/>
          <w:sz w:val="17"/>
          <w:szCs w:val="17"/>
          <w:color w:val="auto"/>
        </w:rPr>
        <w:t>In 2021, the Organization for Economic Cooperation and Development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Pillar Two is not expected to materially impact our effective tax rate or cash flows in the next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5" w:name="page66"/>
    <w:bookmarkEnd w:id="65"/>
    <w:p>
      <w:pPr>
        <w:jc w:val="both"/>
        <w:ind w:left="40" w:right="219"/>
        <w:spacing w:after="0" w:line="259" w:lineRule="auto"/>
        <w:rPr>
          <w:sz w:val="20"/>
          <w:szCs w:val="20"/>
          <w:color w:val="auto"/>
        </w:rPr>
      </w:pPr>
      <w:r>
        <w:rPr>
          <w:rFonts w:ascii="Times New Roman" w:cs="Times New Roman" w:eastAsia="Times New Roman" w:hAnsi="Times New Roman"/>
          <w:sz w:val="17"/>
          <w:szCs w:val="17"/>
          <w:color w:val="auto"/>
        </w:rPr>
        <w:t>fiscal year. New legislation or guidance could change our current assessment. We are continuing to evaluate the impacts of enacted legislation and pending legislation to enact Pillar Two Model Rules in Mexico where we operate. Mexico plans to apply Pillar Two regulation starting in 2025.</w:t>
      </w:r>
    </w:p>
    <w:p>
      <w:pPr>
        <w:spacing w:after="0" w:line="203" w:lineRule="exact"/>
        <w:rPr>
          <w:sz w:val="20"/>
          <w:szCs w:val="20"/>
          <w:color w:val="auto"/>
        </w:rPr>
      </w:pPr>
    </w:p>
    <w:p>
      <w:pPr>
        <w:ind w:left="460" w:hanging="422"/>
        <w:spacing w:after="0"/>
        <w:tabs>
          <w:tab w:leader="none" w:pos="46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10" w:lineRule="exact"/>
        <w:rPr>
          <w:sz w:val="20"/>
          <w:szCs w:val="20"/>
          <w:color w:val="auto"/>
        </w:rPr>
      </w:pPr>
    </w:p>
    <w:p>
      <w:pPr>
        <w:ind w:left="40" w:right="99" w:firstLine="241"/>
        <w:spacing w:after="0" w:line="255" w:lineRule="auto"/>
        <w:rPr>
          <w:sz w:val="20"/>
          <w:szCs w:val="20"/>
          <w:color w:val="auto"/>
        </w:rPr>
      </w:pPr>
      <w:r>
        <w:rPr>
          <w:rFonts w:ascii="Times New Roman" w:cs="Times New Roman" w:eastAsia="Times New Roman" w:hAnsi="Times New Roman"/>
          <w:sz w:val="17"/>
          <w:szCs w:val="17"/>
          <w:color w:val="auto"/>
        </w:rPr>
        <w:t>Prior to the decision to divest our Fresh Cut business (formerly RFG), the Company’s Prepared reporting segment included the Fresh Cut business unit and our Guacamole business. As a result of the divestiture, the Fresh Cut business unit is no longer included in our Prepared business segment and is not included in the tables below. All segment information included herein reflects these changes. See Note 16 for further information.</w:t>
      </w:r>
    </w:p>
    <w:p>
      <w:pPr>
        <w:spacing w:after="0" w:line="172" w:lineRule="exact"/>
        <w:rPr>
          <w:sz w:val="20"/>
          <w:szCs w:val="20"/>
          <w:color w:val="auto"/>
        </w:rPr>
      </w:pPr>
    </w:p>
    <w:p>
      <w:pPr>
        <w:ind w:left="40" w:right="259" w:firstLine="241"/>
        <w:spacing w:after="0" w:line="251" w:lineRule="auto"/>
        <w:rPr>
          <w:sz w:val="20"/>
          <w:szCs w:val="20"/>
          <w:color w:val="auto"/>
        </w:rPr>
      </w:pPr>
      <w:r>
        <w:rPr>
          <w:rFonts w:ascii="Times New Roman" w:cs="Times New Roman" w:eastAsia="Times New Roman" w:hAnsi="Times New Roman"/>
          <w:sz w:val="17"/>
          <w:szCs w:val="17"/>
          <w:color w:val="auto"/>
        </w:rPr>
        <w:t>We report our operations in two different business segments: Grown and Prepared. The Grown segment consists of fresh avocados, tomatoes and papayas. The Prepared segment consists of our guacamole products sold to retailers and foodservice companies as well as avocado pulp sold to foodservice companies. These two business segments are presented based on how information is used by our Chief Executive Officer to measure performance and allocate resources. Selling, general and administrative expenses, as well as other non-operating income/expense items, are evaluated by our Chief Executive Officer in the aggregate. We do not allocate assets, or specifically identify them, to our operating segments.</w:t>
      </w:r>
    </w:p>
    <w:p>
      <w:pPr>
        <w:spacing w:after="0" w:line="17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 sets forth sales, cost of sales, and gross profit by segment (in thousands):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42"/>
              <w:spacing w:after="0"/>
              <w:rPr>
                <w:sz w:val="20"/>
                <w:szCs w:val="20"/>
                <w:color w:val="auto"/>
              </w:rPr>
            </w:pPr>
            <w:r>
              <w:rPr>
                <w:rFonts w:ascii="Times New Roman" w:cs="Times New Roman" w:eastAsia="Times New Roman" w:hAnsi="Times New Roman"/>
                <w:sz w:val="13"/>
                <w:szCs w:val="13"/>
                <w:b w:val="1"/>
                <w:bCs w:val="1"/>
                <w:color w:val="auto"/>
              </w:rPr>
              <w:t>Grown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Prepared</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in</w:t>
            </w: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w w:val="94"/>
              </w:rPr>
              <w:t>(All amounts</w:t>
            </w:r>
          </w:p>
        </w:tc>
        <w:tc>
          <w:tcPr>
            <w:tcW w:w="820" w:type="dxa"/>
            <w:vAlign w:val="bottom"/>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are presented</w:t>
            </w:r>
          </w:p>
        </w:tc>
        <w:tc>
          <w:tcPr>
            <w:tcW w:w="160" w:type="dxa"/>
            <w:vAlign w:val="bottom"/>
            <w:vMerge w:val="continue"/>
          </w:tcPr>
          <w:p>
            <w:pPr>
              <w:spacing w:after="0"/>
              <w:rPr>
                <w:sz w:val="10"/>
                <w:szCs w:val="10"/>
                <w:color w:val="auto"/>
              </w:rPr>
            </w:pPr>
          </w:p>
        </w:tc>
        <w:tc>
          <w:tcPr>
            <w:tcW w:w="980" w:type="dxa"/>
            <w:vAlign w:val="bottom"/>
            <w:gridSpan w:val="3"/>
          </w:tcPr>
          <w:p>
            <w:pPr>
              <w:jc w:val="right"/>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thousands)</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October 31, 2024</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597,624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63,920</w:t>
            </w:r>
          </w:p>
        </w:tc>
        <w:tc>
          <w:tcPr>
            <w:tcW w:w="4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661,544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542,356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51,384</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593,740</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4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55,268</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12,536</w:t>
            </w: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14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67,804</w:t>
            </w:r>
          </w:p>
        </w:tc>
        <w:tc>
          <w:tcPr>
            <w:tcW w:w="10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 ended October 31, 2023</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527,396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66,706</w:t>
            </w:r>
          </w:p>
        </w:tc>
        <w:tc>
          <w:tcPr>
            <w:tcW w:w="4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594,102</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476,862</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54,628</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531,490</w:t>
            </w:r>
          </w:p>
        </w:tc>
        <w:tc>
          <w:tcPr>
            <w:tcW w:w="10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50,534</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12,078</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62,612</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3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 ended October 31, 2022</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Net sales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698,205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71,486</w:t>
            </w:r>
          </w:p>
        </w:tc>
        <w:tc>
          <w:tcPr>
            <w:tcW w:w="460" w:type="dxa"/>
            <w:vAlign w:val="bottom"/>
            <w:gridSpan w:val="2"/>
          </w:tcPr>
          <w:p>
            <w:pPr>
              <w:jc w:val="right"/>
              <w:ind w:right="14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769,691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648,040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66,909</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714,949</w:t>
            </w: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Gross profit</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50,165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tcPr>
          <w:p>
            <w:pPr>
              <w:jc w:val="right"/>
              <w:spacing w:after="0" w:line="194" w:lineRule="exact"/>
              <w:rPr>
                <w:sz w:val="20"/>
                <w:szCs w:val="20"/>
                <w:color w:val="auto"/>
              </w:rPr>
            </w:pPr>
            <w:r>
              <w:rPr>
                <w:rFonts w:ascii="Times New Roman" w:cs="Times New Roman" w:eastAsia="Times New Roman" w:hAnsi="Times New Roman"/>
                <w:sz w:val="17"/>
                <w:szCs w:val="17"/>
                <w:color w:val="auto"/>
              </w:rPr>
              <w:t>4,577</w:t>
            </w:r>
          </w:p>
        </w:tc>
        <w:tc>
          <w:tcPr>
            <w:tcW w:w="16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54,742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6000" w:type="dxa"/>
            <w:vAlign w:val="bottom"/>
            <w:gridSpan w:val="7"/>
          </w:tcPr>
          <w:p>
            <w:pPr>
              <w:jc w:val="right"/>
              <w:ind w:right="96"/>
              <w:spacing w:after="0"/>
              <w:rPr>
                <w:sz w:val="20"/>
                <w:szCs w:val="20"/>
                <w:color w:val="auto"/>
              </w:rPr>
            </w:pPr>
            <w:r>
              <w:rPr>
                <w:rFonts w:ascii="Times New Roman" w:cs="Times New Roman" w:eastAsia="Times New Roman" w:hAnsi="Times New Roman"/>
                <w:sz w:val="17"/>
                <w:szCs w:val="17"/>
                <w:color w:val="auto"/>
              </w:rPr>
              <w:t>The following table sets forth sales by product category, by segment (in thousands):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7"/>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Year Ended October 31,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October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40" w:type="dxa"/>
            <w:vAlign w:val="bottom"/>
            <w:tcBorders>
              <w:top w:val="single" w:sz="8" w:color="auto"/>
              <w:bottom w:val="single" w:sz="8" w:color="auto"/>
            </w:tcBorders>
            <w:gridSpan w:val="3"/>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22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82"/>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60" w:type="dxa"/>
            <w:vAlign w:val="bottom"/>
            <w:tcBorders>
              <w:top w:val="single" w:sz="8" w:color="auto"/>
              <w:bottom w:val="single" w:sz="8" w:color="auto"/>
            </w:tcBorders>
            <w:gridSpan w:val="3"/>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Avocados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534,413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534,413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466,385</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466,385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Tomatoes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54,660</w:t>
            </w: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54,660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54,669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Papayas</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11,573</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11,573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10,432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fresh income</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Guacamole</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71,468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71,468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73,068</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73,068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Salsa</w:t>
            </w:r>
          </w:p>
        </w:tc>
        <w:tc>
          <w:tcPr>
            <w:tcW w:w="14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796</w:t>
            </w:r>
          </w:p>
        </w:tc>
        <w:tc>
          <w:tcPr>
            <w:tcW w:w="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gross sales</w:t>
            </w: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600,654</w:t>
            </w:r>
          </w:p>
        </w:tc>
        <w:tc>
          <w:tcPr>
            <w:tcW w:w="1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71,468</w:t>
            </w: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672,122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531,586</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73,864</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605,450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sales allowances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w:t>
            </w:r>
          </w:p>
        </w:tc>
        <w:tc>
          <w:tcPr>
            <w:tcW w:w="14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(7,548)</w:t>
            </w: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(10,578)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2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(7,158)</w:t>
            </w:r>
          </w:p>
        </w:tc>
        <w:tc>
          <w:tcPr>
            <w:tcW w:w="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(11,348)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597,624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661,544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527,396</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6"/>
              </w:rPr>
              <w:t>66,706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594,102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40" w:type="dxa"/>
            <w:vAlign w:val="bottom"/>
            <w:vMerge w:val="restart"/>
          </w:tcPr>
          <w:p>
            <w:pPr>
              <w:jc w:val="right"/>
              <w:ind w:right="41"/>
              <w:spacing w:after="0"/>
              <w:rPr>
                <w:sz w:val="20"/>
                <w:szCs w:val="20"/>
                <w:color w:val="auto"/>
              </w:rPr>
            </w:pPr>
            <w:r>
              <w:rPr>
                <w:rFonts w:ascii="Times New Roman" w:cs="Times New Roman" w:eastAsia="Times New Roman" w:hAnsi="Times New Roman"/>
                <w:sz w:val="17"/>
                <w:szCs w:val="17"/>
                <w:color w:val="auto"/>
              </w:rPr>
              <w:t>66</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75" w:right="1440" w:bottom="1440" w:gutter="0" w:footer="0" w:header="0"/>
        </w:sectPr>
      </w:pPr>
    </w:p>
    <w:bookmarkStart w:id="66" w:name="page67"/>
    <w:bookmarkEnd w:id="66"/>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Year Ended October 31, 2023</w:t>
            </w:r>
          </w:p>
        </w:tc>
        <w:tc>
          <w:tcPr>
            <w:tcW w:w="120" w:type="dxa"/>
            <w:vAlign w:val="bottom"/>
          </w:tcPr>
          <w:p>
            <w:pPr>
              <w:spacing w:after="0"/>
              <w:rPr>
                <w:sz w:val="14"/>
                <w:szCs w:val="14"/>
                <w:color w:val="auto"/>
              </w:rPr>
            </w:pPr>
          </w:p>
        </w:tc>
        <w:tc>
          <w:tcPr>
            <w:tcW w:w="206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 October 31, 2022</w:t>
            </w:r>
          </w:p>
        </w:tc>
      </w:tr>
      <w:tr>
        <w:trPr>
          <w:trHeight w:val="130"/>
        </w:trPr>
        <w:tc>
          <w:tcPr>
            <w:tcW w:w="47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46"/>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6"/>
              <w:spacing w:after="0" w:line="131" w:lineRule="exact"/>
              <w:rPr>
                <w:sz w:val="20"/>
                <w:szCs w:val="20"/>
                <w:color w:val="auto"/>
              </w:rPr>
            </w:pPr>
            <w:r>
              <w:rPr>
                <w:rFonts w:ascii="Times New Roman" w:cs="Times New Roman" w:eastAsia="Times New Roman" w:hAnsi="Times New Roman"/>
                <w:sz w:val="13"/>
                <w:szCs w:val="13"/>
                <w:b w:val="1"/>
                <w:bCs w:val="1"/>
                <w:color w:val="auto"/>
              </w:rPr>
              <w:t>Grown</w:t>
            </w:r>
          </w:p>
        </w:tc>
        <w:tc>
          <w:tcPr>
            <w:tcW w:w="660" w:type="dxa"/>
            <w:vAlign w:val="bottom"/>
            <w:tcBorders>
              <w:top w:val="single" w:sz="8" w:color="auto"/>
              <w:bottom w:val="single" w:sz="8" w:color="auto"/>
            </w:tcBorders>
            <w:gridSpan w:val="2"/>
          </w:tcPr>
          <w:p>
            <w:pPr>
              <w:jc w:val="right"/>
              <w:ind w:right="5"/>
              <w:spacing w:after="0" w:line="131" w:lineRule="exact"/>
              <w:rPr>
                <w:sz w:val="20"/>
                <w:szCs w:val="20"/>
                <w:color w:val="auto"/>
              </w:rPr>
            </w:pPr>
            <w:r>
              <w:rPr>
                <w:rFonts w:ascii="Times New Roman" w:cs="Times New Roman" w:eastAsia="Times New Roman" w:hAnsi="Times New Roman"/>
                <w:sz w:val="13"/>
                <w:szCs w:val="13"/>
                <w:b w:val="1"/>
                <w:bCs w:val="1"/>
                <w:color w:val="auto"/>
              </w:rPr>
              <w:t>Prepared</w:t>
            </w: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66"/>
              <w:spacing w:after="0" w:line="131"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1"/>
                <w:szCs w:val="11"/>
                <w:color w:val="auto"/>
              </w:rPr>
            </w:pPr>
          </w:p>
        </w:tc>
      </w:tr>
      <w:tr>
        <w:trPr>
          <w:trHeight w:val="130"/>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Avocados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466,385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466,385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645,944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645,944</w:t>
            </w:r>
          </w:p>
        </w:tc>
        <w:tc>
          <w:tcPr>
            <w:tcW w:w="20" w:type="dxa"/>
            <w:vAlign w:val="bottom"/>
          </w:tcPr>
          <w:p>
            <w:pPr>
              <w:spacing w:after="0"/>
              <w:rPr>
                <w:sz w:val="16"/>
                <w:szCs w:val="16"/>
                <w:color w:val="auto"/>
              </w:rPr>
            </w:pPr>
          </w:p>
        </w:tc>
      </w:tr>
      <w:tr>
        <w:trPr>
          <w:trHeight w:val="188"/>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Tomatoes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54,669</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54,669</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45,223</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45,223</w:t>
            </w:r>
          </w:p>
        </w:tc>
        <w:tc>
          <w:tcPr>
            <w:tcW w:w="20" w:type="dxa"/>
            <w:vAlign w:val="bottom"/>
          </w:tcPr>
          <w:p>
            <w:pPr>
              <w:spacing w:after="0"/>
              <w:rPr>
                <w:sz w:val="16"/>
                <w:szCs w:val="16"/>
                <w:color w:val="auto"/>
              </w:rPr>
            </w:pPr>
          </w:p>
        </w:tc>
      </w:tr>
      <w:tr>
        <w:trPr>
          <w:trHeight w:val="18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Papayas</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w:t>
            </w:r>
          </w:p>
        </w:tc>
        <w:tc>
          <w:tcPr>
            <w:tcW w:w="20" w:type="dxa"/>
            <w:vAlign w:val="bottom"/>
          </w:tcPr>
          <w:p>
            <w:pPr>
              <w:spacing w:after="0"/>
              <w:rPr>
                <w:sz w:val="16"/>
                <w:szCs w:val="16"/>
                <w:color w:val="auto"/>
              </w:rPr>
            </w:pPr>
          </w:p>
        </w:tc>
      </w:tr>
      <w:tr>
        <w:trPr>
          <w:trHeight w:val="188"/>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Other fresh income</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20" w:type="dxa"/>
            <w:vAlign w:val="bottom"/>
          </w:tcPr>
          <w:p>
            <w:pPr>
              <w:spacing w:after="0"/>
              <w:rPr>
                <w:sz w:val="16"/>
                <w:szCs w:val="16"/>
                <w:color w:val="auto"/>
              </w:rPr>
            </w:pPr>
          </w:p>
        </w:tc>
      </w:tr>
      <w:tr>
        <w:trPr>
          <w:trHeight w:val="188"/>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Guacamole</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73,068</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73,068</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77,143</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77,143</w:t>
            </w:r>
          </w:p>
        </w:tc>
        <w:tc>
          <w:tcPr>
            <w:tcW w:w="20" w:type="dxa"/>
            <w:vAlign w:val="bottom"/>
          </w:tcPr>
          <w:p>
            <w:pPr>
              <w:spacing w:after="0"/>
              <w:rPr>
                <w:sz w:val="16"/>
                <w:szCs w:val="16"/>
                <w:color w:val="auto"/>
              </w:rPr>
            </w:pPr>
          </w:p>
        </w:tc>
      </w:tr>
      <w:tr>
        <w:trPr>
          <w:trHeight w:val="188"/>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Salsa</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20" w:type="dxa"/>
            <w:vAlign w:val="bottom"/>
          </w:tcPr>
          <w:p>
            <w:pPr>
              <w:spacing w:after="0"/>
              <w:rPr>
                <w:sz w:val="16"/>
                <w:szCs w:val="16"/>
                <w:color w:val="auto"/>
              </w:rPr>
            </w:pPr>
          </w:p>
        </w:tc>
      </w:tr>
      <w:tr>
        <w:trPr>
          <w:trHeight w:val="181"/>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gross sales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531,586</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73,864</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605,450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702,712</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79,003</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781,715</w:t>
            </w:r>
          </w:p>
        </w:tc>
        <w:tc>
          <w:tcPr>
            <w:tcW w:w="20" w:type="dxa"/>
            <w:vAlign w:val="bottom"/>
          </w:tcPr>
          <w:p>
            <w:pPr>
              <w:spacing w:after="0"/>
              <w:rPr>
                <w:sz w:val="15"/>
                <w:szCs w:val="15"/>
                <w:color w:val="auto"/>
              </w:rPr>
            </w:pPr>
          </w:p>
        </w:tc>
      </w:tr>
      <w:tr>
        <w:trPr>
          <w:trHeight w:val="188"/>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Less sales allowances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(4,190)</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(7,158)</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(11,348)</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(4,507)</w:t>
            </w: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(7,517)</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(12,024)</w:t>
            </w:r>
          </w:p>
        </w:tc>
        <w:tc>
          <w:tcPr>
            <w:tcW w:w="20" w:type="dxa"/>
            <w:vAlign w:val="bottom"/>
          </w:tcPr>
          <w:p>
            <w:pPr>
              <w:spacing w:after="0"/>
              <w:rPr>
                <w:sz w:val="16"/>
                <w:szCs w:val="16"/>
                <w:color w:val="auto"/>
              </w:rPr>
            </w:pPr>
          </w:p>
        </w:tc>
      </w:tr>
      <w:tr>
        <w:trPr>
          <w:trHeight w:val="181"/>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527,396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66,706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594,102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698,205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71,486</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769,691</w:t>
            </w:r>
          </w:p>
        </w:tc>
        <w:tc>
          <w:tcPr>
            <w:tcW w:w="20" w:type="dxa"/>
            <w:vAlign w:val="bottom"/>
          </w:tcPr>
          <w:p>
            <w:pPr>
              <w:spacing w:after="0"/>
              <w:rPr>
                <w:sz w:val="15"/>
                <w:szCs w:val="15"/>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right="420" w:firstLine="226"/>
        <w:spacing w:after="0" w:line="272" w:lineRule="auto"/>
        <w:rPr>
          <w:sz w:val="20"/>
          <w:szCs w:val="20"/>
          <w:color w:val="auto"/>
        </w:rPr>
      </w:pPr>
      <w:r>
        <w:rPr>
          <w:rFonts w:ascii="Times New Roman" w:cs="Times New Roman" w:eastAsia="Times New Roman" w:hAnsi="Times New Roman"/>
          <w:sz w:val="17"/>
          <w:szCs w:val="17"/>
          <w:color w:val="auto"/>
        </w:rPr>
        <w:t>Sales to customers outside the U.S. were approximately $38.6 million, $34.6 million and $27.8 million for fiscal years 2024, 2023, and 2022, respectively.</w:t>
      </w:r>
    </w:p>
    <w:p>
      <w:pPr>
        <w:spacing w:after="0" w:line="159" w:lineRule="exact"/>
        <w:rPr>
          <w:sz w:val="20"/>
          <w:szCs w:val="20"/>
          <w:color w:val="auto"/>
        </w:rPr>
      </w:pPr>
    </w:p>
    <w:p>
      <w:pPr>
        <w:ind w:left="40" w:right="400" w:firstLine="226"/>
        <w:spacing w:after="0" w:line="272" w:lineRule="auto"/>
        <w:rPr>
          <w:sz w:val="20"/>
          <w:szCs w:val="20"/>
          <w:color w:val="auto"/>
        </w:rPr>
      </w:pPr>
      <w:r>
        <w:rPr>
          <w:rFonts w:ascii="Times New Roman" w:cs="Times New Roman" w:eastAsia="Times New Roman" w:hAnsi="Times New Roman"/>
          <w:sz w:val="17"/>
          <w:szCs w:val="17"/>
          <w:color w:val="auto"/>
        </w:rPr>
        <w:t>Our goodwill balance of $10.2 million is attributed by segment to Grown for $4.0 million and Prepared for $6.2 million as of October 31, 2024 and 2023.</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Long-lived assets attributed to geographic areas as of October 31, are as follows (in thousands):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60" w:type="dxa"/>
            <w:vAlign w:val="bottom"/>
          </w:tcPr>
          <w:p>
            <w:pPr>
              <w:spacing w:after="0"/>
              <w:rPr>
                <w:sz w:val="14"/>
                <w:szCs w:val="14"/>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Mexico</w:t>
            </w: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20" w:type="dxa"/>
            <w:vAlign w:val="bottom"/>
          </w:tcPr>
          <w:p>
            <w:pPr>
              <w:spacing w:after="0"/>
              <w:rPr>
                <w:sz w:val="14"/>
                <w:szCs w:val="14"/>
                <w:color w:val="auto"/>
              </w:rPr>
            </w:pPr>
          </w:p>
        </w:tc>
      </w:tr>
      <w:tr>
        <w:trPr>
          <w:trHeight w:val="193"/>
        </w:trPr>
        <w:tc>
          <w:tcPr>
            <w:tcW w:w="60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October 31, 2024</w:t>
            </w:r>
          </w:p>
        </w:tc>
        <w:tc>
          <w:tcPr>
            <w:tcW w:w="220" w:type="dxa"/>
            <w:vAlign w:val="bottom"/>
            <w:tcBorders>
              <w:top w:val="single" w:sz="8" w:color="auto"/>
            </w:tcBorders>
            <w:shd w:val="clear" w:color="auto" w:fill="CCEEFF"/>
          </w:tcPr>
          <w:p>
            <w:pPr>
              <w:jc w:val="right"/>
              <w:ind w:right="42"/>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24,531</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29,669</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gridSpan w:val="2"/>
            <w:shd w:val="clear" w:color="auto" w:fill="CCEEFF"/>
          </w:tcPr>
          <w:p>
            <w:pPr>
              <w:jc w:val="right"/>
              <w:ind w:right="36"/>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ind w:right="40"/>
              <w:spacing w:after="0" w:line="194" w:lineRule="exact"/>
              <w:rPr>
                <w:sz w:val="20"/>
                <w:szCs w:val="20"/>
                <w:color w:val="auto"/>
              </w:rPr>
            </w:pPr>
            <w:r>
              <w:rPr>
                <w:rFonts w:ascii="Times New Roman" w:cs="Times New Roman" w:eastAsia="Times New Roman" w:hAnsi="Times New Roman"/>
                <w:sz w:val="17"/>
                <w:szCs w:val="17"/>
                <w:color w:val="auto"/>
              </w:rPr>
              <w:t>54,200</w:t>
            </w:r>
          </w:p>
        </w:tc>
        <w:tc>
          <w:tcPr>
            <w:tcW w:w="20" w:type="dxa"/>
            <w:vAlign w:val="bottom"/>
          </w:tcPr>
          <w:p>
            <w:pPr>
              <w:spacing w:after="0"/>
              <w:rPr>
                <w:sz w:val="16"/>
                <w:szCs w:val="16"/>
                <w:color w:val="auto"/>
              </w:rPr>
            </w:pPr>
          </w:p>
        </w:tc>
      </w:tr>
      <w:tr>
        <w:trPr>
          <w:trHeight w:val="217"/>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October 31, 2023</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60,924</w:t>
            </w:r>
          </w:p>
        </w:tc>
        <w:tc>
          <w:tcPr>
            <w:tcW w:w="20" w:type="dxa"/>
            <w:vAlign w:val="bottom"/>
          </w:tcPr>
          <w:p>
            <w:pPr>
              <w:spacing w:after="0"/>
              <w:rPr>
                <w:sz w:val="18"/>
                <w:szCs w:val="18"/>
                <w:color w:val="auto"/>
              </w:rPr>
            </w:pPr>
          </w:p>
        </w:tc>
      </w:tr>
      <w:tr>
        <w:trPr>
          <w:trHeight w:val="397"/>
        </w:trPr>
        <w:tc>
          <w:tcPr>
            <w:tcW w:w="6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Long-Term Obligations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1"/>
        </w:trPr>
        <w:tc>
          <w:tcPr>
            <w:tcW w:w="602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Long-term obligations at fiscal year ends consist of the following (in thousands):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6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193"/>
        </w:trPr>
        <w:tc>
          <w:tcPr>
            <w:tcW w:w="6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Finance leases</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5,148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5,476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1"/>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r>
      <w:tr>
        <w:trPr>
          <w:trHeight w:val="193"/>
        </w:trPr>
        <w:tc>
          <w:tcPr>
            <w:tcW w:w="6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4,274</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4,645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20"/>
        </w:trPr>
        <w:tc>
          <w:tcPr>
            <w:tcW w:w="6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See Note 15 for additional information.</w:t>
      </w:r>
    </w:p>
    <w:p>
      <w:pPr>
        <w:spacing w:after="0" w:line="214" w:lineRule="exact"/>
        <w:rPr>
          <w:sz w:val="20"/>
          <w:szCs w:val="20"/>
          <w:color w:val="auto"/>
        </w:rPr>
      </w:pPr>
    </w:p>
    <w:p>
      <w:pPr>
        <w:ind w:left="40"/>
        <w:spacing w:after="0"/>
        <w:tabs>
          <w:tab w:leader="none" w:pos="440" w:val="left"/>
        </w:tabs>
        <w:rPr>
          <w:sz w:val="20"/>
          <w:szCs w:val="20"/>
          <w:color w:val="auto"/>
        </w:rPr>
      </w:pPr>
      <w:r>
        <w:rPr>
          <w:rFonts w:ascii="Times New Roman" w:cs="Times New Roman" w:eastAsia="Times New Roman" w:hAnsi="Times New Roman"/>
          <w:sz w:val="17"/>
          <w:szCs w:val="17"/>
          <w:b w:val="1"/>
          <w:bCs w:val="1"/>
          <w:color w:val="auto"/>
        </w:rPr>
        <w:t>12.</w:t>
        <w:tab/>
        <w:t>Stock-Based Compensation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The 2020 Equity Incentive Plan</w:t>
      </w:r>
    </w:p>
    <w:p>
      <w:pPr>
        <w:spacing w:after="0" w:line="210" w:lineRule="exact"/>
        <w:rPr>
          <w:sz w:val="20"/>
          <w:szCs w:val="20"/>
          <w:color w:val="auto"/>
        </w:rPr>
      </w:pPr>
    </w:p>
    <w:p>
      <w:pPr>
        <w:ind w:left="40" w:right="80" w:firstLine="241"/>
        <w:spacing w:after="0" w:line="255" w:lineRule="auto"/>
        <w:rPr>
          <w:sz w:val="20"/>
          <w:szCs w:val="20"/>
          <w:color w:val="auto"/>
        </w:rPr>
      </w:pPr>
      <w:r>
        <w:rPr>
          <w:rFonts w:ascii="Times New Roman" w:cs="Times New Roman" w:eastAsia="Times New Roman" w:hAnsi="Times New Roman"/>
          <w:sz w:val="17"/>
          <w:szCs w:val="17"/>
          <w:color w:val="auto"/>
        </w:rPr>
        <w:t>In April 2021, our shareholders approved the Calavo Growers, Inc. 2020 Equity Incentive Plan (the 2020 Plan). All directors, officers, employees and consultants (including prospective directors, officers, employees and consultants) of Calavo and its subsidiaries are eligible to receive awards under the 2020 Plan. This is a five-year plan, with up to 1,500,000 shares issuable through December 9, 2025.</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Restricted Stock Awards (RSAs)</w:t>
      </w:r>
    </w:p>
    <w:p>
      <w:pPr>
        <w:spacing w:after="0" w:line="210" w:lineRule="exact"/>
        <w:rPr>
          <w:sz w:val="20"/>
          <w:szCs w:val="20"/>
          <w:color w:val="auto"/>
        </w:rPr>
      </w:pPr>
    </w:p>
    <w:p>
      <w:pPr>
        <w:jc w:val="both"/>
        <w:ind w:left="40" w:right="200" w:firstLine="241"/>
        <w:spacing w:after="0" w:line="259" w:lineRule="auto"/>
        <w:rPr>
          <w:sz w:val="20"/>
          <w:szCs w:val="20"/>
          <w:color w:val="auto"/>
        </w:rPr>
      </w:pPr>
      <w:r>
        <w:rPr>
          <w:rFonts w:ascii="Times New Roman" w:cs="Times New Roman" w:eastAsia="Times New Roman" w:hAnsi="Times New Roman"/>
          <w:sz w:val="17"/>
          <w:szCs w:val="17"/>
          <w:color w:val="auto"/>
        </w:rPr>
        <w:t>The total recognized stock-based compensation expense for restricted stock awards was less than $0.1 million and $2.3 million for the year ended October 31, 2024 and 2023. As of October 31, 2024, there was no unrecognized stock-based compensation costs related to non-vested RSAs. All RSAs are vested as of October 31, 2024.</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Restricted Stock Units (RSUs) and Performance Restricted Stock Units (PRSUs)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20"/>
          </w:cols>
          <w:pgMar w:left="1440" w:top="780" w:right="1439" w:bottom="1440" w:gutter="0" w:footer="0" w:header="0"/>
        </w:sectPr>
      </w:pPr>
    </w:p>
    <w:bookmarkStart w:id="67" w:name="page68"/>
    <w:bookmarkEnd w:id="67"/>
    <w:p>
      <w:pPr>
        <w:jc w:val="both"/>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The total recognized stock-based compensation expense for RSUs was $1.4 million and $1.6 million for the year ended October 31, 2024 and 2023. As of October 31, 2024, there was $0.3 million of unrecognized stock-based compensation costs related to non-vested RSUs, which the Company expects to recognize over a weighted-average period of 0.3 years.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A combined summary of RSU activity, related to our 2020 Plan, is as follows (in thousands, except for per share amounts):</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400" w:type="dxa"/>
            <w:vAlign w:val="bottom"/>
          </w:tcPr>
          <w:p>
            <w:pPr>
              <w:spacing w:after="0"/>
              <w:rPr>
                <w:sz w:val="12"/>
                <w:szCs w:val="1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140" w:type="dxa"/>
            <w:vAlign w:val="bottom"/>
          </w:tcPr>
          <w:p>
            <w:pPr>
              <w:spacing w:after="0"/>
              <w:rPr>
                <w:sz w:val="12"/>
                <w:szCs w:val="12"/>
                <w:color w:val="auto"/>
              </w:rPr>
            </w:pPr>
          </w:p>
        </w:tc>
        <w:tc>
          <w:tcPr>
            <w:tcW w:w="80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Aggregate</w:t>
            </w:r>
          </w:p>
        </w:tc>
      </w:tr>
      <w:tr>
        <w:trPr>
          <w:trHeight w:val="150"/>
        </w:trPr>
        <w:tc>
          <w:tcPr>
            <w:tcW w:w="5400" w:type="dxa"/>
            <w:vAlign w:val="bottom"/>
          </w:tcPr>
          <w:p>
            <w:pPr>
              <w:spacing w:after="0"/>
              <w:rPr>
                <w:sz w:val="13"/>
                <w:szCs w:val="13"/>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Represented</w:t>
            </w: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Grant Price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Intrinsic Value</w:t>
            </w:r>
          </w:p>
        </w:tc>
      </w:tr>
      <w:tr>
        <w:trPr>
          <w:trHeight w:val="193"/>
        </w:trPr>
        <w:tc>
          <w:tcPr>
            <w:tcW w:w="54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October 31, 2023</w:t>
            </w: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35.36</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20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1"/>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54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October 31, 2024</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27.40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1,514</w:t>
            </w:r>
          </w:p>
        </w:tc>
      </w:tr>
      <w:tr>
        <w:trPr>
          <w:trHeight w:val="20"/>
        </w:trPr>
        <w:tc>
          <w:tcPr>
            <w:tcW w:w="5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59" w:firstLine="241"/>
        <w:spacing w:after="0" w:line="250" w:lineRule="auto"/>
        <w:rPr>
          <w:sz w:val="20"/>
          <w:szCs w:val="20"/>
          <w:color w:val="auto"/>
        </w:rPr>
      </w:pPr>
      <w:r>
        <w:rPr>
          <w:rFonts w:ascii="Times New Roman" w:cs="Times New Roman" w:eastAsia="Times New Roman" w:hAnsi="Times New Roman"/>
          <w:sz w:val="17"/>
          <w:szCs w:val="17"/>
          <w:color w:val="auto"/>
        </w:rPr>
        <w:t>At the end of each reporting period, the Company will adjust compensation expense for the PRSUs based on its best estimate of attainment of the specified performance targets. The cumulative effect on current and prior periods of a change in the estimated number of PRSUs that are expected to be earned will be recognized as an adjustment in the period of the adjustment. As of October 31, 2024, the Company determined that it was not probable that any of the PRSUs for the 2022 or 2023 three-year cumulative performance grant would vest. The Company did not recognize any stock-based compensation expense for PRSUs for the year ended October 31, 2024. The total recognized stock-based compensation expense for PRSUs was $0.2 million for the year ended October 31, 2023.</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10" w:lineRule="exact"/>
        <w:rPr>
          <w:sz w:val="20"/>
          <w:szCs w:val="20"/>
          <w:color w:val="auto"/>
        </w:rPr>
      </w:pPr>
    </w:p>
    <w:p>
      <w:pPr>
        <w:ind w:left="40" w:right="199" w:firstLine="241"/>
        <w:spacing w:after="0" w:line="251" w:lineRule="auto"/>
        <w:rPr>
          <w:sz w:val="20"/>
          <w:szCs w:val="20"/>
          <w:color w:val="auto"/>
        </w:rPr>
      </w:pPr>
      <w:r>
        <w:rPr>
          <w:rFonts w:ascii="Times New Roman" w:cs="Times New Roman" w:eastAsia="Times New Roman" w:hAnsi="Times New Roman"/>
          <w:sz w:val="17"/>
          <w:szCs w:val="17"/>
          <w:color w:val="auto"/>
        </w:rPr>
        <w:t>In June 2024, our Board of Directors approved the grant of 10,000 options of our common stock to a new member of our Board of Directors. Such grant vests in equal increments over a five-year period and has an exercise price of $25.84 per share. Vested options have an exercise period of five years from the vesting date. The market price of our common stock at the grant date was $25.84. The estimated fair market value of such option grant was approximately $0.1 million, which will be recognized over the remaining service period of 60 months. The total recognized stock-based compensation expense for these options was insignificant for the year ended October 31, 2024.</w:t>
      </w:r>
    </w:p>
    <w:p>
      <w:pPr>
        <w:spacing w:after="0" w:line="178" w:lineRule="exact"/>
        <w:rPr>
          <w:sz w:val="20"/>
          <w:szCs w:val="20"/>
          <w:color w:val="auto"/>
        </w:rPr>
      </w:pPr>
    </w:p>
    <w:p>
      <w:pPr>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Stock options are granted with exercise prices of not less than the fair market value at grant date, generally vest over one to five years and generally expire two to five years after the vest date. We settle stock option exercises with newly issued shares of common stock. We measure compensation cost for all stock-based awards at fair value on the date of grant and recognize compensation expense in our consolidated statements of operations over the service period that the awards are expected to vest. We measure the fair value of our stock-based compensation awards on the date of grant.</w:t>
      </w:r>
    </w:p>
    <w:p>
      <w:pPr>
        <w:spacing w:after="0" w:line="177" w:lineRule="exact"/>
        <w:rPr>
          <w:sz w:val="20"/>
          <w:szCs w:val="20"/>
          <w:color w:val="auto"/>
        </w:rPr>
      </w:pPr>
    </w:p>
    <w:p>
      <w:pPr>
        <w:jc w:val="both"/>
        <w:ind w:left="40" w:right="99" w:firstLine="301"/>
        <w:spacing w:after="0" w:line="259" w:lineRule="auto"/>
        <w:rPr>
          <w:sz w:val="20"/>
          <w:szCs w:val="20"/>
          <w:color w:val="auto"/>
        </w:rPr>
      </w:pPr>
      <w:r>
        <w:rPr>
          <w:rFonts w:ascii="Times New Roman" w:cs="Times New Roman" w:eastAsia="Times New Roman" w:hAnsi="Times New Roman"/>
          <w:sz w:val="17"/>
          <w:szCs w:val="17"/>
          <w:color w:val="auto"/>
        </w:rPr>
        <w:t>The value of each option award is estimated using a lattice-based option valuation model. We primarily consider the following assumptions when using these models: (1) expected volatility, (2) expected dividends, (3) expected life and (4) risk-free interest rate. Such models also consider the intrinsic value in the estimation of fair value of the option award.</w:t>
      </w:r>
    </w:p>
    <w:p>
      <w:pPr>
        <w:spacing w:after="0" w:line="170" w:lineRule="exact"/>
        <w:rPr>
          <w:sz w:val="20"/>
          <w:szCs w:val="20"/>
          <w:color w:val="auto"/>
        </w:rPr>
      </w:pPr>
    </w:p>
    <w:p>
      <w:pPr>
        <w:ind w:left="40" w:right="699" w:firstLine="301"/>
        <w:spacing w:after="0" w:line="272" w:lineRule="auto"/>
        <w:rPr>
          <w:sz w:val="20"/>
          <w:szCs w:val="20"/>
          <w:color w:val="auto"/>
        </w:rPr>
      </w:pPr>
      <w:r>
        <w:rPr>
          <w:rFonts w:ascii="Times New Roman" w:cs="Times New Roman" w:eastAsia="Times New Roman" w:hAnsi="Times New Roman"/>
          <w:sz w:val="17"/>
          <w:szCs w:val="17"/>
          <w:color w:val="auto"/>
        </w:rPr>
        <w:t>We measure the fair value of our stock option awards on the date of grant. The following assumptions were used in the estimated grant date fair value calculations for stock options granted in the third quarter of fiscal 2024:</w:t>
      </w:r>
    </w:p>
    <w:p>
      <w:pPr>
        <w:spacing w:after="0" w:line="388" w:lineRule="exact"/>
        <w:rPr>
          <w:sz w:val="20"/>
          <w:szCs w:val="20"/>
          <w:color w:val="auto"/>
        </w:rPr>
      </w:pPr>
    </w:p>
    <w:tbl>
      <w:tblPr>
        <w:tblLayout w:type="fixed"/>
        <w:tblInd w:w="940" w:type="dxa"/>
        <w:tblCellMar>
          <w:top w:w="0" w:type="dxa"/>
          <w:left w:w="0" w:type="dxa"/>
          <w:bottom w:w="0" w:type="dxa"/>
          <w:right w:w="0" w:type="dxa"/>
        </w:tblCellMar>
      </w:tblPr>
      <w:tr>
        <w:trPr>
          <w:trHeight w:val="20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4.47 %</w:t>
            </w:r>
          </w:p>
        </w:tc>
      </w:tr>
      <w:tr>
        <w:trPr>
          <w:trHeight w:val="201"/>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43.0 %</w:t>
            </w:r>
          </w:p>
        </w:tc>
      </w:tr>
      <w:tr>
        <w:trPr>
          <w:trHeight w:val="20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Expected life (years)</w:t>
            </w:r>
          </w:p>
        </w:tc>
        <w:tc>
          <w:tcPr>
            <w:tcW w:w="310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5.0</w:t>
            </w:r>
          </w:p>
        </w:tc>
      </w:tr>
    </w:tbl>
    <w:p>
      <w:pPr>
        <w:spacing w:after="0" w:line="168" w:lineRule="exact"/>
        <w:rPr>
          <w:sz w:val="20"/>
          <w:szCs w:val="20"/>
          <w:color w:val="auto"/>
        </w:rPr>
      </w:pPr>
    </w:p>
    <w:p>
      <w:pPr>
        <w:ind w:left="40" w:right="279" w:firstLine="241"/>
        <w:spacing w:after="0" w:line="272" w:lineRule="auto"/>
        <w:rPr>
          <w:sz w:val="20"/>
          <w:szCs w:val="20"/>
          <w:color w:val="auto"/>
        </w:rPr>
      </w:pPr>
      <w:r>
        <w:rPr>
          <w:rFonts w:ascii="Times New Roman" w:cs="Times New Roman" w:eastAsia="Times New Roman" w:hAnsi="Times New Roman"/>
          <w:sz w:val="17"/>
          <w:szCs w:val="17"/>
          <w:color w:val="auto"/>
        </w:rPr>
        <w:t>The expected stock price volatility rates were based on the historical volatility of our common stock. The risk-free interest rate was based on the U.S. Treasury yield curve in effect at the time of grant for periods approximating the</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8" w:name="page69"/>
    <w:bookmarkEnd w:id="68"/>
    <w:p>
      <w:pPr>
        <w:ind w:left="40" w:right="379"/>
        <w:spacing w:after="0" w:line="259" w:lineRule="auto"/>
        <w:rPr>
          <w:sz w:val="20"/>
          <w:szCs w:val="20"/>
          <w:color w:val="auto"/>
        </w:rPr>
      </w:pPr>
      <w:r>
        <w:rPr>
          <w:rFonts w:ascii="Times New Roman" w:cs="Times New Roman" w:eastAsia="Times New Roman" w:hAnsi="Times New Roman"/>
          <w:sz w:val="17"/>
          <w:szCs w:val="17"/>
          <w:color w:val="auto"/>
        </w:rPr>
        <w:t>expected life of the option. The expected life represents the average period of time that options granted are expected to be outstanding, as calculated using the simplified method described in the Securities and Exchange Commission’s Staff Accounting Bulletin No. 107.</w:t>
      </w:r>
    </w:p>
    <w:p>
      <w:pPr>
        <w:spacing w:after="0" w:line="170" w:lineRule="exact"/>
        <w:rPr>
          <w:sz w:val="20"/>
          <w:szCs w:val="20"/>
          <w:color w:val="auto"/>
        </w:rPr>
      </w:pPr>
    </w:p>
    <w:p>
      <w:pPr>
        <w:ind w:left="40" w:right="139" w:firstLine="241"/>
        <w:spacing w:after="0" w:line="255" w:lineRule="auto"/>
        <w:rPr>
          <w:sz w:val="20"/>
          <w:szCs w:val="20"/>
          <w:color w:val="auto"/>
        </w:rPr>
      </w:pPr>
      <w:r>
        <w:rPr>
          <w:rFonts w:ascii="Times New Roman" w:cs="Times New Roman" w:eastAsia="Times New Roman" w:hAnsi="Times New Roman"/>
          <w:sz w:val="17"/>
          <w:szCs w:val="17"/>
          <w:color w:val="auto"/>
        </w:rPr>
        <w:t>The Black-Scholes-Merton and lattice-based option valuation models were developed for use in estimating the fair value of traded options that have no vesting restrictions and are fully transferable. Because options held by our directors and employees have characteristics significantly different from those of traded options, in our opinion, the existing models do not necessarily provide a reliable single measure of the fair value of these options.</w:t>
      </w:r>
    </w:p>
    <w:p>
      <w:pPr>
        <w:spacing w:after="0" w:line="172" w:lineRule="exact"/>
        <w:rPr>
          <w:sz w:val="20"/>
          <w:szCs w:val="20"/>
          <w:color w:val="auto"/>
        </w:rPr>
      </w:pPr>
    </w:p>
    <w:p>
      <w:pPr>
        <w:ind w:left="40" w:right="119" w:firstLine="241"/>
        <w:spacing w:after="0" w:line="259" w:lineRule="auto"/>
        <w:rPr>
          <w:sz w:val="20"/>
          <w:szCs w:val="20"/>
          <w:color w:val="auto"/>
        </w:rPr>
      </w:pPr>
      <w:r>
        <w:rPr>
          <w:rFonts w:ascii="Times New Roman" w:cs="Times New Roman" w:eastAsia="Times New Roman" w:hAnsi="Times New Roman"/>
          <w:sz w:val="17"/>
          <w:szCs w:val="17"/>
          <w:color w:val="auto"/>
        </w:rPr>
        <w:t>The total recognized stock-based compensation expense for options was $0.7 million and $1.3 million for the years ended October 31, 2024 and 2023, respectively. As of October 31, 2024, there was $0.2 million of unrecognized stock-based compensation costs related to options, which the Company expects to recognize over a weighted-average period of 2.6 years.</w:t>
      </w:r>
    </w:p>
    <w:p>
      <w:pPr>
        <w:spacing w:after="0" w:line="170" w:lineRule="exact"/>
        <w:rPr>
          <w:sz w:val="20"/>
          <w:szCs w:val="20"/>
          <w:color w:val="auto"/>
        </w:rPr>
      </w:pPr>
    </w:p>
    <w:p>
      <w:pPr>
        <w:ind w:left="40" w:right="79" w:firstLine="241"/>
        <w:spacing w:after="0" w:line="272" w:lineRule="auto"/>
        <w:rPr>
          <w:sz w:val="20"/>
          <w:szCs w:val="20"/>
          <w:color w:val="auto"/>
        </w:rPr>
      </w:pPr>
      <w:r>
        <w:rPr>
          <w:rFonts w:ascii="Times New Roman" w:cs="Times New Roman" w:eastAsia="Times New Roman" w:hAnsi="Times New Roman"/>
          <w:sz w:val="17"/>
          <w:szCs w:val="17"/>
          <w:color w:val="auto"/>
        </w:rPr>
        <w:t>A summary of stock option activity, related to our 2011 and 2020 Management Incentive Plan, is as follows (in thousands, except for per share amounts):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Weighted-Average</w:t>
            </w:r>
          </w:p>
        </w:tc>
        <w:tc>
          <w:tcPr>
            <w:tcW w:w="2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8"/>
        </w:trPr>
        <w:tc>
          <w:tcPr>
            <w:tcW w:w="57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jc w:val="center"/>
              <w:ind w:right="360"/>
              <w:spacing w:after="0" w:line="13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20" w:type="dxa"/>
            <w:vAlign w:val="bottom"/>
          </w:tcPr>
          <w:p>
            <w:pPr>
              <w:spacing w:after="0"/>
              <w:rPr>
                <w:sz w:val="11"/>
                <w:szCs w:val="11"/>
                <w:color w:val="auto"/>
              </w:rPr>
            </w:pPr>
          </w:p>
        </w:tc>
        <w:tc>
          <w:tcPr>
            <w:tcW w:w="6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62"/>
        </w:trPr>
        <w:tc>
          <w:tcPr>
            <w:tcW w:w="5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93"/>
        </w:trPr>
        <w:tc>
          <w:tcPr>
            <w:tcW w:w="57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October 31, 2023</w:t>
            </w:r>
          </w:p>
        </w:tc>
        <w:tc>
          <w:tcPr>
            <w:tcW w:w="1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525</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25.44</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70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at October 31, 2024</w:t>
            </w:r>
          </w:p>
        </w:tc>
        <w:tc>
          <w:tcPr>
            <w:tcW w:w="1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535</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25.44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1,102</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Vested and Exercisable at October 31, 2024</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shd w:val="clear" w:color="auto" w:fill="000000"/>
          </w:tcPr>
          <w:p>
            <w:pPr>
              <w:spacing w:after="0" w:line="20" w:lineRule="exact"/>
              <w:rPr>
                <w:sz w:val="1"/>
                <w:szCs w:val="1"/>
                <w:color w:val="auto"/>
              </w:rPr>
            </w:pPr>
          </w:p>
        </w:tc>
        <w:tc>
          <w:tcPr>
            <w:tcW w:w="9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70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21</w:t>
            </w:r>
          </w:p>
        </w:tc>
        <w:tc>
          <w:tcPr>
            <w:tcW w:w="340" w:type="dxa"/>
            <w:vAlign w:val="bottom"/>
            <w:gridSpan w:val="2"/>
          </w:tcPr>
          <w:p>
            <w:pPr>
              <w:jc w:val="right"/>
              <w:ind w:right="79"/>
              <w:spacing w:after="0" w:line="178"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26.82</w:t>
            </w:r>
          </w:p>
        </w:tc>
        <w:tc>
          <w:tcPr>
            <w:tcW w:w="1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438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hanging="422"/>
        <w:spacing w:after="0"/>
        <w:tabs>
          <w:tab w:leader="none" w:pos="46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Dividends</w:t>
      </w:r>
    </w:p>
    <w:p>
      <w:pPr>
        <w:spacing w:after="0" w:line="210" w:lineRule="exact"/>
        <w:rPr>
          <w:sz w:val="20"/>
          <w:szCs w:val="20"/>
          <w:color w:val="auto"/>
        </w:rPr>
      </w:pPr>
    </w:p>
    <w:p>
      <w:pPr>
        <w:ind w:left="40" w:right="139" w:firstLine="241"/>
        <w:spacing w:after="0" w:line="272" w:lineRule="auto"/>
        <w:rPr>
          <w:sz w:val="20"/>
          <w:szCs w:val="20"/>
          <w:color w:val="auto"/>
        </w:rPr>
      </w:pPr>
      <w:r>
        <w:rPr>
          <w:rFonts w:ascii="Times New Roman" w:cs="Times New Roman" w:eastAsia="Times New Roman" w:hAnsi="Times New Roman"/>
          <w:sz w:val="17"/>
          <w:szCs w:val="17"/>
          <w:color w:val="auto"/>
        </w:rPr>
        <w:t>In November 2022, we announced that we would begin declaring and paying dividends quarterly rather than annually which had been our prior practice.</w:t>
      </w:r>
    </w:p>
    <w:p>
      <w:pPr>
        <w:spacing w:after="0" w:line="159"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On January 31, 2024, we paid a dividend of $0.10 per share, or an aggregate of $1.8 million, to shareholders of record on January 26, 2024. On April 29, 2024, we paid a dividend of $0.10 per share, or an aggregate of $1.8 million, to shareholders of record on April 1, 2024. On July 30, 2024, we paid a dividend of $0.10 per share, or an aggregate of $1.8 million, to shareholders of record on July 2, 2024. On October 30, 2024, we paid a dividend of $0.20 per share, or an aggregate of $3.6 million, to shareholders of record on October 2, 2024.</w:t>
      </w:r>
    </w:p>
    <w:p>
      <w:pPr>
        <w:spacing w:after="0" w:line="177" w:lineRule="exact"/>
        <w:rPr>
          <w:sz w:val="20"/>
          <w:szCs w:val="20"/>
          <w:color w:val="auto"/>
        </w:rPr>
      </w:pPr>
    </w:p>
    <w:p>
      <w:pPr>
        <w:ind w:left="40" w:right="99" w:firstLine="241"/>
        <w:spacing w:after="0" w:line="272" w:lineRule="auto"/>
        <w:rPr>
          <w:sz w:val="20"/>
          <w:szCs w:val="20"/>
          <w:color w:val="auto"/>
        </w:rPr>
      </w:pPr>
      <w:r>
        <w:rPr>
          <w:rFonts w:ascii="Times New Roman" w:cs="Times New Roman" w:eastAsia="Times New Roman" w:hAnsi="Times New Roman"/>
          <w:sz w:val="17"/>
          <w:szCs w:val="17"/>
          <w:color w:val="auto"/>
        </w:rPr>
        <w:t>On December 30, 2024, our board of directors declared a cash dividend of $0.20 per share. This dividend will be paid on January 31, 2025, to shareholders of record on January 10, 2025.</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14. Mexican IVA taxes receivable</w:t>
      </w:r>
    </w:p>
    <w:p>
      <w:pPr>
        <w:spacing w:after="0" w:line="210" w:lineRule="exact"/>
        <w:rPr>
          <w:sz w:val="20"/>
          <w:szCs w:val="20"/>
          <w:color w:val="auto"/>
        </w:rPr>
      </w:pPr>
    </w:p>
    <w:p>
      <w:pPr>
        <w:jc w:val="both"/>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70" w:lineRule="exact"/>
        <w:rPr>
          <w:sz w:val="20"/>
          <w:szCs w:val="20"/>
          <w:color w:val="auto"/>
        </w:rPr>
      </w:pPr>
    </w:p>
    <w:p>
      <w:pPr>
        <w:ind w:left="40" w:right="119" w:firstLine="241"/>
        <w:spacing w:after="0" w:line="267" w:lineRule="auto"/>
        <w:rPr>
          <w:sz w:val="20"/>
          <w:szCs w:val="20"/>
          <w:color w:val="auto"/>
        </w:rPr>
      </w:pPr>
      <w:r>
        <w:rPr>
          <w:rFonts w:ascii="Times New Roman" w:cs="Times New Roman" w:eastAsia="Times New Roman" w:hAnsi="Times New Roman"/>
          <w:sz w:val="16"/>
          <w:szCs w:val="16"/>
          <w:color w:val="auto"/>
        </w:rPr>
        <w:t>As of October 31, 2024, and October 31, 2023, CDM IVA receivables, net of our estimated provision for uncollectable amounts, totaled $48.7 million (976.0 million Mexican pesos) and $49.9 million (913.6 million Mexican pesos). Historically, CDM received IVA refund payments from the Mexican tax authorities on a timely basis. Beginning in fiscal 2014 and continuing into fiscal 2024, however, the tax authorities began carrying out more detailed reviews of our refund requests and our supporting documentation. Additionally, they are also questioning the refunds requested attributable to IVA paid to certain suppliers that allegedly did not fulfill their own tax obligations. We believe these factors, and others, have contributed to delays in the processing of IVA claims by the Mexican tax authorities. Currently, we are in the process of collecting such balances, primarily through regular administrative processes, but these amounts may ultimately need to be recovered through Administrative Appeals and/or legal means.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69" w:name="page70"/>
    <w:bookmarkEnd w:id="69"/>
    <w:p>
      <w:pPr>
        <w:ind w:left="40" w:right="59" w:firstLine="241"/>
        <w:spacing w:after="0" w:line="248" w:lineRule="auto"/>
        <w:rPr>
          <w:sz w:val="20"/>
          <w:szCs w:val="20"/>
          <w:color w:val="auto"/>
        </w:rPr>
      </w:pPr>
      <w:r>
        <w:rPr>
          <w:rFonts w:ascii="Times New Roman" w:cs="Times New Roman" w:eastAsia="Times New Roman" w:hAnsi="Times New Roman"/>
          <w:sz w:val="17"/>
          <w:szCs w:val="17"/>
          <w:color w:val="auto"/>
        </w:rPr>
        <w:t>During the first quarter of fiscal 2017, the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started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Legal Administration in Michoacan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85" w:lineRule="exact"/>
        <w:rPr>
          <w:sz w:val="20"/>
          <w:szCs w:val="20"/>
          <w:color w:val="auto"/>
        </w:rPr>
      </w:pPr>
    </w:p>
    <w:p>
      <w:pPr>
        <w:ind w:left="40" w:right="139" w:firstLine="241"/>
        <w:spacing w:after="0" w:line="272" w:lineRule="auto"/>
        <w:rPr>
          <w:sz w:val="20"/>
          <w:szCs w:val="20"/>
          <w:color w:val="auto"/>
        </w:rPr>
      </w:pPr>
      <w:r>
        <w:rPr>
          <w:rFonts w:ascii="Times New Roman" w:cs="Times New Roman" w:eastAsia="Times New Roman" w:hAnsi="Times New Roman"/>
          <w:sz w:val="17"/>
          <w:szCs w:val="17"/>
          <w:color w:val="auto"/>
        </w:rPr>
        <w:t>In April 2022, the Tax Court issued the ruling for the months of July, August and September 2015 through which it was declared that the following resolutions were resolved:</w:t>
      </w:r>
    </w:p>
    <w:p>
      <w:pPr>
        <w:spacing w:after="0" w:line="159" w:lineRule="exact"/>
        <w:rPr>
          <w:sz w:val="20"/>
          <w:szCs w:val="20"/>
          <w:color w:val="auto"/>
        </w:rPr>
      </w:pPr>
    </w:p>
    <w:p>
      <w:pPr>
        <w:ind w:left="900" w:hanging="298"/>
        <w:spacing w:after="0"/>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CDM operates as a maquila under the authorization of the Ministry of Finance.</w:t>
      </w:r>
    </w:p>
    <w:p>
      <w:pPr>
        <w:spacing w:after="0" w:line="205" w:lineRule="exact"/>
        <w:rPr>
          <w:rFonts w:ascii="Times New Roman" w:cs="Times New Roman" w:eastAsia="Times New Roman" w:hAnsi="Times New Roman"/>
          <w:sz w:val="17"/>
          <w:szCs w:val="17"/>
          <w:color w:val="auto"/>
        </w:rPr>
      </w:pPr>
    </w:p>
    <w:p>
      <w:pPr>
        <w:ind w:left="900" w:right="459" w:hanging="298"/>
        <w:spacing w:after="0" w:line="259"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all bank deposits corresponding to the purchase of avocados on behalf of Calavo Growers Inc. (CGI), are subject to the maquila program and it is not accruable income for purposes of income tax nor activities subject to VAT.</w:t>
      </w:r>
    </w:p>
    <w:p>
      <w:pPr>
        <w:spacing w:after="0" w:line="169" w:lineRule="exact"/>
        <w:rPr>
          <w:rFonts w:ascii="Times New Roman" w:cs="Times New Roman" w:eastAsia="Times New Roman" w:hAnsi="Times New Roman"/>
          <w:sz w:val="17"/>
          <w:szCs w:val="17"/>
          <w:color w:val="auto"/>
        </w:rPr>
      </w:pPr>
    </w:p>
    <w:p>
      <w:pPr>
        <w:ind w:left="900" w:right="119" w:hanging="298"/>
        <w:spacing w:after="0" w:line="272"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recognized that IVA is recoverable, since CDM demonstrated the existence of operations carried under the maquila services.</w:t>
      </w:r>
    </w:p>
    <w:p>
      <w:pPr>
        <w:spacing w:after="0" w:line="158" w:lineRule="exact"/>
        <w:rPr>
          <w:rFonts w:ascii="Times New Roman" w:cs="Times New Roman" w:eastAsia="Times New Roman" w:hAnsi="Times New Roman"/>
          <w:sz w:val="17"/>
          <w:szCs w:val="17"/>
          <w:color w:val="auto"/>
        </w:rPr>
      </w:pPr>
    </w:p>
    <w:p>
      <w:pPr>
        <w:ind w:left="900" w:right="219" w:hanging="298"/>
        <w:spacing w:after="0" w:line="259"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Resolved that certain IVA amounts attributed to the purchase of certain packing materials are not recoverable as CDM was not the buyer on record and therefore did not pay for the materials, which approximated $6.9 million pesos (approximately $0.4 million USD).</w:t>
      </w:r>
    </w:p>
    <w:p>
      <w:pPr>
        <w:spacing w:after="0" w:line="207" w:lineRule="exact"/>
        <w:rPr>
          <w:sz w:val="20"/>
          <w:szCs w:val="20"/>
          <w:color w:val="auto"/>
        </w:rPr>
      </w:pPr>
    </w:p>
    <w:p>
      <w:pPr>
        <w:jc w:val="both"/>
        <w:ind w:left="40" w:right="59" w:firstLine="241"/>
        <w:spacing w:after="0" w:line="252" w:lineRule="auto"/>
        <w:rPr>
          <w:sz w:val="20"/>
          <w:szCs w:val="20"/>
          <w:color w:val="auto"/>
        </w:rPr>
      </w:pPr>
      <w:r>
        <w:rPr>
          <w:rFonts w:ascii="Times New Roman" w:cs="Times New Roman" w:eastAsia="Times New Roman" w:hAnsi="Times New Roman"/>
          <w:sz w:val="17"/>
          <w:szCs w:val="17"/>
          <w:color w:val="auto"/>
        </w:rPr>
        <w:t>We believe that our operations in Mexico are properly documented, and our internationally recognized tax advisors believe that there are legal grounds to prevail in collecting the corresponding IVA amounts. With assistance from our internationally recognized tax advisory firm, as of October 31, 2024, CDM has filed Administrative Appeals for months for which IVA refunds have been denied by the SAT, and will continue filing such appeals for any months for which refunds are denied in the future. Therefore, it is probable that the Mexican tax authorities will ultimately authorize the refund of the remaining IVA amounts.</w:t>
      </w: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10" w:lineRule="exact"/>
        <w:rPr>
          <w:sz w:val="20"/>
          <w:szCs w:val="20"/>
          <w:color w:val="auto"/>
        </w:rPr>
      </w:pPr>
    </w:p>
    <w:p>
      <w:pPr>
        <w:jc w:val="both"/>
        <w:ind w:left="40" w:right="59" w:firstLine="241"/>
        <w:spacing w:after="0" w:line="259" w:lineRule="auto"/>
        <w:rPr>
          <w:sz w:val="20"/>
          <w:szCs w:val="20"/>
          <w:color w:val="auto"/>
        </w:rPr>
      </w:pPr>
      <w:r>
        <w:rPr>
          <w:rFonts w:ascii="Times New Roman" w:cs="Times New Roman" w:eastAsia="Times New Roman" w:hAnsi="Times New Roman"/>
          <w:sz w:val="17"/>
          <w:szCs w:val="17"/>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70" w:lineRule="exact"/>
        <w:rPr>
          <w:sz w:val="20"/>
          <w:szCs w:val="20"/>
          <w:color w:val="auto"/>
        </w:rPr>
      </w:pPr>
    </w:p>
    <w:p>
      <w:pPr>
        <w:ind w:left="40" w:right="139" w:firstLine="241"/>
        <w:spacing w:after="0" w:line="283" w:lineRule="auto"/>
        <w:rPr>
          <w:sz w:val="20"/>
          <w:szCs w:val="20"/>
          <w:color w:val="auto"/>
        </w:rPr>
      </w:pPr>
      <w:r>
        <w:rPr>
          <w:rFonts w:ascii="Times New Roman" w:cs="Times New Roman" w:eastAsia="Times New Roman" w:hAnsi="Times New Roman"/>
          <w:sz w:val="16"/>
          <w:szCs w:val="16"/>
          <w:color w:val="auto"/>
        </w:rPr>
        <w:t>We also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70" w:name="page71"/>
    <w:bookmarkEnd w:id="70"/>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Lease Position</w:t>
      </w:r>
    </w:p>
    <w:p>
      <w:pPr>
        <w:spacing w:after="0" w:line="210" w:lineRule="exact"/>
        <w:rPr>
          <w:sz w:val="20"/>
          <w:szCs w:val="20"/>
          <w:color w:val="auto"/>
        </w:rPr>
      </w:pPr>
    </w:p>
    <w:p>
      <w:pPr>
        <w:ind w:left="40" w:right="45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presents the lease-related assets and liabilities recorded on the balance sheet as of October 31, 2024 and 2023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93"/>
        </w:trPr>
        <w:tc>
          <w:tcPr>
            <w:tcW w:w="210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assets</w:t>
            </w:r>
          </w:p>
        </w:tc>
        <w:tc>
          <w:tcPr>
            <w:tcW w:w="5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18,357</w:t>
            </w:r>
          </w:p>
        </w:tc>
        <w:tc>
          <w:tcPr>
            <w:tcW w:w="0" w:type="dxa"/>
            <w:vAlign w:val="bottom"/>
          </w:tcPr>
          <w:p>
            <w:pPr>
              <w:spacing w:after="0"/>
              <w:rPr>
                <w:sz w:val="1"/>
                <w:szCs w:val="1"/>
                <w:color w:val="auto"/>
              </w:rPr>
            </w:pPr>
          </w:p>
        </w:tc>
      </w:tr>
      <w:tr>
        <w:trPr>
          <w:trHeight w:val="201"/>
        </w:trPr>
        <w:tc>
          <w:tcPr>
            <w:tcW w:w="2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Finance lease assets</w:t>
            </w:r>
          </w:p>
        </w:tc>
        <w:tc>
          <w:tcPr>
            <w:tcW w:w="5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4,609</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5,051</w:t>
            </w:r>
          </w:p>
        </w:tc>
        <w:tc>
          <w:tcPr>
            <w:tcW w:w="0" w:type="dxa"/>
            <w:vAlign w:val="bottom"/>
          </w:tcPr>
          <w:p>
            <w:pPr>
              <w:spacing w:after="0"/>
              <w:rPr>
                <w:sz w:val="1"/>
                <w:szCs w:val="1"/>
                <w:color w:val="auto"/>
              </w:rPr>
            </w:pPr>
          </w:p>
        </w:tc>
      </w:tr>
      <w:tr>
        <w:trPr>
          <w:trHeight w:val="193"/>
        </w:trPr>
        <w:tc>
          <w:tcPr>
            <w:tcW w:w="210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22,925</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23,408</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00" w:type="dxa"/>
            <w:vAlign w:val="bottom"/>
            <w:vMerge w:val="continue"/>
          </w:tcPr>
          <w:p>
            <w:pPr>
              <w:spacing w:after="0"/>
              <w:rPr>
                <w:sz w:val="15"/>
                <w:szCs w:val="15"/>
                <w:color w:val="auto"/>
              </w:rPr>
            </w:pPr>
          </w:p>
        </w:tc>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5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w:t>
            </w:r>
          </w:p>
        </w:tc>
        <w:tc>
          <w:tcPr>
            <w:tcW w:w="52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Current portion of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3,296</w:t>
            </w:r>
          </w:p>
        </w:tc>
        <w:tc>
          <w:tcPr>
            <w:tcW w:w="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3,663</w:t>
            </w: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Finance</w:t>
            </w:r>
          </w:p>
        </w:tc>
        <w:tc>
          <w:tcPr>
            <w:tcW w:w="5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Current portion of long-term obligations and finance leases</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0" w:type="dxa"/>
            <w:vAlign w:val="bottom"/>
          </w:tcPr>
          <w:p>
            <w:pPr>
              <w:spacing w:after="0"/>
              <w:rPr>
                <w:sz w:val="1"/>
                <w:szCs w:val="1"/>
                <w:color w:val="auto"/>
              </w:rPr>
            </w:pPr>
          </w:p>
        </w:tc>
      </w:tr>
      <w:tr>
        <w:trPr>
          <w:trHeight w:val="201"/>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Long-term obligations</w:t>
            </w:r>
          </w:p>
        </w:tc>
        <w:tc>
          <w:tcPr>
            <w:tcW w:w="5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w:t>
            </w:r>
          </w:p>
        </w:tc>
        <w:tc>
          <w:tcPr>
            <w:tcW w:w="5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Long-term operating leases, less current portion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17,328</w:t>
            </w:r>
          </w:p>
        </w:tc>
        <w:tc>
          <w:tcPr>
            <w:tcW w:w="0" w:type="dxa"/>
            <w:vAlign w:val="bottom"/>
          </w:tcPr>
          <w:p>
            <w:pPr>
              <w:spacing w:after="0"/>
              <w:rPr>
                <w:sz w:val="1"/>
                <w:szCs w:val="1"/>
                <w:color w:val="auto"/>
              </w:rPr>
            </w:pPr>
          </w:p>
        </w:tc>
      </w:tr>
      <w:tr>
        <w:trPr>
          <w:trHeight w:val="201"/>
        </w:trPr>
        <w:tc>
          <w:tcPr>
            <w:tcW w:w="2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Finance</w:t>
            </w:r>
          </w:p>
        </w:tc>
        <w:tc>
          <w:tcPr>
            <w:tcW w:w="5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Long-term obligations and finance leases, less current portion</w:t>
            </w: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4,274</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4,645</w:t>
            </w:r>
          </w:p>
        </w:tc>
        <w:tc>
          <w:tcPr>
            <w:tcW w:w="0" w:type="dxa"/>
            <w:vAlign w:val="bottom"/>
          </w:tcPr>
          <w:p>
            <w:pPr>
              <w:spacing w:after="0"/>
              <w:rPr>
                <w:sz w:val="1"/>
                <w:szCs w:val="1"/>
                <w:color w:val="auto"/>
              </w:rPr>
            </w:pPr>
          </w:p>
        </w:tc>
      </w:tr>
      <w:tr>
        <w:trPr>
          <w:trHeight w:val="193"/>
        </w:trPr>
        <w:tc>
          <w:tcPr>
            <w:tcW w:w="210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25,920</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26,467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remaining lease term:</w:t>
            </w: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Fiscal 2024</w:t>
            </w: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Fiscal 2023</w:t>
            </w:r>
          </w:p>
        </w:tc>
      </w:tr>
      <w:tr>
        <w:trPr>
          <w:trHeight w:val="193"/>
        </w:trPr>
        <w:tc>
          <w:tcPr>
            <w:tcW w:w="6740" w:type="dxa"/>
            <w:vAlign w:val="bottom"/>
            <w:tcBorders>
              <w:top w:val="single" w:sz="8" w:color="CCEEFF"/>
            </w:tcBorders>
            <w:shd w:val="clear" w:color="auto" w:fill="CCEEFF"/>
          </w:tcPr>
          <w:p>
            <w:pPr>
              <w:ind w:left="100"/>
              <w:spacing w:after="0" w:line="194" w:lineRule="exact"/>
              <w:rPr>
                <w:sz w:val="20"/>
                <w:szCs w:val="20"/>
                <w:color w:val="auto"/>
              </w:rPr>
            </w:pPr>
            <w:r>
              <w:rPr>
                <w:rFonts w:ascii="Times New Roman" w:cs="Times New Roman" w:eastAsia="Times New Roman" w:hAnsi="Times New Roman"/>
                <w:sz w:val="17"/>
                <w:szCs w:val="17"/>
                <w:color w:val="auto"/>
              </w:rPr>
              <w:t>Operating leases</w:t>
            </w:r>
          </w:p>
        </w:tc>
        <w:tc>
          <w:tcPr>
            <w:tcW w:w="1020" w:type="dxa"/>
            <w:vAlign w:val="bottom"/>
            <w:tcBorders>
              <w:top w:val="single" w:sz="8" w:color="auto"/>
            </w:tcBorders>
            <w:shd w:val="clear" w:color="auto" w:fill="CCEEFF"/>
          </w:tcPr>
          <w:p>
            <w:pPr>
              <w:jc w:val="right"/>
              <w:ind w:right="180"/>
              <w:spacing w:after="0" w:line="194" w:lineRule="exact"/>
              <w:rPr>
                <w:sz w:val="20"/>
                <w:szCs w:val="20"/>
                <w:color w:val="auto"/>
              </w:rPr>
            </w:pPr>
            <w:r>
              <w:rPr>
                <w:rFonts w:ascii="Times New Roman" w:cs="Times New Roman" w:eastAsia="Times New Roman" w:hAnsi="Times New Roman"/>
                <w:sz w:val="17"/>
                <w:szCs w:val="17"/>
                <w:color w:val="auto"/>
              </w:rPr>
              <w:t>6.5 years</w:t>
            </w:r>
          </w:p>
        </w:tc>
        <w:tc>
          <w:tcPr>
            <w:tcW w:w="1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140"/>
              <w:spacing w:after="0" w:line="194" w:lineRule="exact"/>
              <w:rPr>
                <w:sz w:val="20"/>
                <w:szCs w:val="20"/>
                <w:color w:val="auto"/>
              </w:rPr>
            </w:pPr>
            <w:r>
              <w:rPr>
                <w:rFonts w:ascii="Times New Roman" w:cs="Times New Roman" w:eastAsia="Times New Roman" w:hAnsi="Times New Roman"/>
                <w:sz w:val="17"/>
                <w:szCs w:val="17"/>
                <w:color w:val="auto"/>
              </w:rPr>
              <w:t>6.6 years</w:t>
            </w:r>
          </w:p>
        </w:tc>
      </w:tr>
      <w:tr>
        <w:trPr>
          <w:trHeight w:val="201"/>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Finance leases</w:t>
            </w: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7.0 years</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7.6 years</w:t>
            </w:r>
          </w:p>
        </w:tc>
      </w:tr>
      <w:tr>
        <w:trPr>
          <w:trHeight w:val="201"/>
        </w:trPr>
        <w:tc>
          <w:tcPr>
            <w:tcW w:w="6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1"/>
        </w:trPr>
        <w:tc>
          <w:tcPr>
            <w:tcW w:w="6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Weighted-average discount rate:</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6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2.49 %</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2.96 %</w:t>
            </w:r>
          </w:p>
        </w:tc>
      </w:tr>
      <w:tr>
        <w:trPr>
          <w:trHeight w:val="217"/>
        </w:trPr>
        <w:tc>
          <w:tcPr>
            <w:tcW w:w="6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Finance leases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4.89 %</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4.63 %</w:t>
            </w:r>
          </w:p>
        </w:tc>
      </w:tr>
    </w:tbl>
    <w:p>
      <w:pPr>
        <w:spacing w:after="0" w:line="1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Lease Costs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The following table presents certain information related to the lease costs for finance and operating leases for the years ended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October 31, 2024 and 2023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62"/>
        </w:trPr>
        <w:tc>
          <w:tcPr>
            <w:tcW w:w="6520" w:type="dxa"/>
            <w:vAlign w:val="bottom"/>
          </w:tcPr>
          <w:p>
            <w:pPr>
              <w:spacing w:after="0"/>
              <w:rPr>
                <w:sz w:val="14"/>
                <w:szCs w:val="1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October 31, 2024</w:t>
            </w:r>
          </w:p>
        </w:tc>
        <w:tc>
          <w:tcPr>
            <w:tcW w:w="100" w:type="dxa"/>
            <w:vAlign w:val="bottom"/>
          </w:tcPr>
          <w:p>
            <w:pPr>
              <w:spacing w:after="0"/>
              <w:rPr>
                <w:sz w:val="14"/>
                <w:szCs w:val="14"/>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October 31, 2023</w:t>
            </w:r>
          </w:p>
        </w:tc>
      </w:tr>
      <w:tr>
        <w:trPr>
          <w:trHeight w:val="193"/>
        </w:trPr>
        <w:tc>
          <w:tcPr>
            <w:tcW w:w="65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Amortization of financing lease assets (recorded in cost of sales)</w:t>
            </w:r>
          </w:p>
        </w:tc>
        <w:tc>
          <w:tcPr>
            <w:tcW w:w="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994</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812</w:t>
            </w:r>
          </w:p>
        </w:tc>
      </w:tr>
      <w:tr>
        <w:trPr>
          <w:trHeight w:val="201"/>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4,136</w:t>
            </w:r>
          </w:p>
        </w:tc>
      </w:tr>
      <w:tr>
        <w:trPr>
          <w:trHeight w:val="201"/>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201"/>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1"/>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on financing lease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193"/>
        </w:trPr>
        <w:tc>
          <w:tcPr>
            <w:tcW w:w="6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lease cost</w:t>
            </w:r>
          </w:p>
        </w:tc>
        <w:tc>
          <w:tcPr>
            <w:tcW w:w="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6,465</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5,860</w:t>
            </w: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Other Information</w:t>
      </w:r>
    </w:p>
    <w:p>
      <w:pPr>
        <w:spacing w:after="0" w:line="210" w:lineRule="exact"/>
        <w:rPr>
          <w:sz w:val="20"/>
          <w:szCs w:val="20"/>
          <w:color w:val="auto"/>
        </w:rPr>
      </w:pPr>
    </w:p>
    <w:p>
      <w:pPr>
        <w:ind w:left="40" w:right="21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leases for the years ended October 31, 2024 and 2023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Cash paid for amounts included in the measurement of lease liabilities</w:t>
            </w:r>
          </w:p>
        </w:tc>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62"/>
        </w:trPr>
        <w:tc>
          <w:tcPr>
            <w:tcW w:w="414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October 31, 2024</w:t>
            </w:r>
          </w:p>
        </w:tc>
        <w:tc>
          <w:tcPr>
            <w:tcW w:w="1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October 31, 2023</w:t>
            </w:r>
          </w:p>
        </w:tc>
        <w:tc>
          <w:tcPr>
            <w:tcW w:w="0" w:type="dxa"/>
            <w:vAlign w:val="bottom"/>
          </w:tcPr>
          <w:p>
            <w:pPr>
              <w:spacing w:after="0"/>
              <w:rPr>
                <w:sz w:val="1"/>
                <w:szCs w:val="1"/>
                <w:color w:val="auto"/>
              </w:rPr>
            </w:pPr>
          </w:p>
        </w:tc>
      </w:tr>
      <w:tr>
        <w:trPr>
          <w:trHeight w:val="193"/>
        </w:trPr>
        <w:tc>
          <w:tcPr>
            <w:tcW w:w="41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Operating cash flows for operating leases</w:t>
            </w:r>
          </w:p>
        </w:tc>
        <w:tc>
          <w:tcPr>
            <w:tcW w:w="2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5"/>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3,878</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40" w:type="dxa"/>
            <w:vAlign w:val="bottom"/>
          </w:tcPr>
          <w:p>
            <w:pPr>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2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2"/>
        </w:trPr>
        <w:tc>
          <w:tcPr>
            <w:tcW w:w="4140" w:type="dxa"/>
            <w:vAlign w:val="bottom"/>
          </w:tcPr>
          <w:p>
            <w:pPr>
              <w:spacing w:after="0"/>
              <w:rPr>
                <w:sz w:val="24"/>
                <w:szCs w:val="24"/>
                <w:color w:val="auto"/>
              </w:rPr>
            </w:pPr>
          </w:p>
        </w:tc>
        <w:tc>
          <w:tcPr>
            <w:tcW w:w="2300" w:type="dxa"/>
            <w:vAlign w:val="bottom"/>
          </w:tcPr>
          <w:p>
            <w:pPr>
              <w:jc w:val="right"/>
              <w:ind w:right="1816"/>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4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71" w:right="1440" w:bottom="1440" w:gutter="0" w:footer="0" w:header="0"/>
        </w:sectPr>
      </w:pPr>
    </w:p>
    <w:bookmarkStart w:id="71" w:name="page72"/>
    <w:bookmarkEnd w:id="71"/>
    <w:p>
      <w:pPr>
        <w:ind w:left="40" w:right="199" w:firstLine="241"/>
        <w:spacing w:after="0" w:line="272" w:lineRule="auto"/>
        <w:rPr>
          <w:sz w:val="20"/>
          <w:szCs w:val="20"/>
          <w:color w:val="auto"/>
        </w:rPr>
      </w:pPr>
      <w:r>
        <w:rPr>
          <w:rFonts w:ascii="Times New Roman" w:cs="Times New Roman" w:eastAsia="Times New Roman" w:hAnsi="Times New Roman"/>
          <w:sz w:val="17"/>
          <w:szCs w:val="17"/>
          <w:color w:val="auto"/>
        </w:rPr>
        <w:t>The total right-of-use assets obtained in exchange for new operating leases for the years ended October 31, 2024 and 2023 were $3.7 million and $0.2 million, respectively.</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Undiscounted Cash Flows</w:t>
      </w:r>
    </w:p>
    <w:p>
      <w:pPr>
        <w:spacing w:after="0" w:line="210"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reconciles the undiscounted cash flows for each of the first five years and total remaining years to the finance lease liabilities and operating lease liabilities recorded on the balance sheet as of October 31, 2024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8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40" w:type="dxa"/>
            <w:vAlign w:val="bottom"/>
          </w:tcPr>
          <w:p>
            <w:pPr>
              <w:spacing w:after="0"/>
              <w:rPr>
                <w:sz w:val="12"/>
                <w:szCs w:val="12"/>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80" w:type="dxa"/>
            <w:vAlign w:val="bottom"/>
          </w:tcPr>
          <w:p>
            <w:pPr>
              <w:spacing w:after="0"/>
              <w:rPr>
                <w:sz w:val="12"/>
                <w:szCs w:val="12"/>
                <w:color w:val="auto"/>
              </w:rPr>
            </w:pP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Finance</w:t>
            </w:r>
          </w:p>
        </w:tc>
        <w:tc>
          <w:tcPr>
            <w:tcW w:w="0" w:type="dxa"/>
            <w:vAlign w:val="bottom"/>
          </w:tcPr>
          <w:p>
            <w:pPr>
              <w:spacing w:after="0"/>
              <w:rPr>
                <w:sz w:val="1"/>
                <w:szCs w:val="1"/>
                <w:color w:val="auto"/>
              </w:rPr>
            </w:pPr>
          </w:p>
        </w:tc>
      </w:tr>
      <w:tr>
        <w:trPr>
          <w:trHeight w:val="162"/>
        </w:trPr>
        <w:tc>
          <w:tcPr>
            <w:tcW w:w="6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180" w:type="dxa"/>
            <w:vAlign w:val="bottom"/>
          </w:tcPr>
          <w:p>
            <w:pPr>
              <w:spacing w:after="0"/>
              <w:rPr>
                <w:sz w:val="14"/>
                <w:szCs w:val="14"/>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Leases</w:t>
            </w:r>
          </w:p>
        </w:tc>
        <w:tc>
          <w:tcPr>
            <w:tcW w:w="0" w:type="dxa"/>
            <w:vAlign w:val="bottom"/>
          </w:tcPr>
          <w:p>
            <w:pPr>
              <w:spacing w:after="0"/>
              <w:rPr>
                <w:sz w:val="1"/>
                <w:szCs w:val="1"/>
                <w:color w:val="auto"/>
              </w:rPr>
            </w:pPr>
          </w:p>
        </w:tc>
      </w:tr>
      <w:tr>
        <w:trPr>
          <w:trHeight w:val="193"/>
        </w:trPr>
        <w:tc>
          <w:tcPr>
            <w:tcW w:w="682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3,741</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1,101</w:t>
            </w:r>
          </w:p>
        </w:tc>
        <w:tc>
          <w:tcPr>
            <w:tcW w:w="0" w:type="dxa"/>
            <w:vAlign w:val="bottom"/>
          </w:tcPr>
          <w:p>
            <w:pPr>
              <w:spacing w:after="0"/>
              <w:rPr>
                <w:sz w:val="1"/>
                <w:szCs w:val="1"/>
                <w:color w:val="auto"/>
              </w:rPr>
            </w:pPr>
          </w:p>
        </w:tc>
      </w:tr>
      <w:tr>
        <w:trPr>
          <w:trHeight w:val="201"/>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01"/>
        </w:trPr>
        <w:tc>
          <w:tcPr>
            <w:tcW w:w="6820" w:type="dxa"/>
            <w:vAlign w:val="bottom"/>
          </w:tcPr>
          <w:p>
            <w:pPr>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201"/>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0" w:type="dxa"/>
            <w:vAlign w:val="bottom"/>
          </w:tcPr>
          <w:p>
            <w:pPr>
              <w:spacing w:after="0"/>
              <w:rPr>
                <w:sz w:val="1"/>
                <w:szCs w:val="1"/>
                <w:color w:val="auto"/>
              </w:rPr>
            </w:pPr>
          </w:p>
        </w:tc>
      </w:tr>
      <w:tr>
        <w:trPr>
          <w:trHeight w:val="201"/>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0" w:type="dxa"/>
            <w:vAlign w:val="bottom"/>
          </w:tcPr>
          <w:p>
            <w:pPr>
              <w:spacing w:after="0"/>
              <w:rPr>
                <w:sz w:val="1"/>
                <w:szCs w:val="1"/>
                <w:color w:val="auto"/>
              </w:rPr>
            </w:pPr>
          </w:p>
        </w:tc>
      </w:tr>
      <w:tr>
        <w:trPr>
          <w:trHeight w:val="193"/>
        </w:trPr>
        <w:tc>
          <w:tcPr>
            <w:tcW w:w="68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lease payments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22,303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6,056</w:t>
            </w:r>
          </w:p>
        </w:tc>
        <w:tc>
          <w:tcPr>
            <w:tcW w:w="0" w:type="dxa"/>
            <w:vAlign w:val="bottom"/>
          </w:tcPr>
          <w:p>
            <w:pPr>
              <w:spacing w:after="0"/>
              <w:rPr>
                <w:sz w:val="1"/>
                <w:szCs w:val="1"/>
                <w:color w:val="auto"/>
              </w:rPr>
            </w:pPr>
          </w:p>
        </w:tc>
      </w:tr>
      <w:tr>
        <w:trPr>
          <w:trHeight w:val="201"/>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0" w:type="dxa"/>
            <w:vAlign w:val="bottom"/>
          </w:tcPr>
          <w:p>
            <w:pPr>
              <w:spacing w:after="0"/>
              <w:rPr>
                <w:sz w:val="1"/>
                <w:szCs w:val="1"/>
                <w:color w:val="auto"/>
              </w:rPr>
            </w:pPr>
          </w:p>
        </w:tc>
      </w:tr>
      <w:tr>
        <w:trPr>
          <w:trHeight w:val="193"/>
        </w:trPr>
        <w:tc>
          <w:tcPr>
            <w:tcW w:w="68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lease liability</w:t>
            </w:r>
          </w:p>
        </w:tc>
        <w:tc>
          <w:tcPr>
            <w:tcW w:w="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20,772</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5,148</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hanging="602"/>
        <w:spacing w:after="0"/>
        <w:tabs>
          <w:tab w:leader="none" w:pos="6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Assets Held for Sale and Discontinued Operations</w:t>
      </w:r>
    </w:p>
    <w:p>
      <w:pPr>
        <w:spacing w:after="0" w:line="210" w:lineRule="exact"/>
        <w:rPr>
          <w:sz w:val="20"/>
          <w:szCs w:val="20"/>
          <w:color w:val="auto"/>
        </w:rPr>
      </w:pPr>
    </w:p>
    <w:p>
      <w:pPr>
        <w:jc w:val="both"/>
        <w:ind w:left="40" w:right="159" w:firstLine="241"/>
        <w:spacing w:after="0" w:line="259" w:lineRule="auto"/>
        <w:rPr>
          <w:sz w:val="20"/>
          <w:szCs w:val="20"/>
          <w:color w:val="auto"/>
        </w:rPr>
      </w:pPr>
      <w:r>
        <w:rPr>
          <w:rFonts w:ascii="Times New Roman" w:cs="Times New Roman" w:eastAsia="Times New Roman" w:hAnsi="Times New Roman"/>
          <w:sz w:val="17"/>
          <w:szCs w:val="17"/>
          <w:color w:val="auto"/>
        </w:rPr>
        <w:t>We completed the sale of our Fresh Cut business (formerly “RFG”) and related real estate on August 15, 2024 for $83.0 million, subject to various closing adjustments. The Fresh Cut business represents substantially all of the business of the Prepared segment other than the guacamole business, which was retained. For more information, see Note 17.</w:t>
      </w:r>
    </w:p>
    <w:p>
      <w:pPr>
        <w:spacing w:after="0" w:line="170" w:lineRule="exact"/>
        <w:rPr>
          <w:sz w:val="20"/>
          <w:szCs w:val="20"/>
          <w:color w:val="auto"/>
        </w:rPr>
      </w:pPr>
    </w:p>
    <w:p>
      <w:pPr>
        <w:ind w:left="40" w:right="179" w:firstLine="241"/>
        <w:spacing w:after="0" w:line="276" w:lineRule="auto"/>
        <w:rPr>
          <w:sz w:val="20"/>
          <w:szCs w:val="20"/>
          <w:color w:val="auto"/>
        </w:rPr>
      </w:pPr>
      <w:r>
        <w:rPr>
          <w:rFonts w:ascii="Times New Roman" w:cs="Times New Roman" w:eastAsia="Times New Roman" w:hAnsi="Times New Roman"/>
          <w:sz w:val="16"/>
          <w:szCs w:val="16"/>
          <w:color w:val="auto"/>
        </w:rPr>
        <w:t>During the year ended October 31, 2024, we concluded that the Fresh Cut business met the requirements to be classified as held for sale and discontinued operations. As a result, the financial results of that business are reported as discontinued operations in the accompanying statements of operations, and its assets and liabilities are reflected as amounts held for sale in the accompanying balance sheets. Our reporting segments have also been changed for the effects of the divestiture, as described in Note 10.</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72" w:name="page73"/>
    <w:bookmarkEnd w:id="72"/>
    <w:p>
      <w:pPr>
        <w:ind w:left="40" w:right="3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presents the major classes of assets and liabilities of the Fresh Cut business that are classified as held for sale in the accompanying balance sheets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100" w:type="dxa"/>
            <w:vAlign w:val="bottom"/>
          </w:tcPr>
          <w:p>
            <w:pPr>
              <w:spacing w:after="0"/>
              <w:rPr>
                <w:sz w:val="12"/>
                <w:szCs w:val="12"/>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October 31,</w:t>
            </w:r>
          </w:p>
        </w:tc>
      </w:tr>
      <w:tr>
        <w:trPr>
          <w:trHeight w:val="162"/>
        </w:trPr>
        <w:tc>
          <w:tcPr>
            <w:tcW w:w="6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3"/>
        </w:trPr>
        <w:tc>
          <w:tcPr>
            <w:tcW w:w="6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27,479</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7,859</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51,805</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29,676</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18,442</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5,423</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193"/>
        </w:trPr>
        <w:tc>
          <w:tcPr>
            <w:tcW w:w="6900" w:type="dxa"/>
            <w:vAlign w:val="bottom"/>
            <w:tcBorders>
              <w:top w:val="single" w:sz="8" w:color="CCEEFF"/>
              <w:bottom w:val="single" w:sz="8" w:color="CCEEFF"/>
            </w:tcBorders>
            <w:shd w:val="clear" w:color="auto" w:fill="CCEEFF"/>
          </w:tcPr>
          <w:p>
            <w:pPr>
              <w:ind w:left="200"/>
              <w:spacing w:after="0" w:line="194" w:lineRule="exact"/>
              <w:rPr>
                <w:sz w:val="20"/>
                <w:szCs w:val="20"/>
                <w:color w:val="auto"/>
              </w:rPr>
            </w:pPr>
            <w:r>
              <w:rPr>
                <w:rFonts w:ascii="Times New Roman" w:cs="Times New Roman" w:eastAsia="Times New Roman" w:hAnsi="Times New Roman"/>
                <w:sz w:val="17"/>
                <w:szCs w:val="17"/>
                <w:color w:val="auto"/>
              </w:rPr>
              <w:t>Total assets held for sale</w:t>
            </w:r>
          </w:p>
        </w:tc>
        <w:tc>
          <w:tcPr>
            <w:tcW w:w="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6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142,957</w:t>
            </w:r>
          </w:p>
        </w:tc>
      </w:tr>
      <w:tr>
        <w:trPr>
          <w:trHeight w:val="20"/>
        </w:trPr>
        <w:tc>
          <w:tcPr>
            <w:tcW w:w="6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79"/>
        </w:trPr>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10,440</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15,299</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portion of operating leases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3,399</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obligations and finance leases</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operating leases, less current portion</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28,065</w:t>
            </w:r>
          </w:p>
        </w:tc>
      </w:tr>
      <w:tr>
        <w:trPr>
          <w:trHeight w:val="201"/>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Long-term obligations and finance leases, less current portion</w:t>
            </w:r>
          </w:p>
        </w:tc>
        <w:tc>
          <w:tcPr>
            <w:tcW w:w="80" w:type="dxa"/>
            <w:vAlign w:val="bottom"/>
          </w:tcPr>
          <w:p>
            <w:pPr>
              <w:spacing w:after="0"/>
              <w:rPr>
                <w:sz w:val="17"/>
                <w:szCs w:val="17"/>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w:t>
            </w:r>
          </w:p>
        </w:tc>
      </w:tr>
      <w:tr>
        <w:trPr>
          <w:trHeight w:val="201"/>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193"/>
        </w:trPr>
        <w:tc>
          <w:tcPr>
            <w:tcW w:w="69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Total liabilities held for sale</w:t>
            </w:r>
          </w:p>
        </w:tc>
        <w:tc>
          <w:tcPr>
            <w:tcW w:w="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6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59,206</w:t>
            </w:r>
          </w:p>
        </w:tc>
      </w:tr>
      <w:tr>
        <w:trPr>
          <w:trHeight w:val="20"/>
        </w:trPr>
        <w:tc>
          <w:tcPr>
            <w:tcW w:w="6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179" w:firstLine="241"/>
        <w:spacing w:after="0" w:line="259" w:lineRule="auto"/>
        <w:rPr>
          <w:sz w:val="20"/>
          <w:szCs w:val="20"/>
          <w:color w:val="auto"/>
        </w:rPr>
      </w:pPr>
      <w:r>
        <w:rPr>
          <w:rFonts w:ascii="Times New Roman" w:cs="Times New Roman" w:eastAsia="Times New Roman" w:hAnsi="Times New Roman"/>
          <w:sz w:val="17"/>
          <w:szCs w:val="17"/>
          <w:color w:val="auto"/>
        </w:rPr>
        <w:t>Goodwill related to our Prepared segment was allocated between our Fresh Cut and Guacamole businesses based on the relative fair value of the disposal group and the portion of the reporting unit to be retained as of the date of the assets held for sale determination as described in Note 2.</w:t>
      </w:r>
    </w:p>
    <w:p>
      <w:pPr>
        <w:spacing w:after="0" w:line="170" w:lineRule="exact"/>
        <w:rPr>
          <w:sz w:val="20"/>
          <w:szCs w:val="20"/>
          <w:color w:val="auto"/>
        </w:rPr>
      </w:pPr>
    </w:p>
    <w:p>
      <w:pPr>
        <w:ind w:left="40" w:right="579" w:firstLine="241"/>
        <w:spacing w:after="0" w:line="272" w:lineRule="auto"/>
        <w:rPr>
          <w:sz w:val="20"/>
          <w:szCs w:val="20"/>
          <w:color w:val="auto"/>
        </w:rPr>
      </w:pPr>
      <w:r>
        <w:rPr>
          <w:rFonts w:ascii="Times New Roman" w:cs="Times New Roman" w:eastAsia="Times New Roman" w:hAnsi="Times New Roman"/>
          <w:sz w:val="17"/>
          <w:szCs w:val="17"/>
          <w:color w:val="auto"/>
        </w:rPr>
        <w:t>The following table summarizes the results of operations of the Fresh Cut business that are being reported as discontinued operations (in thousands):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Year Ended October 31,</w:t>
            </w:r>
          </w:p>
        </w:tc>
        <w:tc>
          <w:tcPr>
            <w:tcW w:w="600" w:type="dxa"/>
            <w:vAlign w:val="bottom"/>
            <w:tcBorders>
              <w:bottom w:val="single" w:sz="8" w:color="auto"/>
            </w:tcBorders>
          </w:tcPr>
          <w:p>
            <w:pPr>
              <w:spacing w:after="0"/>
              <w:rPr>
                <w:sz w:val="14"/>
                <w:szCs w:val="14"/>
                <w:color w:val="auto"/>
              </w:rPr>
            </w:pPr>
          </w:p>
        </w:tc>
      </w:tr>
      <w:tr>
        <w:trPr>
          <w:trHeight w:val="130"/>
        </w:trPr>
        <w:tc>
          <w:tcPr>
            <w:tcW w:w="6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65"/>
              <w:spacing w:after="0" w:line="131"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5"/>
              <w:spacing w:after="0" w:line="131" w:lineRule="exact"/>
              <w:rPr>
                <w:sz w:val="20"/>
                <w:szCs w:val="20"/>
                <w:color w:val="auto"/>
              </w:rPr>
            </w:pPr>
            <w:r>
              <w:rPr>
                <w:rFonts w:ascii="Times New Roman" w:cs="Times New Roman" w:eastAsia="Times New Roman" w:hAnsi="Times New Roman"/>
                <w:sz w:val="13"/>
                <w:szCs w:val="13"/>
                <w:b w:val="1"/>
                <w:bCs w:val="1"/>
                <w:color w:val="auto"/>
              </w:rPr>
              <w:t>2022</w:t>
            </w:r>
          </w:p>
        </w:tc>
      </w:tr>
      <w:tr>
        <w:trPr>
          <w:trHeight w:val="130"/>
        </w:trPr>
        <w:tc>
          <w:tcPr>
            <w:tcW w:w="6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8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sales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272,177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377,846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421,382</w:t>
            </w:r>
          </w:p>
        </w:tc>
      </w:tr>
      <w:tr>
        <w:trPr>
          <w:trHeight w:val="188"/>
        </w:trPr>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259,757</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371,880</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401,306</w:t>
            </w:r>
          </w:p>
        </w:tc>
      </w:tr>
      <w:tr>
        <w:trPr>
          <w:trHeight w:val="181"/>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12,420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5,966</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20,076</w:t>
            </w:r>
          </w:p>
        </w:tc>
      </w:t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19,124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18,944</w:t>
            </w:r>
          </w:p>
        </w:tc>
      </w:tr>
      <w:tr>
        <w:trPr>
          <w:trHeight w:val="18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goodwill</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Impairment and charges related to Florida facility closure</w:t>
            </w:r>
          </w:p>
        </w:tc>
        <w:tc>
          <w:tcPr>
            <w:tcW w:w="16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w:t>
            </w:r>
          </w:p>
        </w:tc>
      </w:tr>
      <w:tr>
        <w:trPr>
          <w:trHeight w:val="181"/>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 (loss)</w:t>
            </w: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(10,883)</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(13,158)</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w:t>
            </w:r>
          </w:p>
        </w:tc>
      </w:t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(77)</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(124)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net</w:t>
            </w: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w:t>
            </w:r>
          </w:p>
        </w:tc>
      </w:tr>
      <w:tr>
        <w:trPr>
          <w:trHeight w:val="181"/>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discontinued operations before income taxes and gain on sale</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(10,928)</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(13,226)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w:t>
            </w:r>
          </w:p>
        </w:tc>
      </w:tr>
      <w:tr>
        <w:trPr>
          <w:trHeight w:val="18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Gain on sale</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8"/>
        </w:trPr>
        <w:tc>
          <w:tcPr>
            <w:tcW w:w="6160" w:type="dxa"/>
            <w:vAlign w:val="bottom"/>
          </w:tcPr>
          <w:p>
            <w:pPr>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w:t>
            </w:r>
          </w:p>
        </w:tc>
      </w:tr>
      <w:tr>
        <w:trPr>
          <w:trHeight w:val="188"/>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from discontinued operations</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(7,872)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(13,020)</w:t>
            </w: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 w:right="239" w:firstLine="241"/>
        <w:spacing w:after="0" w:line="255" w:lineRule="auto"/>
        <w:rPr>
          <w:sz w:val="20"/>
          <w:szCs w:val="20"/>
          <w:color w:val="auto"/>
        </w:rPr>
      </w:pPr>
      <w:r>
        <w:rPr>
          <w:rFonts w:ascii="Times New Roman" w:cs="Times New Roman" w:eastAsia="Times New Roman" w:hAnsi="Times New Roman"/>
          <w:sz w:val="17"/>
          <w:szCs w:val="17"/>
          <w:color w:val="auto"/>
        </w:rPr>
        <w:t>During the third quarter of fiscal 2024, as a result of ongoing negotiations and finalization of the sales price of our Fresh Cut business, we evaluated whether it was more likely than not that the carrying value of the Fresh Cut business exceeded its fair value and performed an impairment analysis. Accordingly, the Company recorded a goodwill impairment charge of $9.3 million during this period.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73" w:name="page74"/>
    <w:bookmarkEnd w:id="73"/>
    <w:p>
      <w:pPr>
        <w:ind w:left="280"/>
        <w:spacing w:after="0"/>
        <w:rPr>
          <w:sz w:val="20"/>
          <w:szCs w:val="20"/>
          <w:color w:val="auto"/>
        </w:rPr>
      </w:pPr>
      <w:r>
        <w:rPr>
          <w:rFonts w:ascii="Times New Roman" w:cs="Times New Roman" w:eastAsia="Times New Roman" w:hAnsi="Times New Roman"/>
          <w:sz w:val="17"/>
          <w:szCs w:val="17"/>
          <w:color w:val="auto"/>
        </w:rPr>
        <w:t>Select cash flow information related to the Fresh Cut business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9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October 31,</w:t>
            </w:r>
          </w:p>
        </w:tc>
        <w:tc>
          <w:tcPr>
            <w:tcW w:w="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(4,679)</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2"/>
              </w:rPr>
              <w:t>(13,527)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82,408</w:t>
            </w:r>
          </w:p>
        </w:tc>
        <w:tc>
          <w:tcPr>
            <w:tcW w:w="2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2"/>
              </w:rPr>
              <w:t>(10,641)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9" w:lineRule="exact"/>
        <w:rPr>
          <w:sz w:val="20"/>
          <w:szCs w:val="20"/>
          <w:color w:val="auto"/>
        </w:rPr>
      </w:pPr>
    </w:p>
    <w:p>
      <w:pPr>
        <w:ind w:left="640" w:hanging="602"/>
        <w:spacing w:after="0"/>
        <w:tabs>
          <w:tab w:leader="none" w:pos="64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Sale of Fresh Cut Business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12529"/>
        </w:rPr>
        <w:t>Asset Purchase Agreement and Purchase and Sale Agreement</w:t>
      </w:r>
    </w:p>
    <w:p>
      <w:pPr>
        <w:spacing w:after="0" w:line="210" w:lineRule="exact"/>
        <w:rPr>
          <w:sz w:val="20"/>
          <w:szCs w:val="20"/>
          <w:color w:val="auto"/>
        </w:rPr>
      </w:pPr>
    </w:p>
    <w:p>
      <w:pPr>
        <w:ind w:left="40" w:right="199" w:firstLine="241"/>
        <w:spacing w:after="0" w:line="267" w:lineRule="auto"/>
        <w:rPr>
          <w:sz w:val="20"/>
          <w:szCs w:val="20"/>
          <w:color w:val="auto"/>
        </w:rPr>
      </w:pPr>
      <w:r>
        <w:rPr>
          <w:rFonts w:ascii="Times New Roman" w:cs="Times New Roman" w:eastAsia="Times New Roman" w:hAnsi="Times New Roman"/>
          <w:sz w:val="16"/>
          <w:szCs w:val="16"/>
          <w:color w:val="212529"/>
        </w:rPr>
        <w:t>On August 15, 2024, we (including various of our subsidiaries, the “Seller Parties”), F&amp;S Produce Co., Inc., a New Jersey corporation and a co-packing partner of the Company (“F&amp;S”) and F&amp;S Produce West LLC, a Delaware limited liability company and a wholly-owned subsidiary of F&amp;S (“Buyer”), entered into an Asset Purchase Agreement (the “Asset Purchase Agreement”), whereby the Buyer (i) purchased and acquired from the applicable Seller Parties certain assets of the Seller Parties related to the prepared food business of the Seller Parties and their subsidiaries relating to the processing and packaging of fresh foods, including fresh-cut fruit and vegetables, and prepared foods, including sandwiches, salads, parfaits and ready-to-eat snack items, sold to retailers and foodservice companies, but excluding the guacamole or other avocado derivative product business (the “RFG Business”), (ii) purchased and acquired from the applicable Seller Parties the RFG Business as a going concern and (iii) assumed certain specified liabilities of the Seller Parties related to the RFG Business as set forth in the Asset Purchase Agreement.</w:t>
      </w:r>
    </w:p>
    <w:p>
      <w:pPr>
        <w:spacing w:after="0" w:line="164" w:lineRule="exact"/>
        <w:rPr>
          <w:sz w:val="20"/>
          <w:szCs w:val="20"/>
          <w:color w:val="auto"/>
        </w:rPr>
      </w:pPr>
    </w:p>
    <w:p>
      <w:pPr>
        <w:jc w:val="both"/>
        <w:ind w:left="40" w:right="59" w:firstLine="241"/>
        <w:spacing w:after="0" w:line="255" w:lineRule="auto"/>
        <w:rPr>
          <w:sz w:val="20"/>
          <w:szCs w:val="20"/>
          <w:color w:val="auto"/>
        </w:rPr>
      </w:pPr>
      <w:r>
        <w:rPr>
          <w:rFonts w:ascii="Times New Roman" w:cs="Times New Roman" w:eastAsia="Times New Roman" w:hAnsi="Times New Roman"/>
          <w:sz w:val="17"/>
          <w:szCs w:val="17"/>
          <w:color w:val="212529"/>
        </w:rPr>
        <w:t>Additionally, Buyer assumed leasehold interests in certain real property and related improvements leased by certain of the Seller Parties and used in the RFG Business (the “RFG Leases”), pursuant to leasehold assignment and assumption agreements and related documents between Buyer, the applicable Seller Parties who are the lessees under the RFG Leases and the applicable landlords under the RFG Leases.</w:t>
      </w:r>
    </w:p>
    <w:p>
      <w:pPr>
        <w:spacing w:after="0" w:line="172" w:lineRule="exact"/>
        <w:rPr>
          <w:sz w:val="20"/>
          <w:szCs w:val="20"/>
          <w:color w:val="auto"/>
        </w:rPr>
      </w:pPr>
    </w:p>
    <w:p>
      <w:pPr>
        <w:jc w:val="both"/>
        <w:ind w:left="40" w:right="99" w:firstLine="241"/>
        <w:spacing w:after="0" w:line="255" w:lineRule="auto"/>
        <w:rPr>
          <w:sz w:val="20"/>
          <w:szCs w:val="20"/>
          <w:color w:val="auto"/>
        </w:rPr>
      </w:pPr>
      <w:r>
        <w:rPr>
          <w:rFonts w:ascii="Times New Roman" w:cs="Times New Roman" w:eastAsia="Times New Roman" w:hAnsi="Times New Roman"/>
          <w:sz w:val="17"/>
          <w:szCs w:val="17"/>
          <w:color w:val="212529"/>
        </w:rPr>
        <w:t>Concurrently with the transaction contemplated by the Asset Purchase Agreement (the “Transaction”), Mid-Eastern West LLC, a California limited liability company and an affiliate of F&amp;S, entered into a Purchase and Sale Agreement with Force 1730 Eastridge LLC, a California limited liability company and a subsidiary of the Company, to purchase the real property located at 1730 Eastridge Ave, Riverside, CA 92507 for $31.0 million.</w:t>
      </w:r>
    </w:p>
    <w:p>
      <w:pPr>
        <w:spacing w:after="0" w:line="172" w:lineRule="exact"/>
        <w:rPr>
          <w:sz w:val="20"/>
          <w:szCs w:val="20"/>
          <w:color w:val="auto"/>
        </w:rPr>
      </w:pPr>
    </w:p>
    <w:p>
      <w:pPr>
        <w:ind w:left="40" w:right="159" w:firstLine="241"/>
        <w:spacing w:after="0" w:line="255" w:lineRule="auto"/>
        <w:rPr>
          <w:sz w:val="20"/>
          <w:szCs w:val="20"/>
          <w:color w:val="auto"/>
        </w:rPr>
      </w:pPr>
      <w:r>
        <w:rPr>
          <w:rFonts w:ascii="Times New Roman" w:cs="Times New Roman" w:eastAsia="Times New Roman" w:hAnsi="Times New Roman"/>
          <w:sz w:val="17"/>
          <w:szCs w:val="17"/>
          <w:color w:val="212529"/>
        </w:rPr>
        <w:t>In addition, pursuant to the Asset Purchase Agreement, the purchase price for the Purchased Assets (as defined in the Asset Purchase Agreement) was $52.0 million for a total of $83.0 million. Proceeds from the sale totaled $81.1 million net of $1.9 million of transaction costs. Subsequent to the goodwill impairment of $9.3 million recorded during the quarter ended July 31, 2024, a gain of $0.2 million was recognized in the results of discontinued operations.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212529"/>
        </w:rPr>
        <w:t>Amendment to Credit Agreement</w:t>
      </w:r>
    </w:p>
    <w:p>
      <w:pPr>
        <w:spacing w:after="0" w:line="210" w:lineRule="exact"/>
        <w:rPr>
          <w:sz w:val="20"/>
          <w:szCs w:val="20"/>
          <w:color w:val="auto"/>
        </w:rPr>
      </w:pPr>
    </w:p>
    <w:p>
      <w:pPr>
        <w:ind w:left="40" w:right="219" w:firstLine="301"/>
        <w:spacing w:after="0" w:line="252" w:lineRule="auto"/>
        <w:rPr>
          <w:sz w:val="20"/>
          <w:szCs w:val="20"/>
          <w:color w:val="auto"/>
        </w:rPr>
      </w:pPr>
      <w:r>
        <w:rPr>
          <w:rFonts w:ascii="Times New Roman" w:cs="Times New Roman" w:eastAsia="Times New Roman" w:hAnsi="Times New Roman"/>
          <w:sz w:val="17"/>
          <w:szCs w:val="17"/>
          <w:color w:val="212529"/>
        </w:rPr>
        <w:t>On August 15, 2024, we entered into a First Amendment to Credit Agreement and Consent (as amended, the “Credit Agreement”) with Wells Fargo Bank, National Association, as agent and lender (“Agent”), whereby (i) the Credit Agreement was amended to reduce the revolving commitments thereunder from $90.0 million to $75.0 million, among other minor adjustments to align the borrowing base with our current asset base excluding the Fresh Cut business, and (ii) we obtained consent from Agent for entry into the Asset Purchase Agreement and Purchase and Sale Agreement.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 the shareholders and the Board of Directors of Calavo Growers, Inc.</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72" w:lineRule="exact"/>
        <w:rPr>
          <w:sz w:val="20"/>
          <w:szCs w:val="20"/>
          <w:color w:val="auto"/>
        </w:rPr>
      </w:pPr>
    </w:p>
    <w:p>
      <w:pPr>
        <w:ind w:left="340" w:right="59"/>
        <w:spacing w:after="0" w:line="27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Calavo Growers, Inc. and subsidiaries (the "Company") as of October 31, 2024 and 2023, the related consolidated statements of operations, shareholders' equity, and cash flows, for each of the three years in the period ended October 31, 2024, and the related notes (collectively referred to as the "financial statements"). In our opinion, the financial statements present fairly, in all material respects, the financial position of the Company as of October 31, 2024 and 2023, and the results of its operations and its cash flows for each of the three years in the period ended October 31, 2024, in conformity with accounting principles generally accepted in the United States of America.</w:t>
      </w:r>
    </w:p>
    <w:p>
      <w:pPr>
        <w:spacing w:after="0" w:line="137" w:lineRule="exact"/>
        <w:rPr>
          <w:sz w:val="20"/>
          <w:szCs w:val="20"/>
          <w:color w:val="auto"/>
        </w:rPr>
      </w:pPr>
    </w:p>
    <w:p>
      <w:pPr>
        <w:ind w:left="340" w:right="319"/>
        <w:spacing w:after="0" w:line="252"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October 31, 2024,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Commission and our report dated January 14, 2025, expressed an unqualified opinion on the Company's internal control over financial reporting.</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2" w:lineRule="exact"/>
        <w:rPr>
          <w:sz w:val="20"/>
          <w:szCs w:val="20"/>
          <w:color w:val="auto"/>
        </w:rPr>
      </w:pPr>
    </w:p>
    <w:p>
      <w:pPr>
        <w:ind w:left="340" w:right="239"/>
        <w:spacing w:after="0" w:line="25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left="340" w:right="39"/>
        <w:spacing w:after="0" w:line="25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Emphasis of Matter</w:t>
      </w:r>
    </w:p>
    <w:p>
      <w:pPr>
        <w:spacing w:after="0" w:line="172" w:lineRule="exact"/>
        <w:rPr>
          <w:sz w:val="20"/>
          <w:szCs w:val="20"/>
          <w:color w:val="auto"/>
        </w:rPr>
      </w:pPr>
    </w:p>
    <w:p>
      <w:pPr>
        <w:ind w:left="340" w:right="219"/>
        <w:spacing w:after="0" w:line="272" w:lineRule="auto"/>
        <w:rPr>
          <w:sz w:val="20"/>
          <w:szCs w:val="20"/>
          <w:color w:val="auto"/>
        </w:rPr>
      </w:pPr>
      <w:r>
        <w:rPr>
          <w:rFonts w:ascii="Times New Roman" w:cs="Times New Roman" w:eastAsia="Times New Roman" w:hAnsi="Times New Roman"/>
          <w:sz w:val="17"/>
          <w:szCs w:val="17"/>
          <w:color w:val="auto"/>
        </w:rPr>
        <w:t>As discussed in Note 2 to the financial statements, the financial statements have been retrospectively adjusted for discontinued operations of the Fresh Cut business which was sold on August 15, 2024.</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72" w:lineRule="exact"/>
        <w:rPr>
          <w:sz w:val="20"/>
          <w:szCs w:val="20"/>
          <w:color w:val="auto"/>
        </w:rPr>
      </w:pPr>
    </w:p>
    <w:p>
      <w:pPr>
        <w:ind w:left="340" w:right="79"/>
        <w:spacing w:after="0" w:line="251"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Mexican IVA taxes receivable — Refer to Note 14 to the financial statements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2" w:lineRule="exact"/>
        <w:rPr>
          <w:sz w:val="20"/>
          <w:szCs w:val="20"/>
          <w:color w:val="auto"/>
        </w:rPr>
      </w:pPr>
    </w:p>
    <w:p>
      <w:pPr>
        <w:ind w:left="340" w:right="179"/>
        <w:spacing w:after="0" w:line="250" w:lineRule="auto"/>
        <w:rPr>
          <w:sz w:val="20"/>
          <w:szCs w:val="20"/>
          <w:color w:val="auto"/>
        </w:rPr>
      </w:pPr>
      <w:r>
        <w:rPr>
          <w:rFonts w:ascii="Times New Roman" w:cs="Times New Roman" w:eastAsia="Times New Roman" w:hAnsi="Times New Roman"/>
          <w:sz w:val="17"/>
          <w:szCs w:val="17"/>
          <w:color w:val="auto"/>
        </w:rPr>
        <w:t>As of October 31, 2024, the Company’s subsidiary, Calavo de Mexico (“CDM”), has a value-added taxes (IVA) receivable of $48.7 million due from the Mexican government. Historically, CDM received IVA refund payments from the Mexican tax authorities on a timely basis. Beginning in fiscal 2014 and continuing into fiscal 2024,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142" w:lineRule="exact"/>
        <w:rPr>
          <w:sz w:val="20"/>
          <w:szCs w:val="20"/>
          <w:color w:val="auto"/>
        </w:rPr>
      </w:pPr>
    </w:p>
    <w:p>
      <w:pPr>
        <w:ind w:left="340" w:right="139"/>
        <w:spacing w:after="0" w:line="255" w:lineRule="auto"/>
        <w:rPr>
          <w:sz w:val="20"/>
          <w:szCs w:val="20"/>
          <w:color w:val="auto"/>
        </w:rPr>
      </w:pPr>
      <w:r>
        <w:rPr>
          <w:rFonts w:ascii="Times New Roman" w:cs="Times New Roman" w:eastAsia="Times New Roman" w:hAnsi="Times New Roman"/>
          <w:sz w:val="17"/>
          <w:szCs w:val="17"/>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2" w:lineRule="exact"/>
        <w:rPr>
          <w:sz w:val="20"/>
          <w:szCs w:val="20"/>
          <w:color w:val="auto"/>
        </w:rPr>
      </w:pPr>
    </w:p>
    <w:p>
      <w:pPr>
        <w:ind w:left="340" w:right="299"/>
        <w:spacing w:after="0" w:line="272" w:lineRule="auto"/>
        <w:rPr>
          <w:sz w:val="20"/>
          <w:szCs w:val="20"/>
          <w:color w:val="auto"/>
        </w:rPr>
      </w:pPr>
      <w:r>
        <w:rPr>
          <w:rFonts w:ascii="Times New Roman" w:cs="Times New Roman" w:eastAsia="Times New Roman" w:hAnsi="Times New Roman"/>
          <w:sz w:val="17"/>
          <w:szCs w:val="17"/>
          <w:color w:val="auto"/>
        </w:rPr>
        <w:t>Our audit procedures related to management’s judgments related to the collectability of the IVA taxes receivable included the following, among others:</w:t>
      </w:r>
    </w:p>
    <w:p>
      <w:pPr>
        <w:spacing w:after="0" w:line="121" w:lineRule="exact"/>
        <w:rPr>
          <w:sz w:val="20"/>
          <w:szCs w:val="20"/>
          <w:color w:val="auto"/>
        </w:rPr>
      </w:pPr>
    </w:p>
    <w:p>
      <w:pPr>
        <w:ind w:left="640" w:right="399" w:hanging="1"/>
        <w:spacing w:after="0" w:line="272" w:lineRule="auto"/>
        <w:tabs>
          <w:tab w:leader="none" w:pos="124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the controls over the recoverability of the Mexican IVA taxes receivable and the review of related disclosures.</w:t>
      </w:r>
    </w:p>
    <w:p>
      <w:pPr>
        <w:spacing w:after="0" w:line="133" w:lineRule="exact"/>
        <w:rPr>
          <w:rFonts w:ascii="Times New Roman" w:cs="Times New Roman" w:eastAsia="Times New Roman" w:hAnsi="Times New Roman"/>
          <w:sz w:val="17"/>
          <w:szCs w:val="17"/>
          <w:color w:val="auto"/>
        </w:rPr>
      </w:pPr>
    </w:p>
    <w:p>
      <w:pPr>
        <w:ind w:left="640" w:right="239" w:hanging="1"/>
        <w:spacing w:after="0" w:line="259" w:lineRule="auto"/>
        <w:tabs>
          <w:tab w:leader="none" w:pos="124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tax specialists, we evaluated the recoverability of the IVA receivable by evaluating the technical merits and the Company’s interpretation of international tax law, including substantiating that the Company’s declared tax structure is in compliance with Mexican tax regulations.</w:t>
      </w:r>
    </w:p>
    <w:p>
      <w:pPr>
        <w:spacing w:after="0" w:line="131" w:lineRule="exact"/>
        <w:rPr>
          <w:rFonts w:ascii="Times New Roman" w:cs="Times New Roman" w:eastAsia="Times New Roman" w:hAnsi="Times New Roman"/>
          <w:sz w:val="17"/>
          <w:szCs w:val="17"/>
          <w:color w:val="auto"/>
        </w:rPr>
      </w:pPr>
    </w:p>
    <w:p>
      <w:pPr>
        <w:ind w:left="640" w:right="239" w:hanging="1"/>
        <w:spacing w:after="0" w:line="272" w:lineRule="auto"/>
        <w:tabs>
          <w:tab w:leader="none" w:pos="124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the collectability of the IVA receivable, and evaluated case rulings supporting the recoverability of IVA taxes paid to non-compliant vendors.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Uncertain Tax Positions Related to Mexico tax audits — Refer to Note 7 to the financial statements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2" w:lineRule="exact"/>
        <w:rPr>
          <w:sz w:val="20"/>
          <w:szCs w:val="20"/>
          <w:color w:val="auto"/>
        </w:rPr>
      </w:pPr>
    </w:p>
    <w:p>
      <w:pPr>
        <w:ind w:left="340" w:right="99"/>
        <w:spacing w:after="0" w:line="249" w:lineRule="auto"/>
        <w:rPr>
          <w:sz w:val="20"/>
          <w:szCs w:val="20"/>
          <w:color w:val="auto"/>
        </w:rPr>
      </w:pPr>
      <w:r>
        <w:rPr>
          <w:rFonts w:ascii="Times New Roman" w:cs="Times New Roman" w:eastAsia="Times New Roman" w:hAnsi="Times New Roman"/>
          <w:sz w:val="17"/>
          <w:szCs w:val="17"/>
          <w:color w:val="auto"/>
        </w:rPr>
        <w:t>The Company is under audit by the Mexican tax authorities relating to the Company’s 2013 fiscal year. The Mexican tax authorities have assessed the Company in connection with the audit for the 2013 fiscal year outlining certain proposed adjustments primarily related to intercompany funding, deductions for services from certain vendors/suppliers, and IVA. The assessment, including the effect of inflation and penalties, amounted to $3 billion Mexican pesos (approximately $148.8 million USD) as of October 31, 2024. The Company has filed an administrative reconsideration and an annulment suit to dismiss the assessment made by the Mexican tax authorities. While the Company believes the assessment is completely without merit, and that the Company will prevail on the annulment suit in tax court, the Company believes it is in the best interest to settle the 2013 tax matter. Therefore, in accordance with a cumulative probability analysis, the Company concluded that a provision of $11 million remains appropriate as of October 31, 2024.</w:t>
      </w:r>
    </w:p>
    <w:p>
      <w:pPr>
        <w:spacing w:after="0" w:line="143" w:lineRule="exact"/>
        <w:rPr>
          <w:sz w:val="20"/>
          <w:szCs w:val="20"/>
          <w:color w:val="auto"/>
        </w:rPr>
      </w:pPr>
    </w:p>
    <w:p>
      <w:pPr>
        <w:ind w:left="340" w:right="139"/>
        <w:spacing w:after="0" w:line="255" w:lineRule="auto"/>
        <w:rPr>
          <w:sz w:val="20"/>
          <w:szCs w:val="20"/>
          <w:color w:val="auto"/>
        </w:rPr>
      </w:pPr>
      <w:r>
        <w:rPr>
          <w:rFonts w:ascii="Times New Roman" w:cs="Times New Roman" w:eastAsia="Times New Roman" w:hAnsi="Times New Roman"/>
          <w:sz w:val="17"/>
          <w:szCs w:val="17"/>
          <w:color w:val="auto"/>
        </w:rPr>
        <w:t>Given the significant judgments made by management in determining its analysis and accounting for the Company’s uncertain tax position for the 2013 tax matter,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6" w:name="page77"/>
    <w:bookmarkEnd w:id="76"/>
    <w:p>
      <w:pPr>
        <w:ind w:left="340"/>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85" w:lineRule="exact"/>
        <w:rPr>
          <w:sz w:val="20"/>
          <w:szCs w:val="20"/>
          <w:color w:val="auto"/>
        </w:rPr>
      </w:pPr>
    </w:p>
    <w:p>
      <w:pPr>
        <w:ind w:left="340" w:right="719"/>
        <w:spacing w:after="0" w:line="272" w:lineRule="auto"/>
        <w:rPr>
          <w:sz w:val="20"/>
          <w:szCs w:val="20"/>
          <w:color w:val="auto"/>
        </w:rPr>
      </w:pPr>
      <w:r>
        <w:rPr>
          <w:rFonts w:ascii="Times New Roman" w:cs="Times New Roman" w:eastAsia="Times New Roman" w:hAnsi="Times New Roman"/>
          <w:sz w:val="17"/>
          <w:szCs w:val="17"/>
          <w:color w:val="auto"/>
        </w:rPr>
        <w:t>Our audit procedures related to the determination of whether it is more likely than not that the Company’s tax positions challenged by the Mexican tax authorities will be realized included the following, among others:</w:t>
      </w:r>
    </w:p>
    <w:p>
      <w:pPr>
        <w:spacing w:after="0" w:line="121" w:lineRule="exact"/>
        <w:rPr>
          <w:sz w:val="20"/>
          <w:szCs w:val="20"/>
          <w:color w:val="auto"/>
        </w:rPr>
      </w:pPr>
    </w:p>
    <w:p>
      <w:pPr>
        <w:ind w:left="640" w:right="159" w:hanging="1"/>
        <w:spacing w:after="0" w:line="272" w:lineRule="auto"/>
        <w:tabs>
          <w:tab w:leader="none" w:pos="124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the controls over the evaluation of uncertain tax positions as it relates to the periods subject to the Mexico tax audit and the review of related disclosures.</w:t>
      </w:r>
    </w:p>
    <w:p>
      <w:pPr>
        <w:spacing w:after="0" w:line="121" w:lineRule="exact"/>
        <w:rPr>
          <w:rFonts w:ascii="Times New Roman" w:cs="Times New Roman" w:eastAsia="Times New Roman" w:hAnsi="Times New Roman"/>
          <w:sz w:val="17"/>
          <w:szCs w:val="17"/>
          <w:color w:val="auto"/>
        </w:rPr>
      </w:pPr>
    </w:p>
    <w:p>
      <w:pPr>
        <w:ind w:left="640" w:right="139" w:hanging="1"/>
        <w:spacing w:after="0" w:line="272" w:lineRule="auto"/>
        <w:tabs>
          <w:tab w:leader="none" w:pos="124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tax specialists, we evaluated the Company’s interpretation of international taw laws and whether the declared tax structure is in compliance with Mexican tax regulations.</w:t>
      </w:r>
    </w:p>
    <w:p>
      <w:pPr>
        <w:spacing w:after="0" w:line="133" w:lineRule="exact"/>
        <w:rPr>
          <w:rFonts w:ascii="Times New Roman" w:cs="Times New Roman" w:eastAsia="Times New Roman" w:hAnsi="Times New Roman"/>
          <w:sz w:val="17"/>
          <w:szCs w:val="17"/>
          <w:color w:val="auto"/>
        </w:rPr>
      </w:pPr>
    </w:p>
    <w:p>
      <w:pPr>
        <w:ind w:left="640" w:right="59" w:hanging="1"/>
        <w:spacing w:after="0" w:line="272" w:lineRule="auto"/>
        <w:tabs>
          <w:tab w:leader="none" w:pos="124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obtained legal letters from the Company’s tax advisors related to understanding the advisors current assessment of the tax audit and assessed the technical merits of tax positions taken by the Company.</w:t>
      </w:r>
    </w:p>
    <w:p>
      <w:pPr>
        <w:spacing w:after="0" w:line="121" w:lineRule="exact"/>
        <w:rPr>
          <w:rFonts w:ascii="Times New Roman" w:cs="Times New Roman" w:eastAsia="Times New Roman" w:hAnsi="Times New Roman"/>
          <w:sz w:val="17"/>
          <w:szCs w:val="17"/>
          <w:color w:val="auto"/>
        </w:rPr>
      </w:pPr>
    </w:p>
    <w:p>
      <w:pPr>
        <w:ind w:left="640" w:right="199" w:hanging="1"/>
        <w:spacing w:after="0" w:line="272" w:lineRule="auto"/>
        <w:tabs>
          <w:tab w:leader="none" w:pos="1242"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reasonableness of the method, judgment, and assumptions used by the Company in determining the provision recognized to settle the uncertain tax position using a cumulative probability analysis.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January 14,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None.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Conclusion Regarding the Effectiveness of Disclosure Controls and Procedures</w:t>
      </w:r>
    </w:p>
    <w:p>
      <w:pPr>
        <w:spacing w:after="0" w:line="109" w:lineRule="exact"/>
        <w:rPr>
          <w:sz w:val="20"/>
          <w:szCs w:val="20"/>
          <w:color w:val="auto"/>
        </w:rPr>
      </w:pPr>
    </w:p>
    <w:p>
      <w:pPr>
        <w:ind w:left="40" w:right="79" w:firstLine="241"/>
        <w:spacing w:after="0" w:line="252"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2024.</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09" w:lineRule="exact"/>
        <w:rPr>
          <w:sz w:val="20"/>
          <w:szCs w:val="20"/>
          <w:color w:val="auto"/>
        </w:rPr>
      </w:pPr>
    </w:p>
    <w:p>
      <w:pPr>
        <w:ind w:left="40" w:right="539" w:firstLine="241"/>
        <w:spacing w:after="0" w:line="27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quarter ended October 31, 2024 that have materially affected, or are reasonably likely to materially affect, our internal control over financial reporting.</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10" w:lineRule="exact"/>
        <w:rPr>
          <w:sz w:val="20"/>
          <w:szCs w:val="20"/>
          <w:color w:val="auto"/>
        </w:rPr>
      </w:pPr>
    </w:p>
    <w:p>
      <w:pPr>
        <w:ind w:left="40" w:right="59" w:firstLine="241"/>
        <w:spacing w:after="0" w:line="272" w:lineRule="auto"/>
        <w:rPr>
          <w:sz w:val="20"/>
          <w:szCs w:val="20"/>
          <w:color w:val="auto"/>
        </w:rPr>
      </w:pPr>
      <w:r>
        <w:rPr>
          <w:rFonts w:ascii="Times New Roman" w:cs="Times New Roman" w:eastAsia="Times New Roman" w:hAnsi="Times New Roman"/>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Times New Roman" w:cs="Times New Roman" w:eastAsia="Times New Roman" w:hAnsi="Times New Roman"/>
          <w:sz w:val="16"/>
          <w:szCs w:val="16"/>
          <w:i w:val="1"/>
          <w:iCs w:val="1"/>
          <w:color w:val="auto"/>
        </w:rPr>
        <w:t>Internal Control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Integrated Framework </w:t>
      </w:r>
      <w:r>
        <w:rPr>
          <w:rFonts w:ascii="Times New Roman" w:cs="Times New Roman" w:eastAsia="Times New Roman" w:hAnsi="Times New Roman"/>
          <w:sz w:val="16"/>
          <w:szCs w:val="16"/>
          <w:color w:val="auto"/>
        </w:rPr>
        <w:t>issued by the Committee of Sponsoring Organizations of the Treadway Commission (2013 framework).</w:t>
      </w:r>
    </w:p>
    <w:p>
      <w:pPr>
        <w:spacing w:after="0" w:line="157" w:lineRule="exact"/>
        <w:rPr>
          <w:sz w:val="20"/>
          <w:szCs w:val="20"/>
          <w:color w:val="auto"/>
        </w:rPr>
      </w:pPr>
    </w:p>
    <w:p>
      <w:pPr>
        <w:ind w:left="40" w:right="99" w:firstLine="241"/>
        <w:spacing w:after="0" w:line="256" w:lineRule="auto"/>
        <w:rPr>
          <w:sz w:val="20"/>
          <w:szCs w:val="20"/>
          <w:color w:val="auto"/>
        </w:rPr>
      </w:pPr>
      <w:r>
        <w:rPr>
          <w:rFonts w:ascii="Times New Roman" w:cs="Times New Roman" w:eastAsia="Times New Roman" w:hAnsi="Times New Roman"/>
          <w:sz w:val="17"/>
          <w:szCs w:val="17"/>
          <w:color w:val="auto"/>
        </w:rPr>
        <w:t xml:space="preserve">Based on our evaluation under the framework set forth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our management concluded that our internal control over financial reporting was effective as of October 31, 2024. Our internal control over financial reporting as of October 31, 2024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shareholders and the Board of Directors of</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Calavo Growers, Inc.</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35" w:lineRule="exact"/>
        <w:rPr>
          <w:sz w:val="20"/>
          <w:szCs w:val="20"/>
          <w:color w:val="auto"/>
        </w:rPr>
      </w:pPr>
    </w:p>
    <w:p>
      <w:pPr>
        <w:ind w:left="40" w:right="199"/>
        <w:spacing w:after="0" w:line="249"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Calavo Growers, Inc. and subsidiaries (the “Company”) as of October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October 31, 2024, based on criteria established in </w:t>
      </w:r>
      <w:r>
        <w:rPr>
          <w:rFonts w:ascii="Times New Roman" w:cs="Times New Roman" w:eastAsia="Times New Roman" w:hAnsi="Times New Roman"/>
          <w:sz w:val="17"/>
          <w:szCs w:val="17"/>
          <w:i w:val="1"/>
          <w:iCs w:val="1"/>
          <w:color w:val="auto"/>
        </w:rPr>
        <w:t>Internal Control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(2013) </w:t>
      </w:r>
      <w:r>
        <w:rPr>
          <w:rFonts w:ascii="Times New Roman" w:cs="Times New Roman" w:eastAsia="Times New Roman" w:hAnsi="Times New Roman"/>
          <w:sz w:val="17"/>
          <w:szCs w:val="17"/>
          <w:color w:val="auto"/>
        </w:rPr>
        <w:t>issued by COSO.</w:t>
      </w:r>
    </w:p>
    <w:p>
      <w:pPr>
        <w:spacing w:after="0" w:line="202" w:lineRule="exact"/>
        <w:rPr>
          <w:sz w:val="20"/>
          <w:szCs w:val="20"/>
          <w:color w:val="auto"/>
        </w:rPr>
      </w:pPr>
    </w:p>
    <w:p>
      <w:pPr>
        <w:ind w:left="40" w:right="99"/>
        <w:spacing w:after="0" w:line="259"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October 31, 2024, of the Company and our report dated January 14, 2025, expressed an unqualified opinion on those financial statements.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5" w:lineRule="exact"/>
        <w:rPr>
          <w:sz w:val="20"/>
          <w:szCs w:val="20"/>
          <w:color w:val="auto"/>
        </w:rPr>
      </w:pPr>
    </w:p>
    <w:p>
      <w:pPr>
        <w:ind w:left="40" w:right="159"/>
        <w:spacing w:after="0" w:line="248"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40" w:right="119"/>
        <w:spacing w:after="0" w:line="24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ind w:left="40" w:right="79"/>
        <w:spacing w:after="0" w:line="24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ind w:left="40" w:right="219"/>
        <w:spacing w:after="0" w:line="251"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January 14, 2025</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9" w:name="page80"/>
    <w:bookmarkEnd w:id="79"/>
    <w:p>
      <w:pPr>
        <w:ind w:left="40"/>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Trading Plans</w:t>
      </w:r>
    </w:p>
    <w:p>
      <w:pPr>
        <w:spacing w:after="0" w:line="25" w:lineRule="exact"/>
        <w:rPr>
          <w:sz w:val="20"/>
          <w:szCs w:val="20"/>
          <w:color w:val="auto"/>
        </w:rPr>
      </w:pPr>
    </w:p>
    <w:p>
      <w:pPr>
        <w:ind w:left="40" w:right="699"/>
        <w:spacing w:after="0" w:line="283" w:lineRule="auto"/>
        <w:rPr>
          <w:sz w:val="20"/>
          <w:szCs w:val="20"/>
          <w:color w:val="auto"/>
        </w:rPr>
      </w:pPr>
      <w:r>
        <w:rPr>
          <w:rFonts w:ascii="Times New Roman" w:cs="Times New Roman" w:eastAsia="Times New Roman" w:hAnsi="Times New Roman"/>
          <w:sz w:val="16"/>
          <w:szCs w:val="16"/>
          <w:color w:val="auto"/>
        </w:rPr>
        <w:t>During the quarter ended October 31, 2024, no director or Section 16 officer adopted or terminated any Rule 10b5-1 trading arrangements or non-Rule 10b5-1 trading arrangements (in each case, as defined in Item 408(a) of Regulation S-K).</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0" w:lineRule="exact"/>
        <w:rPr>
          <w:sz w:val="20"/>
          <w:szCs w:val="20"/>
          <w:color w:val="auto"/>
        </w:rPr>
      </w:pPr>
    </w:p>
    <w:p>
      <w:pPr>
        <w:ind w:left="40" w:right="139" w:firstLine="241"/>
        <w:spacing w:after="0" w:line="255"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0" w:lineRule="exact"/>
        <w:rPr>
          <w:sz w:val="20"/>
          <w:szCs w:val="20"/>
          <w:color w:val="auto"/>
        </w:rPr>
      </w:pPr>
    </w:p>
    <w:p>
      <w:pPr>
        <w:ind w:left="40" w:right="79" w:firstLine="241"/>
        <w:spacing w:after="0" w:line="259" w:lineRule="auto"/>
        <w:rPr>
          <w:sz w:val="20"/>
          <w:szCs w:val="20"/>
          <w:color w:val="auto"/>
        </w:rPr>
      </w:pPr>
      <w:r>
        <w:rPr>
          <w:rFonts w:ascii="Times New Roman" w:cs="Times New Roman" w:eastAsia="Times New Roman" w:hAnsi="Times New Roman"/>
          <w:sz w:val="17"/>
          <w:szCs w:val="17"/>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Age</w:t>
            </w:r>
          </w:p>
        </w:tc>
        <w:tc>
          <w:tcPr>
            <w:tcW w:w="220" w:type="dxa"/>
            <w:vAlign w:val="bottom"/>
          </w:tcPr>
          <w:p>
            <w:pPr>
              <w:spacing w:after="0"/>
              <w:rPr>
                <w:sz w:val="14"/>
                <w:szCs w:val="14"/>
                <w:color w:val="auto"/>
              </w:rPr>
            </w:pPr>
          </w:p>
        </w:tc>
        <w:tc>
          <w:tcPr>
            <w:tcW w:w="4640" w:type="dxa"/>
            <w:vAlign w:val="bottom"/>
          </w:tcPr>
          <w:p>
            <w:pPr>
              <w:ind w:left="208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93"/>
        </w:trPr>
        <w:tc>
          <w:tcPr>
            <w:tcW w:w="370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Lecil Cole</w:t>
            </w: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3"/>
              </w:rPr>
              <w:t>85</w:t>
            </w:r>
          </w:p>
        </w:tc>
        <w:tc>
          <w:tcPr>
            <w:tcW w:w="220" w:type="dxa"/>
            <w:vAlign w:val="bottom"/>
            <w:tcBorders>
              <w:top w:val="single" w:sz="8" w:color="CCEEFF"/>
            </w:tcBorders>
            <w:shd w:val="clear" w:color="auto" w:fill="CCEEFF"/>
          </w:tcPr>
          <w:p>
            <w:pPr>
              <w:spacing w:after="0"/>
              <w:rPr>
                <w:sz w:val="16"/>
                <w:szCs w:val="16"/>
                <w:color w:val="auto"/>
              </w:rPr>
            </w:pPr>
          </w:p>
        </w:tc>
        <w:tc>
          <w:tcPr>
            <w:tcW w:w="46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01"/>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Snyder</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1"/>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Mike Browne</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66</w:t>
            </w:r>
          </w:p>
        </w:tc>
        <w:tc>
          <w:tcPr>
            <w:tcW w:w="4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Vice President Executive Sales &amp; Operations</w:t>
            </w:r>
          </w:p>
        </w:tc>
      </w:tr>
      <w:tr>
        <w:trPr>
          <w:trHeight w:val="226"/>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Ronald Araiza</w:t>
            </w:r>
          </w:p>
        </w:tc>
        <w:tc>
          <w:tcPr>
            <w:tcW w:w="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65</w:t>
            </w:r>
          </w:p>
        </w:tc>
        <w:tc>
          <w:tcPr>
            <w:tcW w:w="48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Vice President Executive Fresh Foods</w:t>
            </w:r>
          </w:p>
        </w:tc>
      </w:tr>
    </w:tbl>
    <w:p>
      <w:pPr>
        <w:spacing w:after="0" w:line="180" w:lineRule="exact"/>
        <w:rPr>
          <w:sz w:val="20"/>
          <w:szCs w:val="20"/>
          <w:color w:val="auto"/>
        </w:rPr>
      </w:pPr>
    </w:p>
    <w:p>
      <w:pPr>
        <w:ind w:left="40" w:right="159" w:firstLine="24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Lecil Cole </w:t>
      </w:r>
      <w:r>
        <w:rPr>
          <w:rFonts w:ascii="Times New Roman" w:cs="Times New Roman" w:eastAsia="Times New Roman" w:hAnsi="Times New Roman"/>
          <w:sz w:val="17"/>
          <w:szCs w:val="17"/>
          <w:color w:val="auto"/>
        </w:rPr>
        <w:t>served as our Chairman of the Board of Directors, Chief Executive Officer and President from 1999 until 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retirement in 2020. He retired as a director of the Company in 2021. In March 2023, the Company reinstated Mr. Cole as our Chief Executive Officer. Prior to joining Calavo, Mr. Cole served as an executive of Safeway Stores and as the Chairman of Central Coast Federal Land Bank. Mr. Cole farms a total of approximately 4,400 acres in California on which avocados and cattle are produced and raised.</w:t>
      </w:r>
    </w:p>
    <w:p>
      <w:pPr>
        <w:spacing w:after="0" w:line="169" w:lineRule="exact"/>
        <w:rPr>
          <w:sz w:val="20"/>
          <w:szCs w:val="20"/>
          <w:color w:val="auto"/>
        </w:rPr>
      </w:pPr>
    </w:p>
    <w:p>
      <w:pPr>
        <w:ind w:left="40" w:right="159" w:firstLine="24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James Snyder </w:t>
      </w:r>
      <w:r>
        <w:rPr>
          <w:rFonts w:ascii="Times New Roman" w:cs="Times New Roman" w:eastAsia="Times New Roman" w:hAnsi="Times New Roman"/>
          <w:sz w:val="17"/>
          <w:szCs w:val="17"/>
          <w:color w:val="auto"/>
        </w:rPr>
        <w:t>has served as our Chief Financial Officer since December 2024. Prior to his appointment as Chief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 Mr. Snyder served as Corporate Controller and Chief Accounting Officer at Gem-Pack Berries in Irvine, California since April 2024. Prior to that, Mr. Snyder served in a similar role for Nano Banc of Irvine from March 2020 to April 2024. Previously he served as Calavo’s Corporate Controller and Chief Accounting Officer from mid-2003 to March 2020, after beginning work for Calavo in December 2001.</w:t>
      </w:r>
    </w:p>
    <w:p>
      <w:pPr>
        <w:spacing w:after="0" w:line="169" w:lineRule="exact"/>
        <w:rPr>
          <w:sz w:val="20"/>
          <w:szCs w:val="20"/>
          <w:color w:val="auto"/>
        </w:rPr>
      </w:pPr>
    </w:p>
    <w:p>
      <w:pPr>
        <w:ind w:left="40" w:right="219" w:firstLine="241"/>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Mike Browne </w:t>
      </w:r>
      <w:r>
        <w:rPr>
          <w:rFonts w:ascii="Times New Roman" w:cs="Times New Roman" w:eastAsia="Times New Roman" w:hAnsi="Times New Roman"/>
          <w:sz w:val="17"/>
          <w:szCs w:val="17"/>
          <w:color w:val="auto"/>
        </w:rPr>
        <w:t>returned to Calavo June 2023 as the Vice President Executive Sales and Operations. He served as our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from May 2005 to December 2019. From 1997 until joining us, Mr. Browne served as the founder and co-owner of Fresh Directions International, a closely held multinational fresh produce company, which marketed fresh avocados from Mexico, Chile, and the Dominican Republic. From December 2019 to September 2021, Mr. Browne was the Chief Operating Officer of Mission Produce.</w:t>
      </w:r>
    </w:p>
    <w:p>
      <w:pPr>
        <w:spacing w:after="0" w:line="169" w:lineRule="exact"/>
        <w:rPr>
          <w:sz w:val="20"/>
          <w:szCs w:val="20"/>
          <w:color w:val="auto"/>
        </w:rPr>
      </w:pPr>
    </w:p>
    <w:p>
      <w:pPr>
        <w:ind w:left="40" w:right="159" w:firstLine="241"/>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Ronald Araiza </w:t>
      </w:r>
      <w:r>
        <w:rPr>
          <w:rFonts w:ascii="Times New Roman" w:cs="Times New Roman" w:eastAsia="Times New Roman" w:hAnsi="Times New Roman"/>
          <w:sz w:val="17"/>
          <w:szCs w:val="17"/>
          <w:color w:val="auto"/>
        </w:rPr>
        <w:t>returned to Calavo as our Vice President of Prepared Foods in June 2023 after a brief hiatus. He served as a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of Calavo from January 2017 until October 2022. Mr. Araiza has approximately twenty years of experience as a Vice President at Mission Produce and Del Rey Avocado. Mr. Araiza is also a past alternate board member of the California Avocado Commission.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80" w:name="page81"/>
    <w:bookmarkEnd w:id="80"/>
    <w:p>
      <w:pPr>
        <w:ind w:left="40" w:right="59" w:firstLine="241"/>
        <w:spacing w:after="0" w:line="256" w:lineRule="auto"/>
        <w:rPr>
          <w:sz w:val="20"/>
          <w:szCs w:val="20"/>
          <w:color w:val="auto"/>
        </w:rPr>
      </w:pPr>
      <w:r>
        <w:rPr>
          <w:rFonts w:ascii="Times New Roman" w:cs="Times New Roman" w:eastAsia="Times New Roman" w:hAnsi="Times New Roman"/>
          <w:sz w:val="17"/>
          <w:szCs w:val="17"/>
          <w:color w:val="auto"/>
        </w:rPr>
        <w:t>The following information will be included in the Proxy Statement to be filed within 120 days after our fiscal year end of October 31, 2024 and is incorporated herein by reference:</w:t>
      </w:r>
    </w:p>
    <w:p>
      <w:pPr>
        <w:spacing w:after="0" w:line="1" w:lineRule="exact"/>
        <w:rPr>
          <w:sz w:val="20"/>
          <w:szCs w:val="20"/>
          <w:color w:val="auto"/>
        </w:rPr>
      </w:pPr>
    </w:p>
    <w:p>
      <w:pPr>
        <w:ind w:left="1260" w:right="399" w:hanging="295"/>
        <w:spacing w:after="0" w:line="246" w:lineRule="auto"/>
        <w:tabs>
          <w:tab w:leader="none" w:pos="1260" w:val="left"/>
        </w:tabs>
        <w:numPr>
          <w:ilvl w:val="0"/>
          <w:numId w:val="30"/>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Information regarding our directors who are standing for reelection and any persons nominated to become our directors is set forth under "Election of Directors."</w:t>
      </w:r>
    </w:p>
    <w:p>
      <w:pPr>
        <w:ind w:left="1260" w:right="239" w:hanging="295"/>
        <w:spacing w:after="0" w:line="246" w:lineRule="auto"/>
        <w:tabs>
          <w:tab w:leader="none" w:pos="1260" w:val="left"/>
        </w:tabs>
        <w:numPr>
          <w:ilvl w:val="0"/>
          <w:numId w:val="30"/>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Information regarding our Audit Committee and designated "audit committee financial expert" is set forth under "Corporate Governance Principles and Board Matters—Board Structure, Independence of Directors and Committee Composition—Audit Committee."</w:t>
      </w:r>
    </w:p>
    <w:p>
      <w:pPr>
        <w:ind w:left="1260" w:right="299" w:hanging="295"/>
        <w:spacing w:after="0" w:line="252" w:lineRule="auto"/>
        <w:tabs>
          <w:tab w:leader="none" w:pos="1260" w:val="left"/>
        </w:tabs>
        <w:numPr>
          <w:ilvl w:val="0"/>
          <w:numId w:val="30"/>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Information regarding Section 16(a) beneficial ownership reporting compliance, if applicable, is set forth under "Delinquent Section 16(a) Reports."</w:t>
      </w:r>
    </w:p>
    <w:p>
      <w:pPr>
        <w:spacing w:after="0" w:line="17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i w:val="1"/>
          <w:iCs w:val="1"/>
          <w:color w:val="auto"/>
        </w:rPr>
        <w:t>Code of Ethics</w:t>
      </w:r>
    </w:p>
    <w:p>
      <w:pPr>
        <w:spacing w:after="0" w:line="210" w:lineRule="exact"/>
        <w:rPr>
          <w:sz w:val="20"/>
          <w:szCs w:val="20"/>
          <w:color w:val="auto"/>
        </w:rPr>
      </w:pPr>
    </w:p>
    <w:p>
      <w:pPr>
        <w:ind w:left="40" w:right="79" w:firstLine="241"/>
        <w:spacing w:after="0" w:line="259" w:lineRule="auto"/>
        <w:rPr>
          <w:sz w:val="20"/>
          <w:szCs w:val="20"/>
          <w:color w:val="auto"/>
        </w:rPr>
      </w:pPr>
      <w:r>
        <w:rPr>
          <w:rFonts w:ascii="Times New Roman" w:cs="Times New Roman" w:eastAsia="Times New Roman" w:hAnsi="Times New Roman"/>
          <w:sz w:val="17"/>
          <w:szCs w:val="17"/>
          <w:color w:val="auto"/>
        </w:rPr>
        <w:t>We have adopted a Code of Business Conduct and Ethics Policy (“Code of Ethics”) that applies to our principal executive officer, principal financial officer and principal accounting officer as well as all our directors, other officers and employees. Our Code of Ethics can be found on our website at www.calavo.com.</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We intend to disclose any amendment or waiver of the Code of Conduct promptly on our website.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0" w:lineRule="exact"/>
        <w:rPr>
          <w:sz w:val="20"/>
          <w:szCs w:val="20"/>
          <w:color w:val="auto"/>
        </w:rPr>
      </w:pPr>
    </w:p>
    <w:p>
      <w:pPr>
        <w:ind w:left="40" w:right="159" w:firstLine="241"/>
        <w:spacing w:after="0" w:line="272"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sections entitled “Executive Compensation” and “Directors’ Compensation” in the Proxy Statement.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0" w:lineRule="exact"/>
        <w:rPr>
          <w:sz w:val="20"/>
          <w:szCs w:val="20"/>
          <w:color w:val="auto"/>
        </w:rPr>
      </w:pPr>
    </w:p>
    <w:p>
      <w:pPr>
        <w:ind w:left="40" w:right="179" w:firstLine="241"/>
        <w:spacing w:after="0" w:line="272"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sections entitled “Common Stock Ownership of Certain Beneficial Owners and Management” and “Equity Compensation Plan Information” in the Proxy Statement.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10" w:lineRule="exact"/>
        <w:rPr>
          <w:sz w:val="20"/>
          <w:szCs w:val="20"/>
          <w:color w:val="auto"/>
        </w:rPr>
      </w:pPr>
    </w:p>
    <w:p>
      <w:pPr>
        <w:ind w:left="40" w:right="439" w:firstLine="241"/>
        <w:spacing w:after="0" w:line="272"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sections entitled “Transactions with Related Persons” and “Board Structure, Independence of Directors and Committee Composition” in the Proxy Statement.</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14. Principal Accountant’s Fees and Services</w:t>
      </w:r>
    </w:p>
    <w:p>
      <w:pPr>
        <w:spacing w:after="0" w:line="210" w:lineRule="exact"/>
        <w:rPr>
          <w:sz w:val="20"/>
          <w:szCs w:val="20"/>
          <w:color w:val="auto"/>
        </w:rPr>
      </w:pPr>
    </w:p>
    <w:p>
      <w:pPr>
        <w:ind w:left="40" w:right="359" w:firstLine="241"/>
        <w:spacing w:after="0" w:line="272" w:lineRule="auto"/>
        <w:rPr>
          <w:sz w:val="20"/>
          <w:szCs w:val="20"/>
          <w:color w:val="auto"/>
        </w:rPr>
      </w:pPr>
      <w:r>
        <w:rPr>
          <w:rFonts w:ascii="Times New Roman" w:cs="Times New Roman" w:eastAsia="Times New Roman" w:hAnsi="Times New Roman"/>
          <w:sz w:val="17"/>
          <w:szCs w:val="17"/>
          <w:color w:val="auto"/>
        </w:rPr>
        <w:t>Information required by this Item is incorporated herein by reference to the section of the Proxy Statement entitled “Principal Auditor Fees and Services.”</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06" w:lineRule="exact"/>
        <w:rPr>
          <w:sz w:val="20"/>
          <w:szCs w:val="20"/>
          <w:color w:val="auto"/>
        </w:rPr>
      </w:pPr>
    </w:p>
    <w:p>
      <w:pPr>
        <w:ind w:left="280" w:hanging="242"/>
        <w:spacing w:after="0"/>
        <w:tabs>
          <w:tab w:leader="none" w:pos="2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 </w:t>
      </w:r>
      <w:r>
        <w:rPr>
          <w:rFonts w:ascii="Times New Roman" w:cs="Times New Roman" w:eastAsia="Times New Roman" w:hAnsi="Times New Roman"/>
          <w:sz w:val="17"/>
          <w:szCs w:val="17"/>
          <w:b w:val="1"/>
          <w:bCs w:val="1"/>
          <w:color w:val="auto"/>
        </w:rPr>
        <w:t>Financial Statements</w:t>
      </w:r>
    </w:p>
    <w:p>
      <w:pPr>
        <w:spacing w:after="0" w:line="210" w:lineRule="exact"/>
        <w:rPr>
          <w:sz w:val="20"/>
          <w:szCs w:val="20"/>
          <w:color w:val="auto"/>
        </w:rPr>
      </w:pPr>
    </w:p>
    <w:p>
      <w:pPr>
        <w:ind w:left="540" w:right="79"/>
        <w:spacing w:after="0" w:line="272" w:lineRule="auto"/>
        <w:rPr>
          <w:sz w:val="20"/>
          <w:szCs w:val="20"/>
          <w:color w:val="auto"/>
        </w:rPr>
      </w:pPr>
      <w:r>
        <w:rPr>
          <w:rFonts w:ascii="Times New Roman" w:cs="Times New Roman" w:eastAsia="Times New Roman" w:hAnsi="Times New Roman"/>
          <w:sz w:val="17"/>
          <w:szCs w:val="17"/>
          <w:color w:val="auto"/>
        </w:rPr>
        <w:t>The following consolidated financial statements as of October 31, 2024 and 2023 and for each of the three years in the period ended October 31, 2024 are included herewith:</w:t>
      </w:r>
    </w:p>
    <w:p>
      <w:pPr>
        <w:spacing w:after="0" w:line="159" w:lineRule="exact"/>
        <w:rPr>
          <w:sz w:val="20"/>
          <w:szCs w:val="20"/>
          <w:color w:val="auto"/>
        </w:rPr>
      </w:pPr>
    </w:p>
    <w:p>
      <w:pPr>
        <w:ind w:left="540" w:right="119"/>
        <w:spacing w:after="0" w:line="259" w:lineRule="auto"/>
        <w:rPr>
          <w:sz w:val="20"/>
          <w:szCs w:val="20"/>
          <w:color w:val="auto"/>
        </w:rPr>
      </w:pPr>
      <w:r>
        <w:rPr>
          <w:rFonts w:ascii="Times New Roman" w:cs="Times New Roman" w:eastAsia="Times New Roman" w:hAnsi="Times New Roman"/>
          <w:sz w:val="17"/>
          <w:szCs w:val="17"/>
          <w:color w:val="auto"/>
        </w:rPr>
        <w:t>Consolidated Balance Sheets, Consolidated Statements of Operations, Consolidated Statements of Cash Flows, Consolidated Statements of Shareholders' Equity, Notes to Consolidated Financial Statements, and Report of Deloitte &amp; Touche LLP, Independent Registered Public Accounting Firm (PCAOB ID No. 34).</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976" w:right="1440" w:bottom="1440" w:gutter="0" w:footer="0" w:header="0"/>
        </w:sectPr>
      </w:pPr>
    </w:p>
    <w:bookmarkStart w:id="81" w:name="page82"/>
    <w:bookmarkEnd w:id="81"/>
    <w:p>
      <w:pPr>
        <w:ind w:left="520" w:hanging="232"/>
        <w:spacing w:after="0"/>
        <w:tabs>
          <w:tab w:leader="none" w:pos="52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financial statement schedules are required to be filed by Item 8 of Form 10-K.</w:t>
      </w:r>
    </w:p>
    <w:p>
      <w:pPr>
        <w:spacing w:after="0" w:line="213" w:lineRule="exact"/>
        <w:rPr>
          <w:rFonts w:ascii="Times New Roman" w:cs="Times New Roman" w:eastAsia="Times New Roman" w:hAnsi="Times New Roman"/>
          <w:sz w:val="16"/>
          <w:szCs w:val="16"/>
          <w:color w:val="auto"/>
        </w:rPr>
      </w:pPr>
    </w:p>
    <w:p>
      <w:pPr>
        <w:ind w:left="540" w:hanging="264"/>
        <w:spacing w:after="0"/>
        <w:tabs>
          <w:tab w:leader="none" w:pos="5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Exhibits</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See the “Exhibit Index” on pages 87 - 89 of this report.</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 Exhibits</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See subsection (a) (3) above.</w:t>
      </w:r>
    </w:p>
    <w:p>
      <w:pPr>
        <w:spacing w:after="0" w:line="202" w:lineRule="exact"/>
        <w:rPr>
          <w:sz w:val="20"/>
          <w:szCs w:val="20"/>
          <w:color w:val="auto"/>
        </w:rPr>
      </w:pPr>
    </w:p>
    <w:p>
      <w:pPr>
        <w:ind w:left="300" w:hanging="262"/>
        <w:spacing w:after="0"/>
        <w:tabs>
          <w:tab w:leader="none" w:pos="3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 Schedules</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See subsection (a) (1) and (2) above.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82" w:name="page83"/>
    <w:bookmarkEnd w:id="82"/>
    <w:tbl>
      <w:tblPr>
        <w:tblLayout w:type="fixed"/>
        <w:tblInd w:w="40" w:type="dxa"/>
        <w:tblCellMar>
          <w:top w:w="0" w:type="dxa"/>
          <w:left w:w="0" w:type="dxa"/>
          <w:bottom w:w="0" w:type="dxa"/>
          <w:right w:w="0" w:type="dxa"/>
        </w:tblCellMar>
      </w:tblPr>
      <w:tr>
        <w:trPr>
          <w:trHeight w:val="221"/>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60" w:type="dxa"/>
            <w:vAlign w:val="bottom"/>
          </w:tcPr>
          <w:p>
            <w:pPr>
              <w:ind w:left="28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77"/>
        </w:trPr>
        <w:tc>
          <w:tcPr>
            <w:tcW w:w="1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7860" w:type="dxa"/>
            <w:vAlign w:val="bottom"/>
          </w:tcPr>
          <w:p>
            <w:pPr>
              <w:ind w:left="35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75"/>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5"/>
                <w:szCs w:val="15"/>
                <w:color w:val="auto"/>
              </w:rPr>
            </w:pPr>
          </w:p>
        </w:tc>
        <w:tc>
          <w:tcPr>
            <w:tcW w:w="7860" w:type="dxa"/>
            <w:vAlign w:val="bottom"/>
            <w:tcBorders>
              <w:bottom w:val="single" w:sz="8" w:color="auto"/>
            </w:tcBorders>
          </w:tcPr>
          <w:p>
            <w:pPr>
              <w:spacing w:after="0"/>
              <w:rPr>
                <w:sz w:val="15"/>
                <w:szCs w:val="15"/>
                <w:color w:val="auto"/>
              </w:rPr>
            </w:pPr>
          </w:p>
        </w:tc>
      </w:tr>
    </w:tbl>
    <w:p>
      <w:pPr>
        <w:spacing w:after="0" w:line="159" w:lineRule="exact"/>
        <w:rPr>
          <w:sz w:val="20"/>
          <w:szCs w:val="20"/>
          <w:color w:val="auto"/>
        </w:rPr>
      </w:pPr>
    </w:p>
    <w:p>
      <w:pPr>
        <w:ind w:left="1100" w:right="99" w:hanging="580"/>
        <w:spacing w:after="0" w:line="263"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2.1*</w:t>
      </w:r>
      <w:r>
        <w:rPr>
          <w:sz w:val="20"/>
          <w:szCs w:val="20"/>
          <w:color w:val="auto"/>
        </w:rPr>
        <w:tab/>
      </w:r>
      <w:hyperlink r:id="rId89">
        <w:r>
          <w:rPr>
            <w:rFonts w:ascii="Times New Roman" w:cs="Times New Roman" w:eastAsia="Times New Roman" w:hAnsi="Times New Roman"/>
            <w:sz w:val="17"/>
            <w:szCs w:val="17"/>
            <w:u w:val="single" w:color="auto"/>
            <w:color w:val="0000EE"/>
          </w:rPr>
          <w:t>Agreement and Plan of Merger and Reorganization dated as of February 20, 2001 between Calavo Growers, Inc. and</w:t>
        </w:r>
      </w:hyperlink>
      <w:r>
        <w:rPr>
          <w:rFonts w:ascii="Times New Roman" w:cs="Times New Roman" w:eastAsia="Times New Roman" w:hAnsi="Times New Roman"/>
          <w:sz w:val="17"/>
          <w:szCs w:val="17"/>
          <w:u w:val="single" w:color="auto"/>
          <w:color w:val="0000EE"/>
        </w:rPr>
        <w:t xml:space="preserve"> </w:t>
      </w:r>
      <w:hyperlink r:id="rId89">
        <w:r>
          <w:rPr>
            <w:rFonts w:ascii="Times New Roman" w:cs="Times New Roman" w:eastAsia="Times New Roman" w:hAnsi="Times New Roman"/>
            <w:sz w:val="17"/>
            <w:szCs w:val="17"/>
            <w:u w:val="single" w:color="auto"/>
            <w:color w:val="0000EE"/>
          </w:rPr>
          <w:t>Calavo Growers of California. (incorporated by reference to Exhibit 2.1 to the Registration Statement on Form S-4</w:t>
        </w:r>
      </w:hyperlink>
      <w:r>
        <w:rPr>
          <w:rFonts w:ascii="Times New Roman" w:cs="Times New Roman" w:eastAsia="Times New Roman" w:hAnsi="Times New Roman"/>
          <w:sz w:val="17"/>
          <w:szCs w:val="17"/>
          <w:u w:val="single" w:color="auto"/>
          <w:color w:val="0000EE"/>
        </w:rPr>
        <w:t xml:space="preserve"> </w:t>
      </w:r>
      <w:hyperlink r:id="rId89">
        <w:r>
          <w:rPr>
            <w:rFonts w:ascii="Times New Roman" w:cs="Times New Roman" w:eastAsia="Times New Roman" w:hAnsi="Times New Roman"/>
            <w:sz w:val="17"/>
            <w:szCs w:val="17"/>
            <w:u w:val="single" w:color="auto"/>
            <w:color w:val="0000EE"/>
          </w:rPr>
          <w:t>(File No. 333-59418 filed by the Registrant on April 24, 2001)</w:t>
        </w:r>
      </w:hyperlink>
    </w:p>
    <w:p>
      <w:pPr>
        <w:spacing w:after="0" w:line="1" w:lineRule="exact"/>
        <w:rPr>
          <w:rFonts w:ascii="Times New Roman" w:cs="Times New Roman" w:eastAsia="Times New Roman" w:hAnsi="Times New Roman"/>
          <w:sz w:val="17"/>
          <w:szCs w:val="17"/>
          <w:u w:val="single" w:color="auto"/>
          <w:color w:val="0000EE"/>
        </w:rPr>
      </w:pPr>
    </w:p>
    <w:p>
      <w:pPr>
        <w:jc w:val="both"/>
        <w:ind w:left="1100" w:right="9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2.2*</w:t>
      </w:r>
      <w:r>
        <w:rPr>
          <w:sz w:val="20"/>
          <w:szCs w:val="20"/>
          <w:color w:val="auto"/>
        </w:rPr>
        <w:tab/>
      </w:r>
      <w:hyperlink r:id="rId90">
        <w:r>
          <w:rPr>
            <w:rFonts w:ascii="Times New Roman" w:cs="Times New Roman" w:eastAsia="Times New Roman" w:hAnsi="Times New Roman"/>
            <w:sz w:val="17"/>
            <w:szCs w:val="17"/>
            <w:u w:val="single" w:color="auto"/>
            <w:color w:val="0000EE"/>
          </w:rPr>
          <w:t>Agreement and Plan of Merger dated as of November 7, 2003 among Calavo Growers, Inc., Calavo Acquisition Inc.,</w:t>
        </w:r>
      </w:hyperlink>
      <w:r>
        <w:rPr>
          <w:rFonts w:ascii="Times New Roman" w:cs="Times New Roman" w:eastAsia="Times New Roman" w:hAnsi="Times New Roman"/>
          <w:sz w:val="17"/>
          <w:szCs w:val="17"/>
          <w:u w:val="single" w:color="auto"/>
          <w:color w:val="0000EE"/>
        </w:rPr>
        <w:t xml:space="preserve"> </w:t>
      </w:r>
      <w:hyperlink r:id="rId90">
        <w:r>
          <w:rPr>
            <w:rFonts w:ascii="Times New Roman" w:cs="Times New Roman" w:eastAsia="Times New Roman" w:hAnsi="Times New Roman"/>
            <w:sz w:val="17"/>
            <w:szCs w:val="17"/>
            <w:u w:val="single" w:color="auto"/>
            <w:color w:val="0000EE"/>
          </w:rPr>
          <w:t>Maui Fresh International, Inc. and Arthur J. Bruno, Robert J. Bruno and Javier J. Badillo. (incorporated by reference</w:t>
        </w:r>
      </w:hyperlink>
      <w:r>
        <w:rPr>
          <w:rFonts w:ascii="Times New Roman" w:cs="Times New Roman" w:eastAsia="Times New Roman" w:hAnsi="Times New Roman"/>
          <w:sz w:val="17"/>
          <w:szCs w:val="17"/>
          <w:u w:val="single" w:color="auto"/>
          <w:color w:val="0000EE"/>
        </w:rPr>
        <w:t xml:space="preserve"> </w:t>
      </w:r>
      <w:hyperlink r:id="rId90">
        <w:r>
          <w:rPr>
            <w:rFonts w:ascii="Times New Roman" w:cs="Times New Roman" w:eastAsia="Times New Roman" w:hAnsi="Times New Roman"/>
            <w:sz w:val="17"/>
            <w:szCs w:val="17"/>
            <w:u w:val="single" w:color="auto"/>
            <w:color w:val="0000EE"/>
          </w:rPr>
          <w:t>to Exhibit 2.2 to the Annual Report on Form 10-K filed by the Registrant on January 23, 2004)</w:t>
        </w:r>
      </w:hyperlink>
    </w:p>
    <w:p>
      <w:pPr>
        <w:spacing w:after="0" w:line="2" w:lineRule="exact"/>
        <w:rPr>
          <w:rFonts w:ascii="Times New Roman" w:cs="Times New Roman" w:eastAsia="Times New Roman" w:hAnsi="Times New Roman"/>
          <w:sz w:val="17"/>
          <w:szCs w:val="17"/>
          <w:u w:val="single" w:color="auto"/>
          <w:color w:val="0000EE"/>
        </w:rPr>
      </w:pPr>
    </w:p>
    <w:p>
      <w:pPr>
        <w:ind w:left="1100" w:right="5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2.3*</w:t>
      </w:r>
      <w:r>
        <w:rPr>
          <w:sz w:val="20"/>
          <w:szCs w:val="20"/>
          <w:color w:val="auto"/>
        </w:rPr>
        <w:tab/>
      </w:r>
      <w:hyperlink r:id="rId91">
        <w:r>
          <w:rPr>
            <w:rFonts w:ascii="Times New Roman" w:cs="Times New Roman" w:eastAsia="Times New Roman" w:hAnsi="Times New Roman"/>
            <w:sz w:val="17"/>
            <w:szCs w:val="17"/>
            <w:u w:val="single" w:color="auto"/>
            <w:color w:val="0000EE"/>
          </w:rPr>
          <w:t>Acquisition Agreement between Calavo Growers, Inc., a California corporation and Lecil E. Cole, Eric Weinert,</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Suzanne Cole-Savard, Guy Cole, and Lecil E. Cole and Mary Jeanette Cole, acting jointly and severally as trustees of</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the Lecil E. and Mary Jeanette Cole Revocable Trust dated October 19, 1993, also known as the Lecil E. and Mary</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Jeanette Cole Revocable 1993 Trust dated May 19, 2008 (incorporated by reference to Exhibit 2.1 to the Current</w:t>
        </w:r>
      </w:hyperlink>
      <w:r>
        <w:rPr>
          <w:rFonts w:ascii="Times New Roman" w:cs="Times New Roman" w:eastAsia="Times New Roman" w:hAnsi="Times New Roman"/>
          <w:sz w:val="17"/>
          <w:szCs w:val="17"/>
          <w:u w:val="single" w:color="auto"/>
          <w:color w:val="0000EE"/>
        </w:rPr>
        <w:t xml:space="preserve"> </w:t>
      </w:r>
      <w:hyperlink r:id="rId91">
        <w:r>
          <w:rPr>
            <w:rFonts w:ascii="Times New Roman" w:cs="Times New Roman" w:eastAsia="Times New Roman" w:hAnsi="Times New Roman"/>
            <w:sz w:val="17"/>
            <w:szCs w:val="17"/>
            <w:u w:val="single" w:color="auto"/>
            <w:color w:val="0000EE"/>
          </w:rPr>
          <w:t>Report on Form 8-K filed by the Registrant on May 29, 2008)</w:t>
        </w:r>
      </w:hyperlink>
    </w:p>
    <w:p>
      <w:pPr>
        <w:spacing w:after="0" w:line="3" w:lineRule="exact"/>
        <w:rPr>
          <w:rFonts w:ascii="Times New Roman" w:cs="Times New Roman" w:eastAsia="Times New Roman" w:hAnsi="Times New Roman"/>
          <w:sz w:val="17"/>
          <w:szCs w:val="17"/>
          <w:u w:val="single" w:color="auto"/>
          <w:color w:val="0000EE"/>
        </w:rPr>
      </w:pPr>
    </w:p>
    <w:p>
      <w:pPr>
        <w:ind w:left="1100" w:right="13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2.4*</w:t>
      </w:r>
      <w:r>
        <w:rPr>
          <w:sz w:val="20"/>
          <w:szCs w:val="20"/>
          <w:color w:val="auto"/>
        </w:rPr>
        <w:tab/>
      </w:r>
      <w:hyperlink r:id="rId92">
        <w:r>
          <w:rPr>
            <w:rFonts w:ascii="Times New Roman" w:cs="Times New Roman" w:eastAsia="Times New Roman" w:hAnsi="Times New Roman"/>
            <w:sz w:val="17"/>
            <w:szCs w:val="17"/>
            <w:u w:val="single" w:color="auto"/>
            <w:color w:val="0000EE"/>
          </w:rPr>
          <w:t>Asset Purchase and Contribution Agreement between Calavo Growers, Inc., Calavo Salsa Lisa, LLC, Lisa’s Salsa</w:t>
        </w:r>
      </w:hyperlink>
      <w:r>
        <w:rPr>
          <w:rFonts w:ascii="Times New Roman" w:cs="Times New Roman" w:eastAsia="Times New Roman" w:hAnsi="Times New Roman"/>
          <w:sz w:val="17"/>
          <w:szCs w:val="17"/>
          <w:u w:val="single" w:color="auto"/>
          <w:color w:val="0000EE"/>
        </w:rPr>
        <w:t xml:space="preserve"> </w:t>
      </w:r>
      <w:hyperlink r:id="rId92">
        <w:r>
          <w:rPr>
            <w:rFonts w:ascii="Times New Roman" w:cs="Times New Roman" w:eastAsia="Times New Roman" w:hAnsi="Times New Roman"/>
            <w:sz w:val="17"/>
            <w:szCs w:val="17"/>
            <w:u w:val="single" w:color="auto"/>
            <w:color w:val="0000EE"/>
          </w:rPr>
          <w:t>Company and Elizabeth Nicholson and Eric Nicholson dated February 8, 2010 (incorporated by reference to Exhibit</w:t>
        </w:r>
      </w:hyperlink>
      <w:r>
        <w:rPr>
          <w:rFonts w:ascii="Times New Roman" w:cs="Times New Roman" w:eastAsia="Times New Roman" w:hAnsi="Times New Roman"/>
          <w:sz w:val="17"/>
          <w:szCs w:val="17"/>
          <w:u w:val="single" w:color="auto"/>
          <w:color w:val="0000EE"/>
        </w:rPr>
        <w:t xml:space="preserve"> </w:t>
      </w:r>
      <w:hyperlink r:id="rId92">
        <w:r>
          <w:rPr>
            <w:rFonts w:ascii="Times New Roman" w:cs="Times New Roman" w:eastAsia="Times New Roman" w:hAnsi="Times New Roman"/>
            <w:sz w:val="17"/>
            <w:szCs w:val="17"/>
            <w:u w:val="single" w:color="auto"/>
            <w:color w:val="0000EE"/>
          </w:rPr>
          <w:t>2.1 to the Quarterly Report on Form 10-Q filed by the Registrant on March 11, 2010)</w:t>
        </w:r>
      </w:hyperlink>
    </w:p>
    <w:p>
      <w:pPr>
        <w:spacing w:after="0" w:line="2" w:lineRule="exact"/>
        <w:rPr>
          <w:rFonts w:ascii="Times New Roman" w:cs="Times New Roman" w:eastAsia="Times New Roman" w:hAnsi="Times New Roman"/>
          <w:sz w:val="17"/>
          <w:szCs w:val="17"/>
          <w:u w:val="single" w:color="auto"/>
          <w:color w:val="0000EE"/>
        </w:rPr>
      </w:pPr>
    </w:p>
    <w:p>
      <w:pPr>
        <w:ind w:left="1100" w:right="23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2.5*</w:t>
      </w:r>
      <w:r>
        <w:rPr>
          <w:sz w:val="20"/>
          <w:szCs w:val="20"/>
          <w:color w:val="auto"/>
        </w:rPr>
        <w:tab/>
      </w:r>
      <w:hyperlink r:id="rId93">
        <w:r>
          <w:rPr>
            <w:rFonts w:ascii="Times New Roman" w:cs="Times New Roman" w:eastAsia="Times New Roman" w:hAnsi="Times New Roman"/>
            <w:sz w:val="17"/>
            <w:szCs w:val="17"/>
            <w:u w:val="single" w:color="auto"/>
            <w:color w:val="0000EE"/>
          </w:rPr>
          <w:t>Amended and Restated Limited Liability Company Agreement for Calavo Salsa Lisa, LLC dated February 8, 2010</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among Calavo Growers, Inc., Calavo Salsa Lisa LLC, Lisa’s Salsa Company, Elizabeth Nicholson and Eric</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Nicholson. (portions of this agreement have been deleted and filed separately with the Securities and Exchange</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Commission pursuant to a request for confidential treatment.) (incorporated by reference to Exhibit 10.3 to the</w:t>
        </w:r>
      </w:hyperlink>
      <w:r>
        <w:rPr>
          <w:rFonts w:ascii="Times New Roman" w:cs="Times New Roman" w:eastAsia="Times New Roman" w:hAnsi="Times New Roman"/>
          <w:sz w:val="17"/>
          <w:szCs w:val="17"/>
          <w:u w:val="single" w:color="auto"/>
          <w:color w:val="0000EE"/>
        </w:rPr>
        <w:t xml:space="preserve"> </w:t>
      </w:r>
      <w:hyperlink r:id="rId93">
        <w:r>
          <w:rPr>
            <w:rFonts w:ascii="Times New Roman" w:cs="Times New Roman" w:eastAsia="Times New Roman" w:hAnsi="Times New Roman"/>
            <w:sz w:val="17"/>
            <w:szCs w:val="17"/>
            <w:u w:val="single" w:color="auto"/>
            <w:color w:val="0000EE"/>
          </w:rPr>
          <w:t>Quarterly Report on Form 10-Q filed by the Registrant on March 11, 2010)</w:t>
        </w:r>
      </w:hyperlink>
    </w:p>
    <w:p>
      <w:pPr>
        <w:spacing w:after="0" w:line="3" w:lineRule="exact"/>
        <w:rPr>
          <w:rFonts w:ascii="Times New Roman" w:cs="Times New Roman" w:eastAsia="Times New Roman" w:hAnsi="Times New Roman"/>
          <w:sz w:val="17"/>
          <w:szCs w:val="17"/>
          <w:u w:val="single" w:color="auto"/>
          <w:color w:val="0000EE"/>
        </w:rPr>
      </w:pPr>
    </w:p>
    <w:p>
      <w:pPr>
        <w:ind w:left="1100" w:right="119" w:hanging="580"/>
        <w:spacing w:after="0" w:line="232"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2.6*</w:t>
      </w:r>
      <w:r>
        <w:rPr>
          <w:sz w:val="20"/>
          <w:szCs w:val="20"/>
          <w:color w:val="auto"/>
        </w:rPr>
        <w:tab/>
      </w:r>
      <w:hyperlink r:id="rId94">
        <w:r>
          <w:rPr>
            <w:rFonts w:ascii="Times New Roman" w:cs="Times New Roman" w:eastAsia="Times New Roman" w:hAnsi="Times New Roman"/>
            <w:sz w:val="17"/>
            <w:szCs w:val="17"/>
            <w:u w:val="single" w:color="auto"/>
            <w:color w:val="0000EE"/>
          </w:rPr>
          <w:t>Agreement and Plan of Merger dated May 25, 2011 among Calavo Growers, Inc., CG Mergersub LLC, Renaissance</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Food Group, LLC and Liberty Fresh Foods, LLC, Kenneth Catchot, Cut Fruit, LLC, James Catchot, James Gibson,</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Jose O. Castillo, Donald L. Johnson and RFG Nominee Trust</w:t>
        </w:r>
        <w:r>
          <w:rPr>
            <w:rFonts w:ascii="Times New Roman" w:cs="Times New Roman" w:eastAsia="Times New Roman" w:hAnsi="Times New Roman"/>
            <w:sz w:val="25"/>
            <w:szCs w:val="25"/>
            <w:u w:val="single" w:color="auto"/>
            <w:color w:val="0000EE"/>
            <w:vertAlign w:val="superscript"/>
          </w:rPr>
          <w:t>1</w:t>
        </w:r>
        <w:r>
          <w:rPr>
            <w:rFonts w:ascii="Times New Roman" w:cs="Times New Roman" w:eastAsia="Times New Roman" w:hAnsi="Times New Roman"/>
            <w:sz w:val="17"/>
            <w:szCs w:val="17"/>
            <w:u w:val="single" w:color="auto"/>
            <w:color w:val="0000EE"/>
          </w:rPr>
          <w:t xml:space="preserve"> (certain portions of the exhibit have been omitted</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based upon a request for confidential treatment filed by the Registrant with the Securities and Exchange</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Commission. The omitted portions of the exhibit have been separately filed by the Registrant with the Securities and</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Exchange Commission.) (incorporated by reference to Exhibit 2.1 to the Current Report on Form 8-K/A filed by the</w:t>
        </w:r>
      </w:hyperlink>
      <w:r>
        <w:rPr>
          <w:rFonts w:ascii="Times New Roman" w:cs="Times New Roman" w:eastAsia="Times New Roman" w:hAnsi="Times New Roman"/>
          <w:sz w:val="17"/>
          <w:szCs w:val="17"/>
          <w:u w:val="single" w:color="auto"/>
          <w:color w:val="0000EE"/>
        </w:rPr>
        <w:t xml:space="preserve"> </w:t>
      </w:r>
      <w:hyperlink r:id="rId94">
        <w:r>
          <w:rPr>
            <w:rFonts w:ascii="Times New Roman" w:cs="Times New Roman" w:eastAsia="Times New Roman" w:hAnsi="Times New Roman"/>
            <w:sz w:val="17"/>
            <w:szCs w:val="17"/>
            <w:u w:val="single" w:color="auto"/>
            <w:color w:val="0000EE"/>
          </w:rPr>
          <w:t>Registrant on January 10, 2012).</w:t>
        </w:r>
      </w:hyperlink>
    </w:p>
    <w:p>
      <w:pPr>
        <w:spacing w:after="0" w:line="5" w:lineRule="exact"/>
        <w:rPr>
          <w:rFonts w:ascii="Times New Roman" w:cs="Times New Roman" w:eastAsia="Times New Roman" w:hAnsi="Times New Roman"/>
          <w:sz w:val="17"/>
          <w:szCs w:val="17"/>
          <w:u w:val="single" w:color="auto"/>
          <w:color w:val="0000EE"/>
        </w:rPr>
      </w:pPr>
    </w:p>
    <w:p>
      <w:pPr>
        <w:ind w:left="1100" w:right="139" w:hanging="580"/>
        <w:spacing w:after="0" w:line="256"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2.7*</w:t>
      </w:r>
      <w:r>
        <w:rPr>
          <w:sz w:val="20"/>
          <w:szCs w:val="20"/>
          <w:color w:val="auto"/>
        </w:rPr>
        <w:tab/>
      </w:r>
      <w:hyperlink r:id="rId95">
        <w:r>
          <w:rPr>
            <w:rFonts w:ascii="Times New Roman" w:cs="Times New Roman" w:eastAsia="Times New Roman" w:hAnsi="Times New Roman"/>
            <w:sz w:val="17"/>
            <w:szCs w:val="17"/>
            <w:u w:val="single" w:color="auto"/>
            <w:color w:val="0000EE"/>
          </w:rPr>
          <w:t>Sale of LLC Interest Agreement dated October 31, 2012 between Calavo Growers, Inc. and San Rafael Distributing,</w:t>
        </w:r>
      </w:hyperlink>
      <w:r>
        <w:rPr>
          <w:rFonts w:ascii="Times New Roman" w:cs="Times New Roman" w:eastAsia="Times New Roman" w:hAnsi="Times New Roman"/>
          <w:sz w:val="17"/>
          <w:szCs w:val="17"/>
          <w:u w:val="single" w:color="auto"/>
          <w:color w:val="0000EE"/>
        </w:rPr>
        <w:t xml:space="preserve"> </w:t>
      </w:r>
      <w:hyperlink r:id="rId95">
        <w:r>
          <w:rPr>
            <w:rFonts w:ascii="Times New Roman" w:cs="Times New Roman" w:eastAsia="Times New Roman" w:hAnsi="Times New Roman"/>
            <w:sz w:val="17"/>
            <w:szCs w:val="17"/>
            <w:u w:val="single" w:color="auto"/>
            <w:color w:val="0000EE"/>
          </w:rPr>
          <w:t>Inc. (incorporated by reference to Exhibit 10.1 to the Current Report on Form 8-K filed by the Registrant on</w:t>
        </w:r>
      </w:hyperlink>
      <w:r>
        <w:rPr>
          <w:rFonts w:ascii="Times New Roman" w:cs="Times New Roman" w:eastAsia="Times New Roman" w:hAnsi="Times New Roman"/>
          <w:sz w:val="17"/>
          <w:szCs w:val="17"/>
          <w:u w:val="single" w:color="auto"/>
          <w:color w:val="0000EE"/>
        </w:rPr>
        <w:t xml:space="preserve"> </w:t>
      </w:r>
      <w:hyperlink r:id="rId95">
        <w:r>
          <w:rPr>
            <w:rFonts w:ascii="Times New Roman" w:cs="Times New Roman" w:eastAsia="Times New Roman" w:hAnsi="Times New Roman"/>
            <w:sz w:val="17"/>
            <w:szCs w:val="17"/>
            <w:u w:val="single" w:color="auto"/>
            <w:color w:val="0000EE"/>
          </w:rPr>
          <w:t>November 6, 2012).</w:t>
        </w:r>
      </w:hyperlink>
    </w:p>
    <w:p>
      <w:pPr>
        <w:spacing w:after="0" w:line="1" w:lineRule="exact"/>
        <w:rPr>
          <w:rFonts w:ascii="Times New Roman" w:cs="Times New Roman" w:eastAsia="Times New Roman" w:hAnsi="Times New Roman"/>
          <w:sz w:val="17"/>
          <w:szCs w:val="17"/>
          <w:u w:val="single" w:color="auto"/>
          <w:color w:val="0000EE"/>
        </w:rPr>
      </w:pPr>
    </w:p>
    <w:p>
      <w:pPr>
        <w:ind w:left="1100" w:right="7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2.8*</w:t>
      </w:r>
      <w:r>
        <w:rPr>
          <w:sz w:val="20"/>
          <w:szCs w:val="20"/>
          <w:color w:val="auto"/>
        </w:rPr>
        <w:tab/>
      </w:r>
      <w:hyperlink r:id="rId96">
        <w:r>
          <w:rPr>
            <w:rFonts w:ascii="Times New Roman" w:cs="Times New Roman" w:eastAsia="Times New Roman" w:hAnsi="Times New Roman"/>
            <w:sz w:val="17"/>
            <w:szCs w:val="17"/>
            <w:u w:val="single" w:color="auto"/>
            <w:color w:val="0000EE"/>
          </w:rPr>
          <w:t>Amendment No. 1 to Agreement and Plan of Merger, dated July 31, 2013, among Calavo Growers, Inc., Renaissance</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Food Group, LLC and Liberty Fresh Foods, LLC, Kenneth Catchot, Cut Fruit, LLC, James Catchot, James Gibson,</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Jose O. Castillo, Donald L. Johnson and RFG Nominee Trust (incorporated by reference to Exhibit 10.1 to the</w:t>
        </w:r>
      </w:hyperlink>
      <w:r>
        <w:rPr>
          <w:rFonts w:ascii="Times New Roman" w:cs="Times New Roman" w:eastAsia="Times New Roman" w:hAnsi="Times New Roman"/>
          <w:sz w:val="17"/>
          <w:szCs w:val="17"/>
          <w:u w:val="single" w:color="auto"/>
          <w:color w:val="0000EE"/>
        </w:rPr>
        <w:t xml:space="preserve"> </w:t>
      </w:r>
      <w:hyperlink r:id="rId96">
        <w:r>
          <w:rPr>
            <w:rFonts w:ascii="Times New Roman" w:cs="Times New Roman" w:eastAsia="Times New Roman" w:hAnsi="Times New Roman"/>
            <w:sz w:val="17"/>
            <w:szCs w:val="17"/>
            <w:u w:val="single" w:color="auto"/>
            <w:color w:val="0000EE"/>
          </w:rPr>
          <w:t>Current Report on Form 8-K filed by the Registrant on September 4, 2013).</w:t>
        </w:r>
      </w:hyperlink>
    </w:p>
    <w:p>
      <w:pPr>
        <w:spacing w:after="0" w:line="2" w:lineRule="exact"/>
        <w:rPr>
          <w:rFonts w:ascii="Times New Roman" w:cs="Times New Roman" w:eastAsia="Times New Roman" w:hAnsi="Times New Roman"/>
          <w:sz w:val="17"/>
          <w:szCs w:val="17"/>
          <w:u w:val="single" w:color="auto"/>
          <w:color w:val="0000EE"/>
        </w:rPr>
      </w:pPr>
    </w:p>
    <w:p>
      <w:pPr>
        <w:ind w:left="1100" w:right="17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2.9*</w:t>
      </w:r>
      <w:r>
        <w:rPr>
          <w:sz w:val="20"/>
          <w:szCs w:val="20"/>
          <w:color w:val="auto"/>
        </w:rPr>
        <w:tab/>
      </w:r>
      <w:hyperlink r:id="rId97">
        <w:r>
          <w:rPr>
            <w:rFonts w:ascii="Times New Roman" w:cs="Times New Roman" w:eastAsia="Times New Roman" w:hAnsi="Times New Roman"/>
            <w:sz w:val="17"/>
            <w:szCs w:val="17"/>
            <w:u w:val="single" w:color="auto"/>
            <w:color w:val="0000EE"/>
          </w:rPr>
          <w:t>Amended and Restated Limited Liability Company Agreement, dated August 16, 2013, by and among FreshRealm,</w:t>
        </w:r>
      </w:hyperlink>
      <w:r>
        <w:rPr>
          <w:rFonts w:ascii="Times New Roman" w:cs="Times New Roman" w:eastAsia="Times New Roman" w:hAnsi="Times New Roman"/>
          <w:sz w:val="17"/>
          <w:szCs w:val="17"/>
          <w:u w:val="single" w:color="auto"/>
          <w:color w:val="0000EE"/>
        </w:rPr>
        <w:t xml:space="preserve"> </w:t>
      </w:r>
      <w:hyperlink r:id="rId97">
        <w:r>
          <w:rPr>
            <w:rFonts w:ascii="Times New Roman" w:cs="Times New Roman" w:eastAsia="Times New Roman" w:hAnsi="Times New Roman"/>
            <w:sz w:val="17"/>
            <w:szCs w:val="17"/>
            <w:u w:val="single" w:color="auto"/>
            <w:color w:val="0000EE"/>
          </w:rPr>
          <w:t>LLC, a Delaware limited liability company, and the Members (incorporated by reference to Exhibit 10.2 to the</w:t>
        </w:r>
      </w:hyperlink>
      <w:r>
        <w:rPr>
          <w:rFonts w:ascii="Times New Roman" w:cs="Times New Roman" w:eastAsia="Times New Roman" w:hAnsi="Times New Roman"/>
          <w:sz w:val="17"/>
          <w:szCs w:val="17"/>
          <w:u w:val="single" w:color="auto"/>
          <w:color w:val="0000EE"/>
        </w:rPr>
        <w:t xml:space="preserve"> </w:t>
      </w:r>
      <w:hyperlink r:id="rId97">
        <w:r>
          <w:rPr>
            <w:rFonts w:ascii="Times New Roman" w:cs="Times New Roman" w:eastAsia="Times New Roman" w:hAnsi="Times New Roman"/>
            <w:sz w:val="17"/>
            <w:szCs w:val="17"/>
            <w:u w:val="single" w:color="auto"/>
            <w:color w:val="0000EE"/>
          </w:rPr>
          <w:t>Quarterly Report on Form 10-Q filed by the Registrant on September 9, 2013).</w:t>
        </w:r>
      </w:hyperlink>
    </w:p>
    <w:p>
      <w:pPr>
        <w:spacing w:after="0" w:line="2" w:lineRule="exact"/>
        <w:rPr>
          <w:rFonts w:ascii="Times New Roman" w:cs="Times New Roman" w:eastAsia="Times New Roman" w:hAnsi="Times New Roman"/>
          <w:sz w:val="17"/>
          <w:szCs w:val="17"/>
          <w:u w:val="single" w:color="auto"/>
          <w:color w:val="0000EE"/>
        </w:rPr>
      </w:pPr>
    </w:p>
    <w:p>
      <w:pPr>
        <w:ind w:left="1100" w:right="139" w:hanging="663"/>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2.10*</w:t>
      </w:r>
      <w:r>
        <w:rPr>
          <w:sz w:val="20"/>
          <w:szCs w:val="20"/>
          <w:color w:val="auto"/>
        </w:rPr>
        <w:tab/>
      </w:r>
      <w:hyperlink r:id="rId98">
        <w:r>
          <w:rPr>
            <w:rFonts w:ascii="Times New Roman" w:cs="Times New Roman" w:eastAsia="Times New Roman" w:hAnsi="Times New Roman"/>
            <w:sz w:val="17"/>
            <w:szCs w:val="17"/>
            <w:u w:val="single" w:color="auto"/>
            <w:color w:val="0000EE"/>
          </w:rPr>
          <w:t>Amendment No. 2 to Agreement and Plan of Merger, dated as of October 1, 2013, among Calavo Growers, Inc.,</w:t>
        </w:r>
      </w:hyperlink>
      <w:r>
        <w:rPr>
          <w:rFonts w:ascii="Times New Roman" w:cs="Times New Roman" w:eastAsia="Times New Roman" w:hAnsi="Times New Roman"/>
          <w:sz w:val="17"/>
          <w:szCs w:val="17"/>
          <w:u w:val="single" w:color="auto"/>
          <w:color w:val="0000EE"/>
        </w:rPr>
        <w:t xml:space="preserve"> </w:t>
      </w:r>
      <w:hyperlink r:id="rId98">
        <w:r>
          <w:rPr>
            <w:rFonts w:ascii="Times New Roman" w:cs="Times New Roman" w:eastAsia="Times New Roman" w:hAnsi="Times New Roman"/>
            <w:sz w:val="17"/>
            <w:szCs w:val="17"/>
            <w:u w:val="single" w:color="auto"/>
            <w:color w:val="0000EE"/>
          </w:rPr>
          <w:t>Renaissance Food Group, LLC and Liberty Fresh Foods, LLC, Kenneth J. Catchot, Cut Fruit, LLC, James S.</w:t>
        </w:r>
      </w:hyperlink>
      <w:r>
        <w:rPr>
          <w:rFonts w:ascii="Times New Roman" w:cs="Times New Roman" w:eastAsia="Times New Roman" w:hAnsi="Times New Roman"/>
          <w:sz w:val="17"/>
          <w:szCs w:val="17"/>
          <w:u w:val="single" w:color="auto"/>
          <w:color w:val="0000EE"/>
        </w:rPr>
        <w:t xml:space="preserve"> </w:t>
      </w:r>
      <w:hyperlink r:id="rId98">
        <w:r>
          <w:rPr>
            <w:rFonts w:ascii="Times New Roman" w:cs="Times New Roman" w:eastAsia="Times New Roman" w:hAnsi="Times New Roman"/>
            <w:sz w:val="17"/>
            <w:szCs w:val="17"/>
            <w:u w:val="single" w:color="auto"/>
            <w:color w:val="0000EE"/>
          </w:rPr>
          <w:t>Catchot, James Gibson, Jose O. Castillo, Donald L. Johnson and the RFG Nominee Trust (incorporated by reference</w:t>
        </w:r>
      </w:hyperlink>
      <w:r>
        <w:rPr>
          <w:rFonts w:ascii="Times New Roman" w:cs="Times New Roman" w:eastAsia="Times New Roman" w:hAnsi="Times New Roman"/>
          <w:sz w:val="17"/>
          <w:szCs w:val="17"/>
          <w:u w:val="single" w:color="auto"/>
          <w:color w:val="0000EE"/>
        </w:rPr>
        <w:t xml:space="preserve"> </w:t>
      </w:r>
      <w:hyperlink r:id="rId98">
        <w:r>
          <w:rPr>
            <w:rFonts w:ascii="Times New Roman" w:cs="Times New Roman" w:eastAsia="Times New Roman" w:hAnsi="Times New Roman"/>
            <w:sz w:val="17"/>
            <w:szCs w:val="17"/>
            <w:u w:val="single" w:color="auto"/>
            <w:color w:val="0000EE"/>
          </w:rPr>
          <w:t>to Exhibit 10.1 to the Current Report on Form 8-K filed by the Registrant on November 16, 2023).</w:t>
        </w:r>
      </w:hyperlink>
    </w:p>
    <w:p>
      <w:pPr>
        <w:spacing w:after="0" w:line="2" w:lineRule="exact"/>
        <w:rPr>
          <w:rFonts w:ascii="Times New Roman" w:cs="Times New Roman" w:eastAsia="Times New Roman" w:hAnsi="Times New Roman"/>
          <w:sz w:val="17"/>
          <w:szCs w:val="17"/>
          <w:u w:val="single" w:color="auto"/>
          <w:color w:val="0000EE"/>
        </w:rPr>
      </w:pPr>
    </w:p>
    <w:p>
      <w:pPr>
        <w:ind w:left="1100" w:right="559" w:hanging="580"/>
        <w:spacing w:after="0" w:line="283"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3.1*</w:t>
      </w:r>
      <w:r>
        <w:rPr>
          <w:sz w:val="20"/>
          <w:szCs w:val="20"/>
          <w:color w:val="auto"/>
        </w:rPr>
        <w:tab/>
      </w:r>
      <w:hyperlink r:id="rId99">
        <w:r>
          <w:rPr>
            <w:rFonts w:ascii="Times New Roman" w:cs="Times New Roman" w:eastAsia="Times New Roman" w:hAnsi="Times New Roman"/>
            <w:sz w:val="17"/>
            <w:szCs w:val="17"/>
            <w:u w:val="single" w:color="auto"/>
            <w:color w:val="0000EE"/>
          </w:rPr>
          <w:t>Articles of Incorporation of Calavo Growers, Inc. (incorporated by reference to Exhibit 3.1 to the Registration</w:t>
        </w:r>
      </w:hyperlink>
      <w:r>
        <w:rPr>
          <w:rFonts w:ascii="Times New Roman" w:cs="Times New Roman" w:eastAsia="Times New Roman" w:hAnsi="Times New Roman"/>
          <w:sz w:val="17"/>
          <w:szCs w:val="17"/>
          <w:u w:val="single" w:color="auto"/>
          <w:color w:val="0000EE"/>
        </w:rPr>
        <w:t xml:space="preserve"> </w:t>
      </w:r>
      <w:hyperlink r:id="rId99">
        <w:r>
          <w:rPr>
            <w:rFonts w:ascii="Times New Roman" w:cs="Times New Roman" w:eastAsia="Times New Roman" w:hAnsi="Times New Roman"/>
            <w:sz w:val="17"/>
            <w:szCs w:val="17"/>
            <w:u w:val="single" w:color="auto"/>
            <w:color w:val="0000EE"/>
          </w:rPr>
          <w:t>Statement on Form S-4 (File No. 333-59418 filed by the Registrant on April 24, 2001).</w:t>
        </w:r>
      </w:hyperlink>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83" w:name="page84"/>
    <w:bookmarkEnd w:id="83"/>
    <w:p>
      <w:pPr>
        <w:jc w:val="right"/>
        <w:ind w:left="520" w:right="599"/>
        <w:spacing w:after="0" w:line="264"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3.2*    </w:t>
      </w:r>
      <w:hyperlink r:id="rId101">
        <w:r>
          <w:rPr>
            <w:rFonts w:ascii="Times New Roman" w:cs="Times New Roman" w:eastAsia="Times New Roman" w:hAnsi="Times New Roman"/>
            <w:sz w:val="17"/>
            <w:szCs w:val="17"/>
            <w:u w:val="single" w:color="auto"/>
            <w:color w:val="0000EE"/>
          </w:rPr>
          <w:t>Amended and Restated Bylaws of Calavo Growers, Inc., effective as of September 25, 2014 (incorporated by</w:t>
        </w:r>
      </w:hyperlink>
      <w:r>
        <w:rPr>
          <w:rFonts w:ascii="Times New Roman" w:cs="Times New Roman" w:eastAsia="Times New Roman" w:hAnsi="Times New Roman"/>
          <w:sz w:val="17"/>
          <w:szCs w:val="17"/>
          <w:color w:val="auto"/>
        </w:rPr>
        <w:t xml:space="preserve"> </w:t>
      </w:r>
      <w:hyperlink r:id="rId101">
        <w:r>
          <w:rPr>
            <w:rFonts w:ascii="Times New Roman" w:cs="Times New Roman" w:eastAsia="Times New Roman" w:hAnsi="Times New Roman"/>
            <w:sz w:val="17"/>
            <w:szCs w:val="17"/>
            <w:u w:val="single" w:color="auto"/>
            <w:color w:val="0000EE"/>
          </w:rPr>
          <w:t>reference to Exhibit 3.1 to the Quarterly Report on Form 10-Q filed by the Registrant on September 1, 2022).</w:t>
        </w:r>
      </w:hyperlink>
    </w:p>
    <w:p>
      <w:pPr>
        <w:jc w:val="both"/>
        <w:ind w:left="1100" w:right="159" w:hanging="580"/>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4.1*</w:t>
      </w:r>
      <w:r>
        <w:rPr>
          <w:sz w:val="20"/>
          <w:szCs w:val="20"/>
          <w:color w:val="auto"/>
        </w:rPr>
        <w:tab/>
      </w:r>
      <w:hyperlink r:id="rId102">
        <w:r>
          <w:rPr>
            <w:rFonts w:ascii="Times New Roman" w:cs="Times New Roman" w:eastAsia="Times New Roman" w:hAnsi="Times New Roman"/>
            <w:sz w:val="17"/>
            <w:szCs w:val="17"/>
            <w:u w:val="single" w:color="auto"/>
            <w:color w:val="0000EE"/>
          </w:rPr>
          <w:t>Description of the Securities of Calavo Growers, Inc. Registered Pursuant to Section 12 of the Securities Exchange</w:t>
        </w:r>
      </w:hyperlink>
      <w:r>
        <w:rPr>
          <w:rFonts w:ascii="Times New Roman" w:cs="Times New Roman" w:eastAsia="Times New Roman" w:hAnsi="Times New Roman"/>
          <w:sz w:val="17"/>
          <w:szCs w:val="17"/>
          <w:u w:val="single" w:color="auto"/>
          <w:color w:val="0000EE"/>
        </w:rPr>
        <w:t xml:space="preserve"> </w:t>
      </w:r>
      <w:hyperlink r:id="rId102">
        <w:r>
          <w:rPr>
            <w:rFonts w:ascii="Times New Roman" w:cs="Times New Roman" w:eastAsia="Times New Roman" w:hAnsi="Times New Roman"/>
            <w:sz w:val="17"/>
            <w:szCs w:val="17"/>
            <w:u w:val="single" w:color="auto"/>
            <w:color w:val="0000EE"/>
          </w:rPr>
          <w:t>Act of 1934. (incorporated by reference to Exhibit 4.1 to the Annual Report on Form 10-K/A filed by the Registrant</w:t>
        </w:r>
      </w:hyperlink>
      <w:r>
        <w:rPr>
          <w:rFonts w:ascii="Times New Roman" w:cs="Times New Roman" w:eastAsia="Times New Roman" w:hAnsi="Times New Roman"/>
          <w:sz w:val="17"/>
          <w:szCs w:val="17"/>
          <w:u w:val="single" w:color="auto"/>
          <w:color w:val="0000EE"/>
        </w:rPr>
        <w:t xml:space="preserve"> </w:t>
      </w:r>
      <w:hyperlink r:id="rId102">
        <w:r>
          <w:rPr>
            <w:rFonts w:ascii="Times New Roman" w:cs="Times New Roman" w:eastAsia="Times New Roman" w:hAnsi="Times New Roman"/>
            <w:sz w:val="17"/>
            <w:szCs w:val="17"/>
            <w:u w:val="single" w:color="auto"/>
            <w:color w:val="0000EE"/>
          </w:rPr>
          <w:t>on March 30, 2020).</w:t>
        </w:r>
      </w:hyperlink>
    </w:p>
    <w:p>
      <w:pPr>
        <w:spacing w:after="0" w:line="2" w:lineRule="exact"/>
        <w:rPr>
          <w:rFonts w:ascii="Times New Roman" w:cs="Times New Roman" w:eastAsia="Times New Roman" w:hAnsi="Times New Roman"/>
          <w:sz w:val="17"/>
          <w:szCs w:val="17"/>
          <w:u w:val="single" w:color="auto"/>
          <w:color w:val="0000EE"/>
        </w:rPr>
      </w:pPr>
    </w:p>
    <w:p>
      <w:pPr>
        <w:ind w:left="1100" w:right="339" w:hanging="663"/>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10.1*</w:t>
      </w:r>
      <w:r>
        <w:rPr>
          <w:sz w:val="20"/>
          <w:szCs w:val="20"/>
          <w:color w:val="auto"/>
        </w:rPr>
        <w:tab/>
      </w:r>
      <w:hyperlink r:id="rId103">
        <w:r>
          <w:rPr>
            <w:rFonts w:ascii="Times New Roman" w:cs="Times New Roman" w:eastAsia="Times New Roman" w:hAnsi="Times New Roman"/>
            <w:sz w:val="17"/>
            <w:szCs w:val="17"/>
            <w:u w:val="single" w:color="auto"/>
            <w:color w:val="0000EE"/>
          </w:rPr>
          <w:t>Form of Marketing Agreement for Calavo Growers, Inc. (incorporated by reference to Exhibit 10.1 to the Annual</w:t>
        </w:r>
      </w:hyperlink>
      <w:r>
        <w:rPr>
          <w:rFonts w:ascii="Times New Roman" w:cs="Times New Roman" w:eastAsia="Times New Roman" w:hAnsi="Times New Roman"/>
          <w:sz w:val="17"/>
          <w:szCs w:val="17"/>
          <w:u w:val="single" w:color="auto"/>
          <w:color w:val="0000EE"/>
        </w:rPr>
        <w:t xml:space="preserve"> </w:t>
      </w:r>
      <w:hyperlink r:id="rId103">
        <w:r>
          <w:rPr>
            <w:rFonts w:ascii="Times New Roman" w:cs="Times New Roman" w:eastAsia="Times New Roman" w:hAnsi="Times New Roman"/>
            <w:sz w:val="17"/>
            <w:szCs w:val="17"/>
            <w:u w:val="single" w:color="auto"/>
            <w:color w:val="0000EE"/>
          </w:rPr>
          <w:t>Report on Form 10-K filed by the Registrant on January 28, 2003).</w:t>
        </w:r>
      </w:hyperlink>
    </w:p>
    <w:p>
      <w:pPr>
        <w:spacing w:after="0" w:line="1" w:lineRule="exact"/>
        <w:rPr>
          <w:sz w:val="20"/>
          <w:szCs w:val="20"/>
          <w:color w:val="auto"/>
        </w:rPr>
      </w:pPr>
    </w:p>
    <w:p>
      <w:pPr>
        <w:ind w:left="1100" w:right="419" w:hanging="663"/>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10.2*</w:t>
      </w:r>
      <w:r>
        <w:rPr>
          <w:sz w:val="20"/>
          <w:szCs w:val="20"/>
          <w:color w:val="auto"/>
        </w:rPr>
        <w:tab/>
      </w:r>
      <w:hyperlink r:id="rId104">
        <w:r>
          <w:rPr>
            <w:rFonts w:ascii="Times New Roman" w:cs="Times New Roman" w:eastAsia="Times New Roman" w:hAnsi="Times New Roman"/>
            <w:sz w:val="17"/>
            <w:szCs w:val="17"/>
            <w:u w:val="single" w:color="auto"/>
            <w:color w:val="0000EE"/>
          </w:rPr>
          <w:t>Form of Notice of Restricted Stock Award (incorporated by reference to Exhibit 10.1 to the Quarterly Report on</w:t>
        </w:r>
      </w:hyperlink>
      <w:r>
        <w:rPr>
          <w:rFonts w:ascii="Times New Roman" w:cs="Times New Roman" w:eastAsia="Times New Roman" w:hAnsi="Times New Roman"/>
          <w:sz w:val="17"/>
          <w:szCs w:val="17"/>
          <w:u w:val="single" w:color="auto"/>
          <w:color w:val="0000EE"/>
        </w:rPr>
        <w:t xml:space="preserve"> </w:t>
      </w:r>
      <w:hyperlink r:id="rId104">
        <w:r>
          <w:rPr>
            <w:rFonts w:ascii="Times New Roman" w:cs="Times New Roman" w:eastAsia="Times New Roman" w:hAnsi="Times New Roman"/>
            <w:sz w:val="17"/>
            <w:szCs w:val="17"/>
            <w:u w:val="single" w:color="auto"/>
            <w:color w:val="0000EE"/>
          </w:rPr>
          <w:t>Form 10-Q filed by the Registrant on March 14, 2022).</w:t>
        </w:r>
      </w:hyperlink>
    </w:p>
    <w:p>
      <w:pPr>
        <w:spacing w:after="0" w:line="1" w:lineRule="exact"/>
        <w:rPr>
          <w:sz w:val="20"/>
          <w:szCs w:val="20"/>
          <w:color w:val="auto"/>
        </w:rPr>
      </w:pPr>
    </w:p>
    <w:p>
      <w:pPr>
        <w:ind w:left="440"/>
        <w:spacing w:after="0"/>
        <w:tabs>
          <w:tab w:leader="none" w:pos="108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7"/>
          <w:szCs w:val="17"/>
          <w:color w:val="auto"/>
        </w:rPr>
        <w:t>10.3*</w:t>
      </w:r>
      <w:r>
        <w:rPr>
          <w:sz w:val="20"/>
          <w:szCs w:val="20"/>
          <w:color w:val="auto"/>
        </w:rPr>
        <w:tab/>
      </w:r>
      <w:hyperlink r:id="rId105">
        <w:r>
          <w:rPr>
            <w:rFonts w:ascii="Times New Roman" w:cs="Times New Roman" w:eastAsia="Times New Roman" w:hAnsi="Times New Roman"/>
            <w:sz w:val="16"/>
            <w:szCs w:val="16"/>
            <w:u w:val="single" w:color="auto"/>
            <w:color w:val="0000EE"/>
          </w:rPr>
          <w:t>Form of Notice of Stock Option Award (incorporated by reference to Exhibit 10.2 to the Quarterly Report on Form</w:t>
        </w:r>
      </w:hyperlink>
    </w:p>
    <w:p>
      <w:pPr>
        <w:spacing w:after="0" w:line="18" w:lineRule="exact"/>
        <w:rPr>
          <w:sz w:val="20"/>
          <w:szCs w:val="20"/>
          <w:color w:val="auto"/>
        </w:rPr>
      </w:pPr>
    </w:p>
    <w:p>
      <w:pPr>
        <w:ind w:left="1100"/>
        <w:spacing w:after="0"/>
        <w:rPr>
          <w:rFonts w:ascii="Times New Roman" w:cs="Times New Roman" w:eastAsia="Times New Roman" w:hAnsi="Times New Roman"/>
          <w:sz w:val="17"/>
          <w:szCs w:val="17"/>
          <w:u w:val="single" w:color="auto"/>
          <w:color w:val="0000EE"/>
        </w:rPr>
      </w:pPr>
      <w:hyperlink r:id="rId105">
        <w:r>
          <w:rPr>
            <w:rFonts w:ascii="Times New Roman" w:cs="Times New Roman" w:eastAsia="Times New Roman" w:hAnsi="Times New Roman"/>
            <w:sz w:val="17"/>
            <w:szCs w:val="17"/>
            <w:u w:val="single" w:color="auto"/>
            <w:color w:val="0000EE"/>
          </w:rPr>
          <w:t>10-Q filed by the Registrant on March 14, 2022).</w:t>
        </w:r>
      </w:hyperlink>
    </w:p>
    <w:p>
      <w:pPr>
        <w:spacing w:after="0" w:line="18" w:lineRule="exact"/>
        <w:rPr>
          <w:sz w:val="20"/>
          <w:szCs w:val="20"/>
          <w:color w:val="auto"/>
        </w:rPr>
      </w:pPr>
    </w:p>
    <w:p>
      <w:pPr>
        <w:ind w:left="1100" w:right="259" w:hanging="663"/>
        <w:spacing w:after="0" w:line="261" w:lineRule="auto"/>
        <w:tabs>
          <w:tab w:leader="none" w:pos="1080" w:val="left"/>
        </w:tabs>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10.4*</w:t>
      </w:r>
      <w:r>
        <w:rPr>
          <w:sz w:val="20"/>
          <w:szCs w:val="20"/>
          <w:color w:val="auto"/>
        </w:rPr>
        <w:tab/>
      </w:r>
      <w:hyperlink r:id="rId106">
        <w:r>
          <w:rPr>
            <w:rFonts w:ascii="Times New Roman" w:cs="Times New Roman" w:eastAsia="Times New Roman" w:hAnsi="Times New Roman"/>
            <w:sz w:val="17"/>
            <w:szCs w:val="17"/>
            <w:u w:val="single" w:color="auto"/>
            <w:color w:val="0000EE"/>
          </w:rPr>
          <w:t>2020 Equity Incentive Plan (incorporated by reference to Exhibit 4.3(a) to the Registration Statement on Form S-8</w:t>
        </w:r>
      </w:hyperlink>
      <w:r>
        <w:rPr>
          <w:rFonts w:ascii="Times New Roman" w:cs="Times New Roman" w:eastAsia="Times New Roman" w:hAnsi="Times New Roman"/>
          <w:sz w:val="17"/>
          <w:szCs w:val="17"/>
          <w:u w:val="single" w:color="auto"/>
          <w:color w:val="0000EE"/>
        </w:rPr>
        <w:t xml:space="preserve"> </w:t>
      </w:r>
      <w:hyperlink r:id="rId106">
        <w:r>
          <w:rPr>
            <w:rFonts w:ascii="Times New Roman" w:cs="Times New Roman" w:eastAsia="Times New Roman" w:hAnsi="Times New Roman"/>
            <w:sz w:val="17"/>
            <w:szCs w:val="17"/>
            <w:u w:val="single" w:color="auto"/>
            <w:color w:val="0000EE"/>
          </w:rPr>
          <w:t>filed by the Registrant 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EE"/>
            <w:highlight w:val="white"/>
          </w:rPr>
          <w:t>June 10, 2021</w:t>
        </w:r>
        <w:r>
          <w:rPr>
            <w:rFonts w:ascii="Times New Roman" w:cs="Times New Roman" w:eastAsia="Times New Roman" w:hAnsi="Times New Roman"/>
            <w:sz w:val="17"/>
            <w:szCs w:val="17"/>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-22225</wp:posOffset>
            </wp:positionV>
            <wp:extent cx="6540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jc w:val="right"/>
        <w:ind w:left="440" w:right="519"/>
        <w:spacing w:after="0" w:line="261"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10.5*    </w:t>
      </w:r>
      <w:hyperlink r:id="rId108">
        <w:r>
          <w:rPr>
            <w:rFonts w:ascii="Times New Roman" w:cs="Times New Roman" w:eastAsia="Times New Roman" w:hAnsi="Times New Roman"/>
            <w:sz w:val="17"/>
            <w:szCs w:val="17"/>
            <w:u w:val="single" w:color="auto"/>
            <w:color w:val="0000EE"/>
          </w:rPr>
          <w:t>Form of Indemnification Agreement between with each of its directors and executive officers (incorporated by</w:t>
        </w:r>
      </w:hyperlink>
      <w:r>
        <w:rPr>
          <w:rFonts w:ascii="Times New Roman" w:cs="Times New Roman" w:eastAsia="Times New Roman" w:hAnsi="Times New Roman"/>
          <w:sz w:val="17"/>
          <w:szCs w:val="17"/>
          <w:color w:val="auto"/>
        </w:rPr>
        <w:t xml:space="preserve"> </w:t>
      </w:r>
      <w:hyperlink r:id="rId108">
        <w:r>
          <w:rPr>
            <w:rFonts w:ascii="Times New Roman" w:cs="Times New Roman" w:eastAsia="Times New Roman" w:hAnsi="Times New Roman"/>
            <w:sz w:val="17"/>
            <w:szCs w:val="17"/>
            <w:u w:val="single" w:color="auto"/>
            <w:color w:val="0000EE"/>
          </w:rPr>
          <w:t>reference to Exhibit 10.2 to the Quarterly Report on Form 10-Q filed by the Registrant on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EE"/>
            <w:highlight w:val="white"/>
          </w:rPr>
          <w:t>September 1, 2022</w:t>
        </w:r>
        <w:r>
          <w:rPr>
            <w:rFonts w:ascii="Times New Roman" w:cs="Times New Roman" w:eastAsia="Times New Roman" w:hAnsi="Times New Roman"/>
            <w:sz w:val="17"/>
            <w:szCs w:val="17"/>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4536440</wp:posOffset>
            </wp:positionH>
            <wp:positionV relativeFrom="paragraph">
              <wp:posOffset>-22225</wp:posOffset>
            </wp:positionV>
            <wp:extent cx="8604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ind w:left="1100" w:right="79" w:hanging="663"/>
        <w:spacing w:after="0" w:line="261"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10.6*</w:t>
      </w:r>
      <w:r>
        <w:rPr>
          <w:sz w:val="20"/>
          <w:szCs w:val="20"/>
          <w:color w:val="auto"/>
        </w:rPr>
        <w:tab/>
      </w:r>
      <w:hyperlink r:id="rId110">
        <w:r>
          <w:rPr>
            <w:rFonts w:ascii="Times New Roman" w:cs="Times New Roman" w:eastAsia="Times New Roman" w:hAnsi="Times New Roman"/>
            <w:sz w:val="17"/>
            <w:szCs w:val="17"/>
            <w:u w:val="single" w:color="auto"/>
            <w:color w:val="0000EE"/>
          </w:rPr>
          <w:t>Lease Agreement dated as of November 21, 1997, between Tede S.A. de C.V., a Mexican corporation, and Calavo de</w:t>
        </w:r>
      </w:hyperlink>
      <w:r>
        <w:rPr>
          <w:rFonts w:ascii="Times New Roman" w:cs="Times New Roman" w:eastAsia="Times New Roman" w:hAnsi="Times New Roman"/>
          <w:sz w:val="17"/>
          <w:szCs w:val="17"/>
          <w:u w:val="single" w:color="auto"/>
          <w:color w:val="0000EE"/>
        </w:rPr>
        <w:t xml:space="preserve"> </w:t>
      </w:r>
      <w:hyperlink r:id="rId110">
        <w:r>
          <w:rPr>
            <w:rFonts w:ascii="Times New Roman" w:cs="Times New Roman" w:eastAsia="Times New Roman" w:hAnsi="Times New Roman"/>
            <w:sz w:val="17"/>
            <w:szCs w:val="17"/>
            <w:u w:val="single" w:color="auto"/>
            <w:color w:val="0000EE"/>
          </w:rPr>
          <w:t>Mexico, S.A. de C.V., a Mexican corporation, including attached Guaranty of Calavo Growers of California dated</w:t>
        </w:r>
      </w:hyperlink>
      <w:r>
        <w:rPr>
          <w:rFonts w:ascii="Times New Roman" w:cs="Times New Roman" w:eastAsia="Times New Roman" w:hAnsi="Times New Roman"/>
          <w:sz w:val="17"/>
          <w:szCs w:val="17"/>
          <w:u w:val="single" w:color="auto"/>
          <w:color w:val="0000EE"/>
        </w:rPr>
        <w:t xml:space="preserve"> </w:t>
      </w:r>
      <w:hyperlink r:id="rId110">
        <w:r>
          <w:rPr>
            <w:rFonts w:ascii="Times New Roman" w:cs="Times New Roman" w:eastAsia="Times New Roman" w:hAnsi="Times New Roman"/>
            <w:sz w:val="17"/>
            <w:szCs w:val="17"/>
            <w:u w:val="single" w:color="auto"/>
            <w:color w:val="0000EE"/>
          </w:rPr>
          <w:t>December 16, 1996 (incorporated by reference to Exhibit 10.4 to the Registration Statement on Form S-4 (File No.</w:t>
        </w:r>
      </w:hyperlink>
      <w:r>
        <w:rPr>
          <w:rFonts w:ascii="Times New Roman" w:cs="Times New Roman" w:eastAsia="Times New Roman" w:hAnsi="Times New Roman"/>
          <w:sz w:val="17"/>
          <w:szCs w:val="17"/>
          <w:u w:val="single" w:color="auto"/>
          <w:color w:val="0000EE"/>
        </w:rPr>
        <w:t xml:space="preserve"> </w:t>
      </w:r>
      <w:hyperlink r:id="rId110">
        <w:r>
          <w:rPr>
            <w:rFonts w:ascii="Times New Roman" w:cs="Times New Roman" w:eastAsia="Times New Roman" w:hAnsi="Times New Roman"/>
            <w:sz w:val="17"/>
            <w:szCs w:val="17"/>
            <w:u w:val="single" w:color="auto"/>
            <w:color w:val="0000EE"/>
          </w:rPr>
          <w:t>333-59418 filed by the Registrant on April 24, 2001)</w:t>
        </w:r>
      </w:hyperlink>
    </w:p>
    <w:p>
      <w:pPr>
        <w:spacing w:after="0" w:line="2" w:lineRule="exact"/>
        <w:rPr>
          <w:rFonts w:ascii="Times New Roman" w:cs="Times New Roman" w:eastAsia="Times New Roman" w:hAnsi="Times New Roman"/>
          <w:sz w:val="17"/>
          <w:szCs w:val="17"/>
          <w:u w:val="single" w:color="auto"/>
          <w:color w:val="0000EE"/>
        </w:rPr>
      </w:pPr>
    </w:p>
    <w:p>
      <w:pPr>
        <w:ind w:left="1100" w:right="119" w:hanging="663"/>
        <w:spacing w:after="0" w:line="283" w:lineRule="auto"/>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111">
        <w:r>
          <w:rPr>
            <w:rFonts w:ascii="Times New Roman" w:cs="Times New Roman" w:eastAsia="Times New Roman" w:hAnsi="Times New Roman"/>
            <w:sz w:val="17"/>
            <w:szCs w:val="17"/>
            <w:u w:val="single" w:color="auto"/>
            <w:color w:val="0000EE"/>
          </w:rPr>
          <w:t>2011 Management Incentive Plan of Calavo Growers, Inc. (incorporated by reference to Exhibit 10.18 to the Annual</w:t>
        </w:r>
      </w:hyperlink>
      <w:r>
        <w:rPr>
          <w:rFonts w:ascii="Times New Roman" w:cs="Times New Roman" w:eastAsia="Times New Roman" w:hAnsi="Times New Roman"/>
          <w:sz w:val="17"/>
          <w:szCs w:val="17"/>
          <w:u w:val="single" w:color="auto"/>
          <w:color w:val="0000EE"/>
        </w:rPr>
        <w:t xml:space="preserve"> </w:t>
      </w:r>
      <w:hyperlink r:id="rId111">
        <w:r>
          <w:rPr>
            <w:rFonts w:ascii="Times New Roman" w:cs="Times New Roman" w:eastAsia="Times New Roman" w:hAnsi="Times New Roman"/>
            <w:sz w:val="17"/>
            <w:szCs w:val="17"/>
            <w:u w:val="single" w:color="auto"/>
            <w:color w:val="0000EE"/>
          </w:rPr>
          <w:t>Report on Form 10-K filed by the Registrant on January 14, 2011).</w:t>
        </w:r>
      </w:hyperlink>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84" w:name="page85"/>
    <w:bookmarkEnd w:id="84"/>
    <w:tbl>
      <w:tblPr>
        <w:tblLayout w:type="fixed"/>
        <w:tblInd w:w="200" w:type="dxa"/>
        <w:tblCellMar>
          <w:top w:w="0" w:type="dxa"/>
          <w:left w:w="0" w:type="dxa"/>
          <w:bottom w:w="0" w:type="dxa"/>
          <w:right w:w="0" w:type="dxa"/>
        </w:tblCellMar>
      </w:tblPr>
      <w:tr>
        <w:trPr>
          <w:trHeight w:val="195"/>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10.8*</w:t>
            </w:r>
          </w:p>
        </w:tc>
        <w:tc>
          <w:tcPr>
            <w:tcW w:w="7820" w:type="dxa"/>
            <w:vAlign w:val="bottom"/>
            <w:gridSpan w:val="29"/>
          </w:tcPr>
          <w:p>
            <w:pPr>
              <w:spacing w:after="0"/>
              <w:rPr>
                <w:rFonts w:ascii="Times New Roman" w:cs="Times New Roman" w:eastAsia="Times New Roman" w:hAnsi="Times New Roman"/>
                <w:sz w:val="17"/>
                <w:szCs w:val="17"/>
                <w:color w:val="0000EE"/>
                <w:w w:val="98"/>
              </w:rPr>
            </w:pPr>
            <w:hyperlink r:id="rId113">
              <w:r>
                <w:rPr>
                  <w:rFonts w:ascii="Times New Roman" w:cs="Times New Roman" w:eastAsia="Times New Roman" w:hAnsi="Times New Roman"/>
                  <w:sz w:val="17"/>
                  <w:szCs w:val="17"/>
                  <w:color w:val="0000EE"/>
                  <w:w w:val="98"/>
                </w:rPr>
                <w:t>Seventh Amendment to Credit Agreement (incorporated by reference to Exhibit 10.1 to the Current Report on Form</w:t>
              </w:r>
            </w:hyperlink>
          </w:p>
        </w:tc>
      </w:tr>
      <w:tr>
        <w:trPr>
          <w:trHeight w:val="193"/>
        </w:trPr>
        <w:tc>
          <w:tcPr>
            <w:tcW w:w="900" w:type="dxa"/>
            <w:vAlign w:val="bottom"/>
          </w:tcPr>
          <w:p>
            <w:pPr>
              <w:spacing w:after="0"/>
              <w:rPr>
                <w:sz w:val="16"/>
                <w:szCs w:val="16"/>
                <w:color w:val="auto"/>
              </w:rPr>
            </w:pPr>
          </w:p>
        </w:tc>
        <w:tc>
          <w:tcPr>
            <w:tcW w:w="3400" w:type="dxa"/>
            <w:vAlign w:val="bottom"/>
            <w:tcBorders>
              <w:top w:val="single" w:sz="8" w:color="0000EE"/>
              <w:bottom w:val="single" w:sz="8" w:color="0000EE"/>
            </w:tcBorders>
            <w:gridSpan w:val="7"/>
          </w:tcPr>
          <w:p>
            <w:pPr>
              <w:spacing w:after="0" w:line="194" w:lineRule="exact"/>
              <w:rPr>
                <w:rFonts w:ascii="Times New Roman" w:cs="Times New Roman" w:eastAsia="Times New Roman" w:hAnsi="Times New Roman"/>
                <w:sz w:val="17"/>
                <w:szCs w:val="17"/>
                <w:color w:val="0000EE"/>
                <w:w w:val="98"/>
              </w:rPr>
            </w:pPr>
            <w:hyperlink r:id="rId113">
              <w:r>
                <w:rPr>
                  <w:rFonts w:ascii="Times New Roman" w:cs="Times New Roman" w:eastAsia="Times New Roman" w:hAnsi="Times New Roman"/>
                  <w:sz w:val="17"/>
                  <w:szCs w:val="17"/>
                  <w:color w:val="0000EE"/>
                  <w:w w:val="98"/>
                </w:rPr>
                <w:t>8-K filed by the Registrant on November 2, 2022).</w:t>
              </w:r>
            </w:hyperlink>
          </w:p>
        </w:tc>
        <w:tc>
          <w:tcPr>
            <w:tcW w:w="4360" w:type="dxa"/>
            <w:vAlign w:val="bottom"/>
            <w:tcBorders>
              <w:top w:val="single" w:sz="8" w:color="0000EE"/>
            </w:tcBorders>
            <w:gridSpan w:val="20"/>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10.09*</w:t>
            </w:r>
          </w:p>
        </w:tc>
        <w:tc>
          <w:tcPr>
            <w:tcW w:w="7820" w:type="dxa"/>
            <w:vAlign w:val="bottom"/>
            <w:tcBorders>
              <w:bottom w:val="single" w:sz="8" w:color="0000EE"/>
            </w:tcBorders>
            <w:gridSpan w:val="29"/>
          </w:tcPr>
          <w:p>
            <w:pPr>
              <w:spacing w:after="0" w:line="194" w:lineRule="exact"/>
              <w:rPr>
                <w:rFonts w:ascii="Times New Roman" w:cs="Times New Roman" w:eastAsia="Times New Roman" w:hAnsi="Times New Roman"/>
                <w:sz w:val="17"/>
                <w:szCs w:val="17"/>
                <w:color w:val="0000EE"/>
                <w:w w:val="98"/>
              </w:rPr>
            </w:pPr>
            <w:hyperlink r:id="rId114">
              <w:r>
                <w:rPr>
                  <w:rFonts w:ascii="Times New Roman" w:cs="Times New Roman" w:eastAsia="Times New Roman" w:hAnsi="Times New Roman"/>
                  <w:sz w:val="17"/>
                  <w:szCs w:val="17"/>
                  <w:color w:val="0000EE"/>
                  <w:w w:val="98"/>
                </w:rPr>
                <w:t>Employment Agreement of Lecil E. Cole (incorporated by reference to Exhibit 10.2 to the Quarterly Report on Form</w:t>
              </w:r>
            </w:hyperlink>
          </w:p>
        </w:tc>
      </w:tr>
      <w:tr>
        <w:trPr>
          <w:trHeight w:val="193"/>
        </w:trPr>
        <w:tc>
          <w:tcPr>
            <w:tcW w:w="900" w:type="dxa"/>
            <w:vAlign w:val="bottom"/>
          </w:tcPr>
          <w:p>
            <w:pPr>
              <w:spacing w:after="0"/>
              <w:rPr>
                <w:sz w:val="16"/>
                <w:szCs w:val="16"/>
                <w:color w:val="auto"/>
              </w:rPr>
            </w:pPr>
          </w:p>
        </w:tc>
        <w:tc>
          <w:tcPr>
            <w:tcW w:w="3080" w:type="dxa"/>
            <w:vAlign w:val="bottom"/>
            <w:tcBorders>
              <w:bottom w:val="single" w:sz="8" w:color="0000EE"/>
            </w:tcBorders>
            <w:gridSpan w:val="5"/>
          </w:tcPr>
          <w:p>
            <w:pPr>
              <w:spacing w:after="0" w:line="194" w:lineRule="exact"/>
              <w:rPr>
                <w:rFonts w:ascii="Times New Roman" w:cs="Times New Roman" w:eastAsia="Times New Roman" w:hAnsi="Times New Roman"/>
                <w:sz w:val="17"/>
                <w:szCs w:val="17"/>
                <w:color w:val="0000EE"/>
                <w:w w:val="97"/>
              </w:rPr>
            </w:pPr>
            <w:hyperlink r:id="rId114">
              <w:r>
                <w:rPr>
                  <w:rFonts w:ascii="Times New Roman" w:cs="Times New Roman" w:eastAsia="Times New Roman" w:hAnsi="Times New Roman"/>
                  <w:sz w:val="17"/>
                  <w:szCs w:val="17"/>
                  <w:color w:val="0000EE"/>
                  <w:w w:val="97"/>
                </w:rPr>
                <w:t>10-Q filed by the Registrant on June 6, 2023).</w:t>
              </w:r>
            </w:hyperlink>
          </w:p>
        </w:tc>
        <w:tc>
          <w:tcPr>
            <w:tcW w:w="4740" w:type="dxa"/>
            <w:vAlign w:val="bottom"/>
            <w:gridSpan w:val="24"/>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10.10*</w:t>
            </w:r>
          </w:p>
        </w:tc>
        <w:tc>
          <w:tcPr>
            <w:tcW w:w="7380" w:type="dxa"/>
            <w:vAlign w:val="bottom"/>
            <w:tcBorders>
              <w:bottom w:val="single" w:sz="8" w:color="0000EE"/>
            </w:tcBorders>
            <w:gridSpan w:val="22"/>
          </w:tcPr>
          <w:p>
            <w:pPr>
              <w:spacing w:after="0" w:line="194" w:lineRule="exact"/>
              <w:rPr>
                <w:rFonts w:ascii="Times New Roman" w:cs="Times New Roman" w:eastAsia="Times New Roman" w:hAnsi="Times New Roman"/>
                <w:sz w:val="17"/>
                <w:szCs w:val="17"/>
                <w:color w:val="0000EE"/>
                <w:w w:val="97"/>
              </w:rPr>
            </w:pPr>
            <w:hyperlink r:id="rId115">
              <w:r>
                <w:rPr>
                  <w:rFonts w:ascii="Times New Roman" w:cs="Times New Roman" w:eastAsia="Times New Roman" w:hAnsi="Times New Roman"/>
                  <w:sz w:val="17"/>
                  <w:szCs w:val="17"/>
                  <w:color w:val="0000EE"/>
                  <w:w w:val="97"/>
                </w:rPr>
                <w:t>Form of Restricted Stock Unit Award Grant Notice (incorporated by reference to Exhibit 10.4 to the Quarterly</w:t>
              </w:r>
            </w:hyperlink>
          </w:p>
        </w:tc>
        <w:tc>
          <w:tcPr>
            <w:tcW w:w="440" w:type="dxa"/>
            <w:vAlign w:val="bottom"/>
            <w:gridSpan w:val="7"/>
          </w:tcPr>
          <w:p>
            <w:pPr>
              <w:spacing w:after="0"/>
              <w:rPr>
                <w:sz w:val="16"/>
                <w:szCs w:val="16"/>
                <w:color w:val="auto"/>
              </w:rPr>
            </w:pPr>
          </w:p>
        </w:tc>
      </w:tr>
      <w:tr>
        <w:trPr>
          <w:trHeight w:val="193"/>
        </w:trPr>
        <w:tc>
          <w:tcPr>
            <w:tcW w:w="900" w:type="dxa"/>
            <w:vAlign w:val="bottom"/>
          </w:tcPr>
          <w:p>
            <w:pPr>
              <w:spacing w:after="0"/>
              <w:rPr>
                <w:sz w:val="16"/>
                <w:szCs w:val="16"/>
                <w:color w:val="auto"/>
              </w:rPr>
            </w:pPr>
          </w:p>
        </w:tc>
        <w:tc>
          <w:tcPr>
            <w:tcW w:w="7820" w:type="dxa"/>
            <w:vAlign w:val="bottom"/>
            <w:gridSpan w:val="29"/>
          </w:tcPr>
          <w:p>
            <w:pPr>
              <w:spacing w:after="0" w:line="194"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Report on Form 10-Q filed by the Registrant on June 6, 2023).</w:t>
              </w:r>
            </w:hyperlink>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10.11*</w:t>
            </w:r>
          </w:p>
        </w:tc>
        <w:tc>
          <w:tcPr>
            <w:tcW w:w="7820" w:type="dxa"/>
            <w:vAlign w:val="bottom"/>
            <w:gridSpan w:val="29"/>
          </w:tcPr>
          <w:p>
            <w:pPr>
              <w:spacing w:after="0" w:line="194"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Credit Agreement, dated June 26, 2023, by and among the Company, certain of its subsidiaries as guarantors and</w:t>
              </w:r>
            </w:hyperlink>
          </w:p>
        </w:tc>
      </w:tr>
      <w:tr>
        <w:trPr>
          <w:trHeight w:val="193"/>
        </w:trPr>
        <w:tc>
          <w:tcPr>
            <w:tcW w:w="900" w:type="dxa"/>
            <w:vAlign w:val="bottom"/>
          </w:tcPr>
          <w:p>
            <w:pPr>
              <w:spacing w:after="0"/>
              <w:rPr>
                <w:sz w:val="16"/>
                <w:szCs w:val="16"/>
                <w:color w:val="auto"/>
              </w:rPr>
            </w:pPr>
          </w:p>
        </w:tc>
        <w:tc>
          <w:tcPr>
            <w:tcW w:w="7360" w:type="dxa"/>
            <w:vAlign w:val="bottom"/>
            <w:tcBorders>
              <w:top w:val="single" w:sz="8" w:color="0000EE"/>
              <w:bottom w:val="single" w:sz="8" w:color="0000EE"/>
            </w:tcBorders>
            <w:gridSpan w:val="21"/>
          </w:tcPr>
          <w:p>
            <w:pPr>
              <w:spacing w:after="0" w:line="194" w:lineRule="exact"/>
              <w:rPr>
                <w:rFonts w:ascii="Times New Roman" w:cs="Times New Roman" w:eastAsia="Times New Roman" w:hAnsi="Times New Roman"/>
                <w:sz w:val="17"/>
                <w:szCs w:val="17"/>
                <w:color w:val="0000EE"/>
                <w:w w:val="98"/>
              </w:rPr>
            </w:pPr>
            <w:hyperlink r:id="rId116">
              <w:r>
                <w:rPr>
                  <w:rFonts w:ascii="Times New Roman" w:cs="Times New Roman" w:eastAsia="Times New Roman" w:hAnsi="Times New Roman"/>
                  <w:sz w:val="17"/>
                  <w:szCs w:val="17"/>
                  <w:color w:val="0000EE"/>
                  <w:w w:val="98"/>
                </w:rPr>
                <w:t>Wells Fargo Bank, National Association, as agent and lender (incorporated by reference to Exhibit 10.1 to the</w:t>
              </w:r>
            </w:hyperlink>
          </w:p>
        </w:tc>
        <w:tc>
          <w:tcPr>
            <w:tcW w:w="180" w:type="dxa"/>
            <w:vAlign w:val="bottom"/>
            <w:tcBorders>
              <w:top w:val="single" w:sz="8" w:color="0000EE"/>
            </w:tcBorders>
            <w:gridSpan w:val="3"/>
          </w:tcPr>
          <w:p>
            <w:pPr>
              <w:spacing w:after="0"/>
              <w:rPr>
                <w:sz w:val="16"/>
                <w:szCs w:val="16"/>
                <w:color w:val="auto"/>
              </w:rPr>
            </w:pPr>
          </w:p>
        </w:tc>
        <w:tc>
          <w:tcPr>
            <w:tcW w:w="280" w:type="dxa"/>
            <w:vAlign w:val="bottom"/>
            <w:gridSpan w:val="5"/>
          </w:tcPr>
          <w:p>
            <w:pPr>
              <w:spacing w:after="0"/>
              <w:rPr>
                <w:sz w:val="16"/>
                <w:szCs w:val="16"/>
                <w:color w:val="auto"/>
              </w:rPr>
            </w:pPr>
          </w:p>
        </w:tc>
      </w:tr>
      <w:tr>
        <w:trPr>
          <w:trHeight w:val="193"/>
        </w:trPr>
        <w:tc>
          <w:tcPr>
            <w:tcW w:w="900" w:type="dxa"/>
            <w:vAlign w:val="bottom"/>
          </w:tcPr>
          <w:p>
            <w:pPr>
              <w:spacing w:after="0"/>
              <w:rPr>
                <w:sz w:val="16"/>
                <w:szCs w:val="16"/>
                <w:color w:val="auto"/>
              </w:rPr>
            </w:pPr>
          </w:p>
        </w:tc>
        <w:tc>
          <w:tcPr>
            <w:tcW w:w="7820" w:type="dxa"/>
            <w:vAlign w:val="bottom"/>
            <w:gridSpan w:val="29"/>
          </w:tcPr>
          <w:p>
            <w:pPr>
              <w:spacing w:after="0" w:line="194"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Current Report on Form 8-K filed by the Registrant on June 30, 2023).</w:t>
              </w:r>
            </w:hyperlink>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10.12</w:t>
            </w:r>
          </w:p>
        </w:tc>
        <w:tc>
          <w:tcPr>
            <w:tcW w:w="7820" w:type="dxa"/>
            <w:vAlign w:val="bottom"/>
            <w:gridSpan w:val="29"/>
          </w:tcPr>
          <w:p>
            <w:pPr>
              <w:spacing w:after="0" w:line="194"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Separation and Release Agreement – Graciela Montgomery (incorporated by reference to Exhibit 10.1 to the</w:t>
              </w:r>
            </w:hyperlink>
          </w:p>
        </w:tc>
      </w:tr>
      <w:tr>
        <w:trPr>
          <w:trHeight w:val="193"/>
        </w:trPr>
        <w:tc>
          <w:tcPr>
            <w:tcW w:w="900" w:type="dxa"/>
            <w:vAlign w:val="bottom"/>
          </w:tcPr>
          <w:p>
            <w:pPr>
              <w:spacing w:after="0"/>
              <w:rPr>
                <w:sz w:val="16"/>
                <w:szCs w:val="16"/>
                <w:color w:val="auto"/>
              </w:rPr>
            </w:pPr>
          </w:p>
        </w:tc>
        <w:tc>
          <w:tcPr>
            <w:tcW w:w="5080" w:type="dxa"/>
            <w:vAlign w:val="bottom"/>
            <w:tcBorders>
              <w:top w:val="single" w:sz="8" w:color="0000EE"/>
              <w:bottom w:val="single" w:sz="8" w:color="0000EE"/>
            </w:tcBorders>
            <w:gridSpan w:val="15"/>
          </w:tcPr>
          <w:p>
            <w:pPr>
              <w:spacing w:after="0" w:line="194" w:lineRule="exact"/>
              <w:rPr>
                <w:rFonts w:ascii="Times New Roman" w:cs="Times New Roman" w:eastAsia="Times New Roman" w:hAnsi="Times New Roman"/>
                <w:sz w:val="17"/>
                <w:szCs w:val="17"/>
                <w:color w:val="0000EE"/>
                <w:w w:val="97"/>
              </w:rPr>
            </w:pPr>
            <w:hyperlink r:id="rId117">
              <w:r>
                <w:rPr>
                  <w:rFonts w:ascii="Times New Roman" w:cs="Times New Roman" w:eastAsia="Times New Roman" w:hAnsi="Times New Roman"/>
                  <w:sz w:val="17"/>
                  <w:szCs w:val="17"/>
                  <w:color w:val="0000EE"/>
                  <w:w w:val="97"/>
                </w:rPr>
                <w:t>Quarterly Report on Form 10-Q filed by the Registrant on March 11, 2024).</w:t>
              </w:r>
            </w:hyperlink>
          </w:p>
        </w:tc>
        <w:tc>
          <w:tcPr>
            <w:tcW w:w="2180" w:type="dxa"/>
            <w:vAlign w:val="bottom"/>
            <w:tcBorders>
              <w:top w:val="single" w:sz="8" w:color="0000EE"/>
            </w:tcBorders>
            <w:gridSpan w:val="4"/>
          </w:tcPr>
          <w:p>
            <w:pPr>
              <w:spacing w:after="0"/>
              <w:rPr>
                <w:sz w:val="16"/>
                <w:szCs w:val="16"/>
                <w:color w:val="auto"/>
              </w:rPr>
            </w:pPr>
          </w:p>
        </w:tc>
        <w:tc>
          <w:tcPr>
            <w:tcW w:w="560" w:type="dxa"/>
            <w:vAlign w:val="bottom"/>
            <w:gridSpan w:val="10"/>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10.13</w:t>
            </w:r>
          </w:p>
        </w:tc>
        <w:tc>
          <w:tcPr>
            <w:tcW w:w="7820" w:type="dxa"/>
            <w:vAlign w:val="bottom"/>
            <w:gridSpan w:val="29"/>
          </w:tcPr>
          <w:p>
            <w:pPr>
              <w:spacing w:after="0" w:line="194" w:lineRule="exact"/>
              <w:rPr>
                <w:rFonts w:ascii="Times New Roman" w:cs="Times New Roman" w:eastAsia="Times New Roman" w:hAnsi="Times New Roman"/>
                <w:sz w:val="17"/>
                <w:szCs w:val="17"/>
                <w:color w:val="0000EE"/>
                <w:w w:val="99"/>
              </w:rPr>
            </w:pPr>
            <w:hyperlink r:id="rId118">
              <w:r>
                <w:rPr>
                  <w:rFonts w:ascii="Times New Roman" w:cs="Times New Roman" w:eastAsia="Times New Roman" w:hAnsi="Times New Roman"/>
                  <w:sz w:val="17"/>
                  <w:szCs w:val="17"/>
                  <w:color w:val="0000EE"/>
                  <w:w w:val="99"/>
                </w:rPr>
                <w:t>Asset Purchase Agreement, dated August 15, 2024 (incorporated by reference to Exhibit 10.1 to the Current Report</w:t>
              </w:r>
            </w:hyperlink>
          </w:p>
        </w:tc>
      </w:tr>
      <w:tr>
        <w:trPr>
          <w:trHeight w:val="181"/>
        </w:trPr>
        <w:tc>
          <w:tcPr>
            <w:tcW w:w="900" w:type="dxa"/>
            <w:vAlign w:val="bottom"/>
          </w:tcPr>
          <w:p>
            <w:pPr>
              <w:spacing w:after="0"/>
              <w:rPr>
                <w:sz w:val="15"/>
                <w:szCs w:val="15"/>
                <w:color w:val="auto"/>
              </w:rPr>
            </w:pPr>
          </w:p>
        </w:tc>
        <w:tc>
          <w:tcPr>
            <w:tcW w:w="7720" w:type="dxa"/>
            <w:vAlign w:val="bottom"/>
            <w:tcBorders>
              <w:top w:val="single" w:sz="8" w:color="0000EE"/>
            </w:tcBorders>
            <w:gridSpan w:val="26"/>
          </w:tcPr>
          <w:p>
            <w:pPr>
              <w:spacing w:after="0" w:line="181" w:lineRule="exact"/>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color w:val="0000EE"/>
                </w:rPr>
                <w:t>on Form 8-K filed by the Registrant on August 21, 2024).</w:t>
              </w:r>
            </w:hyperlink>
          </w:p>
        </w:tc>
        <w:tc>
          <w:tcPr>
            <w:tcW w:w="100" w:type="dxa"/>
            <w:vAlign w:val="bottom"/>
            <w:gridSpan w:val="3"/>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1"/>
        </w:trPr>
        <w:tc>
          <w:tcPr>
            <w:tcW w:w="900" w:type="dxa"/>
            <w:vAlign w:val="bottom"/>
          </w:tcPr>
          <w:p>
            <w:pPr>
              <w:jc w:val="right"/>
              <w:ind w:right="196"/>
              <w:spacing w:after="0" w:line="181" w:lineRule="exact"/>
              <w:rPr>
                <w:sz w:val="20"/>
                <w:szCs w:val="20"/>
                <w:color w:val="auto"/>
              </w:rPr>
            </w:pPr>
            <w:r>
              <w:rPr>
                <w:rFonts w:ascii="Times New Roman" w:cs="Times New Roman" w:eastAsia="Times New Roman" w:hAnsi="Times New Roman"/>
                <w:sz w:val="17"/>
                <w:szCs w:val="17"/>
                <w:color w:val="auto"/>
              </w:rPr>
              <w:t>10.14</w:t>
            </w:r>
          </w:p>
        </w:tc>
        <w:tc>
          <w:tcPr>
            <w:tcW w:w="7820" w:type="dxa"/>
            <w:vAlign w:val="bottom"/>
            <w:gridSpan w:val="29"/>
          </w:tcPr>
          <w:p>
            <w:pPr>
              <w:spacing w:after="0" w:line="181" w:lineRule="exact"/>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Purchase and Sale Agreement, dated August 15, 2024 (incorporated by reference to Exhibit 10.2 to the Current</w:t>
              </w:r>
            </w:hyperlink>
          </w:p>
        </w:tc>
      </w:tr>
      <w:tr>
        <w:trPr>
          <w:trHeight w:val="193"/>
        </w:trPr>
        <w:tc>
          <w:tcPr>
            <w:tcW w:w="900" w:type="dxa"/>
            <w:vAlign w:val="bottom"/>
          </w:tcPr>
          <w:p>
            <w:pPr>
              <w:spacing w:after="0"/>
              <w:rPr>
                <w:sz w:val="16"/>
                <w:szCs w:val="16"/>
                <w:color w:val="auto"/>
              </w:rPr>
            </w:pPr>
          </w:p>
        </w:tc>
        <w:tc>
          <w:tcPr>
            <w:tcW w:w="7420" w:type="dxa"/>
            <w:vAlign w:val="bottom"/>
            <w:tcBorders>
              <w:top w:val="single" w:sz="8" w:color="0000EE"/>
            </w:tcBorders>
            <w:gridSpan w:val="23"/>
          </w:tcPr>
          <w:p>
            <w:pPr>
              <w:spacing w:after="0" w:line="194" w:lineRule="exact"/>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Report on Form 8-K filed by the Registrant on August 21, 2024).</w:t>
              </w:r>
            </w:hyperlink>
          </w:p>
        </w:tc>
        <w:tc>
          <w:tcPr>
            <w:tcW w:w="400" w:type="dxa"/>
            <w:vAlign w:val="bottom"/>
            <w:gridSpan w:val="6"/>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10.15</w:t>
            </w:r>
          </w:p>
        </w:tc>
        <w:tc>
          <w:tcPr>
            <w:tcW w:w="7820" w:type="dxa"/>
            <w:vAlign w:val="bottom"/>
            <w:gridSpan w:val="29"/>
          </w:tcPr>
          <w:p>
            <w:pPr>
              <w:spacing w:after="0" w:line="194"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Amendment to Credit Agreement, dated August 15, 2024 (incorporated by reference to Exhibit 10.3 to the Current</w:t>
              </w:r>
            </w:hyperlink>
          </w:p>
        </w:tc>
      </w:tr>
      <w:tr>
        <w:trPr>
          <w:trHeight w:val="193"/>
        </w:trPr>
        <w:tc>
          <w:tcPr>
            <w:tcW w:w="900" w:type="dxa"/>
            <w:vAlign w:val="bottom"/>
          </w:tcPr>
          <w:p>
            <w:pPr>
              <w:spacing w:after="0"/>
              <w:rPr>
                <w:sz w:val="16"/>
                <w:szCs w:val="16"/>
                <w:color w:val="auto"/>
              </w:rPr>
            </w:pPr>
          </w:p>
        </w:tc>
        <w:tc>
          <w:tcPr>
            <w:tcW w:w="7660" w:type="dxa"/>
            <w:vAlign w:val="bottom"/>
            <w:tcBorders>
              <w:top w:val="single" w:sz="8" w:color="0000EE"/>
            </w:tcBorders>
            <w:gridSpan w:val="25"/>
          </w:tcPr>
          <w:p>
            <w:pPr>
              <w:spacing w:after="0" w:line="194"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Report on Form 8-K filed by the Registrant on August 21, 2024).</w:t>
              </w:r>
            </w:hyperlink>
          </w:p>
        </w:tc>
        <w:tc>
          <w:tcPr>
            <w:tcW w:w="160" w:type="dxa"/>
            <w:vAlign w:val="bottom"/>
            <w:gridSpan w:val="4"/>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10.16</w:t>
            </w:r>
          </w:p>
        </w:tc>
        <w:tc>
          <w:tcPr>
            <w:tcW w:w="7820" w:type="dxa"/>
            <w:vAlign w:val="bottom"/>
            <w:gridSpan w:val="29"/>
          </w:tcPr>
          <w:p>
            <w:pPr>
              <w:spacing w:after="0" w:line="194" w:lineRule="exact"/>
              <w:rPr>
                <w:sz w:val="20"/>
                <w:szCs w:val="20"/>
                <w:color w:val="auto"/>
              </w:rPr>
            </w:pPr>
            <w:r>
              <w:rPr>
                <w:rFonts w:ascii="Times New Roman" w:cs="Times New Roman" w:eastAsia="Times New Roman" w:hAnsi="Times New Roman"/>
                <w:sz w:val="17"/>
                <w:szCs w:val="17"/>
                <w:color w:val="0000EE"/>
              </w:rPr>
              <w:t>Offer Letter, dated November 22, 2024, between the Company and James Snyder</w:t>
            </w: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19.1</w:t>
            </w:r>
          </w:p>
        </w:tc>
        <w:tc>
          <w:tcPr>
            <w:tcW w:w="2980" w:type="dxa"/>
            <w:vAlign w:val="bottom"/>
            <w:tcBorders>
              <w:top w:val="single" w:sz="8" w:color="0000EE"/>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7"/>
                <w:szCs w:val="17"/>
                <w:color w:val="0000EE"/>
                <w:w w:val="97"/>
              </w:rPr>
              <w:t>Calavo Growers, Inc. Insider Trading Policy</w:t>
            </w:r>
          </w:p>
        </w:tc>
        <w:tc>
          <w:tcPr>
            <w:tcW w:w="2460" w:type="dxa"/>
            <w:vAlign w:val="bottom"/>
            <w:tcBorders>
              <w:top w:val="single" w:sz="8" w:color="0000EE"/>
            </w:tcBorders>
            <w:gridSpan w:val="12"/>
          </w:tcPr>
          <w:p>
            <w:pPr>
              <w:spacing w:after="0"/>
              <w:rPr>
                <w:sz w:val="16"/>
                <w:szCs w:val="16"/>
                <w:color w:val="auto"/>
              </w:rPr>
            </w:pPr>
          </w:p>
        </w:tc>
        <w:tc>
          <w:tcPr>
            <w:tcW w:w="2380" w:type="dxa"/>
            <w:vAlign w:val="bottom"/>
            <w:gridSpan w:val="13"/>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21.1*</w:t>
            </w:r>
          </w:p>
        </w:tc>
        <w:tc>
          <w:tcPr>
            <w:tcW w:w="2480" w:type="dxa"/>
            <w:vAlign w:val="bottom"/>
            <w:tcBorders>
              <w:bottom w:val="single" w:sz="8" w:color="0000EE"/>
            </w:tcBorders>
            <w:gridSpan w:val="3"/>
          </w:tcPr>
          <w:p>
            <w:pPr>
              <w:spacing w:after="0" w:line="194" w:lineRule="exact"/>
              <w:rPr>
                <w:rFonts w:ascii="Times New Roman" w:cs="Times New Roman" w:eastAsia="Times New Roman" w:hAnsi="Times New Roman"/>
                <w:sz w:val="17"/>
                <w:szCs w:val="17"/>
                <w:color w:val="0000EE"/>
                <w:w w:val="97"/>
              </w:rPr>
            </w:pPr>
            <w:hyperlink r:id="rId121">
              <w:r>
                <w:rPr>
                  <w:rFonts w:ascii="Times New Roman" w:cs="Times New Roman" w:eastAsia="Times New Roman" w:hAnsi="Times New Roman"/>
                  <w:sz w:val="17"/>
                  <w:szCs w:val="17"/>
                  <w:color w:val="0000EE"/>
                  <w:w w:val="97"/>
                </w:rPr>
                <w:t>Subsidiaries of Calavo Growers, Inc.</w:t>
              </w:r>
            </w:hyperlink>
          </w:p>
        </w:tc>
        <w:tc>
          <w:tcPr>
            <w:tcW w:w="5340" w:type="dxa"/>
            <w:vAlign w:val="bottom"/>
            <w:gridSpan w:val="26"/>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23.1</w:t>
            </w:r>
          </w:p>
        </w:tc>
        <w:tc>
          <w:tcPr>
            <w:tcW w:w="23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EE"/>
                <w:w w:val="97"/>
              </w:rPr>
              <w:t>Consent of Deloitte &amp; Touche LLP</w:t>
            </w:r>
          </w:p>
        </w:tc>
        <w:tc>
          <w:tcPr>
            <w:tcW w:w="5460" w:type="dxa"/>
            <w:vAlign w:val="bottom"/>
            <w:gridSpan w:val="27"/>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24.1</w:t>
            </w:r>
          </w:p>
        </w:tc>
        <w:tc>
          <w:tcPr>
            <w:tcW w:w="594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7"/>
                <w:szCs w:val="17"/>
                <w:color w:val="0000EE"/>
                <w:w w:val="98"/>
              </w:rPr>
              <w:t>Power of Attorney (included on the signature page of this Annual Report on Form 10-K)</w:t>
            </w:r>
          </w:p>
        </w:tc>
        <w:tc>
          <w:tcPr>
            <w:tcW w:w="1880" w:type="dxa"/>
            <w:vAlign w:val="bottom"/>
            <w:gridSpan w:val="11"/>
          </w:tcPr>
          <w:p>
            <w:pPr>
              <w:spacing w:after="0"/>
              <w:rPr>
                <w:sz w:val="16"/>
                <w:szCs w:val="16"/>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31.1</w:t>
            </w:r>
          </w:p>
        </w:tc>
        <w:tc>
          <w:tcPr>
            <w:tcW w:w="7820" w:type="dxa"/>
            <w:vAlign w:val="bottom"/>
            <w:gridSpan w:val="29"/>
          </w:tcPr>
          <w:p>
            <w:pPr>
              <w:spacing w:after="0" w:line="194" w:lineRule="exact"/>
              <w:rPr>
                <w:sz w:val="20"/>
                <w:szCs w:val="20"/>
                <w:color w:val="auto"/>
              </w:rPr>
            </w:pPr>
            <w:r>
              <w:rPr>
                <w:rFonts w:ascii="Times New Roman" w:cs="Times New Roman" w:eastAsia="Times New Roman" w:hAnsi="Times New Roman"/>
                <w:sz w:val="17"/>
                <w:szCs w:val="17"/>
                <w:color w:val="0000EE"/>
              </w:rPr>
              <w:t>Certification of Chief Executive Officer Pursuant to Rule 13a-15(e) or Rule 15d-15(e)</w:t>
            </w: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620" w:type="dxa"/>
            <w:vAlign w:val="bottom"/>
            <w:tcBorders>
              <w:left w:val="single" w:sz="8" w:color="0000EE"/>
            </w:tcBorders>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31.2</w:t>
            </w:r>
          </w:p>
        </w:tc>
        <w:tc>
          <w:tcPr>
            <w:tcW w:w="7820" w:type="dxa"/>
            <w:vAlign w:val="bottom"/>
            <w:gridSpan w:val="29"/>
          </w:tcPr>
          <w:p>
            <w:pPr>
              <w:spacing w:after="0" w:line="194" w:lineRule="exact"/>
              <w:rPr>
                <w:sz w:val="20"/>
                <w:szCs w:val="20"/>
                <w:color w:val="auto"/>
              </w:rPr>
            </w:pPr>
            <w:r>
              <w:rPr>
                <w:rFonts w:ascii="Times New Roman" w:cs="Times New Roman" w:eastAsia="Times New Roman" w:hAnsi="Times New Roman"/>
                <w:sz w:val="17"/>
                <w:szCs w:val="17"/>
                <w:color w:val="0000EE"/>
              </w:rPr>
              <w:t>Certification of Chief Financial Officer Pursuant to Rule 13a-15(e) or Rule 15d-15(e)</w:t>
            </w: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32.1</w:t>
            </w:r>
          </w:p>
        </w:tc>
        <w:tc>
          <w:tcPr>
            <w:tcW w:w="734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7"/>
                <w:szCs w:val="17"/>
                <w:color w:val="0000EE"/>
                <w:w w:val="98"/>
              </w:rPr>
              <w:t>Certification of Chief Executive Officer and Chief Financial Officer of Periodic Report Pursuant to 18 U.S.C.</w:t>
            </w:r>
          </w:p>
        </w:tc>
        <w:tc>
          <w:tcPr>
            <w:tcW w:w="480" w:type="dxa"/>
            <w:vAlign w:val="bottom"/>
            <w:gridSpan w:val="9"/>
          </w:tcPr>
          <w:p>
            <w:pPr>
              <w:spacing w:after="0"/>
              <w:rPr>
                <w:sz w:val="16"/>
                <w:szCs w:val="16"/>
                <w:color w:val="auto"/>
              </w:rPr>
            </w:pPr>
          </w:p>
        </w:tc>
      </w:tr>
      <w:tr>
        <w:trPr>
          <w:trHeight w:val="193"/>
        </w:trPr>
        <w:tc>
          <w:tcPr>
            <w:tcW w:w="900" w:type="dxa"/>
            <w:vAlign w:val="bottom"/>
          </w:tcPr>
          <w:p>
            <w:pPr>
              <w:spacing w:after="0"/>
              <w:rPr>
                <w:sz w:val="16"/>
                <w:szCs w:val="16"/>
                <w:color w:val="auto"/>
              </w:rPr>
            </w:pPr>
          </w:p>
        </w:tc>
        <w:tc>
          <w:tcPr>
            <w:tcW w:w="7820" w:type="dxa"/>
            <w:vAlign w:val="bottom"/>
            <w:gridSpan w:val="29"/>
          </w:tcPr>
          <w:p>
            <w:pPr>
              <w:spacing w:after="0" w:line="194" w:lineRule="exact"/>
              <w:rPr>
                <w:sz w:val="20"/>
                <w:szCs w:val="20"/>
                <w:color w:val="auto"/>
              </w:rPr>
            </w:pPr>
            <w:r>
              <w:rPr>
                <w:rFonts w:ascii="Times New Roman" w:cs="Times New Roman" w:eastAsia="Times New Roman" w:hAnsi="Times New Roman"/>
                <w:sz w:val="17"/>
                <w:szCs w:val="17"/>
                <w:color w:val="0000EE"/>
              </w:rPr>
              <w:t>Section 1350</w:t>
            </w:r>
          </w:p>
        </w:tc>
      </w:tr>
      <w:tr>
        <w:trPr>
          <w:trHeight w:val="20"/>
        </w:trPr>
        <w:tc>
          <w:tcPr>
            <w:tcW w:w="9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640" w:type="dxa"/>
            <w:vAlign w:val="bottom"/>
            <w:gridSpan w:val="2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3"/>
        </w:trPr>
        <w:tc>
          <w:tcPr>
            <w:tcW w:w="900" w:type="dxa"/>
            <w:vAlign w:val="bottom"/>
          </w:tcPr>
          <w:p>
            <w:pPr>
              <w:jc w:val="right"/>
              <w:ind w:right="196"/>
              <w:spacing w:after="0" w:line="194" w:lineRule="exact"/>
              <w:rPr>
                <w:sz w:val="20"/>
                <w:szCs w:val="20"/>
                <w:color w:val="auto"/>
              </w:rPr>
            </w:pPr>
            <w:r>
              <w:rPr>
                <w:rFonts w:ascii="Times New Roman" w:cs="Times New Roman" w:eastAsia="Times New Roman" w:hAnsi="Times New Roman"/>
                <w:sz w:val="17"/>
                <w:szCs w:val="17"/>
                <w:color w:val="auto"/>
              </w:rPr>
              <w:t>97.1</w:t>
            </w:r>
          </w:p>
        </w:tc>
        <w:tc>
          <w:tcPr>
            <w:tcW w:w="7800" w:type="dxa"/>
            <w:vAlign w:val="bottom"/>
            <w:tcBorders>
              <w:bottom w:val="single" w:sz="8" w:color="0000EE"/>
            </w:tcBorders>
            <w:gridSpan w:val="28"/>
          </w:tcPr>
          <w:p>
            <w:pPr>
              <w:spacing w:after="0" w:line="194" w:lineRule="exact"/>
              <w:rPr>
                <w:rFonts w:ascii="Times New Roman" w:cs="Times New Roman" w:eastAsia="Times New Roman" w:hAnsi="Times New Roman"/>
                <w:sz w:val="17"/>
                <w:szCs w:val="17"/>
                <w:color w:val="0000EE"/>
                <w:w w:val="98"/>
              </w:rPr>
            </w:pPr>
            <w:hyperlink r:id="rId122">
              <w:r>
                <w:rPr>
                  <w:rFonts w:ascii="Times New Roman" w:cs="Times New Roman" w:eastAsia="Times New Roman" w:hAnsi="Times New Roman"/>
                  <w:sz w:val="17"/>
                  <w:szCs w:val="17"/>
                  <w:color w:val="0000EE"/>
                  <w:w w:val="98"/>
                </w:rPr>
                <w:t>Calavo Growers, Inc. Clawback Policy (incorporated by reference to Exhibit 97.1 to the Annual Report on Form 10-</w:t>
              </w:r>
            </w:hyperlink>
          </w:p>
        </w:tc>
        <w:tc>
          <w:tcPr>
            <w:tcW w:w="20" w:type="dxa"/>
            <w:vAlign w:val="bottom"/>
          </w:tcPr>
          <w:p>
            <w:pPr>
              <w:spacing w:after="0"/>
              <w:rPr>
                <w:sz w:val="16"/>
                <w:szCs w:val="16"/>
                <w:color w:val="auto"/>
              </w:rPr>
            </w:pPr>
          </w:p>
        </w:tc>
      </w:tr>
      <w:tr>
        <w:trPr>
          <w:trHeight w:val="193"/>
        </w:trPr>
        <w:tc>
          <w:tcPr>
            <w:tcW w:w="900" w:type="dxa"/>
            <w:vAlign w:val="bottom"/>
          </w:tcPr>
          <w:p>
            <w:pPr>
              <w:spacing w:after="0"/>
              <w:rPr>
                <w:sz w:val="16"/>
                <w:szCs w:val="16"/>
                <w:color w:val="auto"/>
              </w:rPr>
            </w:pPr>
          </w:p>
        </w:tc>
        <w:tc>
          <w:tcPr>
            <w:tcW w:w="3160" w:type="dxa"/>
            <w:vAlign w:val="bottom"/>
            <w:tcBorders>
              <w:bottom w:val="single" w:sz="8" w:color="0000EE"/>
            </w:tcBorders>
            <w:gridSpan w:val="6"/>
          </w:tcPr>
          <w:p>
            <w:pPr>
              <w:spacing w:after="0" w:line="194" w:lineRule="exact"/>
              <w:rPr>
                <w:rFonts w:ascii="Times New Roman" w:cs="Times New Roman" w:eastAsia="Times New Roman" w:hAnsi="Times New Roman"/>
                <w:sz w:val="17"/>
                <w:szCs w:val="17"/>
                <w:color w:val="0000EE"/>
                <w:w w:val="98"/>
              </w:rPr>
            </w:pPr>
            <w:hyperlink r:id="rId122">
              <w:r>
                <w:rPr>
                  <w:rFonts w:ascii="Times New Roman" w:cs="Times New Roman" w:eastAsia="Times New Roman" w:hAnsi="Times New Roman"/>
                  <w:sz w:val="17"/>
                  <w:szCs w:val="17"/>
                  <w:color w:val="0000EE"/>
                  <w:w w:val="98"/>
                </w:rPr>
                <w:t>K filed by the Registrant on January 31, 2024).</w:t>
              </w:r>
            </w:hyperlink>
          </w:p>
        </w:tc>
        <w:tc>
          <w:tcPr>
            <w:tcW w:w="4660" w:type="dxa"/>
            <w:vAlign w:val="bottom"/>
            <w:gridSpan w:val="23"/>
          </w:tcPr>
          <w:p>
            <w:pPr>
              <w:spacing w:after="0"/>
              <w:rPr>
                <w:sz w:val="16"/>
                <w:szCs w:val="16"/>
                <w:color w:val="auto"/>
              </w:rPr>
            </w:pPr>
          </w:p>
        </w:tc>
      </w:tr>
      <w:tr>
        <w:trPr>
          <w:trHeight w:val="227"/>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101.INS</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Instance Document (the instance document does not appear in the Interactive Data File because its</w:t>
            </w:r>
          </w:p>
        </w:tc>
      </w:tr>
      <w:tr>
        <w:trPr>
          <w:trHeight w:val="217"/>
        </w:trPr>
        <w:tc>
          <w:tcPr>
            <w:tcW w:w="900" w:type="dxa"/>
            <w:vAlign w:val="bottom"/>
          </w:tcPr>
          <w:p>
            <w:pPr>
              <w:spacing w:after="0"/>
              <w:rPr>
                <w:sz w:val="18"/>
                <w:szCs w:val="18"/>
                <w:color w:val="auto"/>
              </w:rPr>
            </w:pP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XBRL tags are embedded within the Inline XBRL document).</w:t>
            </w:r>
          </w:p>
        </w:tc>
      </w:tr>
      <w:tr>
        <w:trPr>
          <w:trHeight w:val="301"/>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5"/>
              </w:rPr>
              <w:t>101.SCH</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301"/>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4"/>
              </w:rPr>
              <w:t>101.CAL</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301"/>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6"/>
              </w:rPr>
              <w:t>101.DEF</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301"/>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4"/>
              </w:rPr>
              <w:t>101.LAB</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301"/>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8"/>
              </w:rPr>
              <w:t>101.PRE</w:t>
            </w:r>
          </w:p>
        </w:tc>
        <w:tc>
          <w:tcPr>
            <w:tcW w:w="782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84" w:lineRule="exact"/>
        <w:rPr>
          <w:sz w:val="20"/>
          <w:szCs w:val="20"/>
          <w:color w:val="auto"/>
        </w:rPr>
      </w:pPr>
    </w:p>
    <w:p>
      <w:pPr>
        <w:ind w:left="1100" w:hanging="533"/>
        <w:spacing w:after="0"/>
        <w:tabs>
          <w:tab w:leader="none" w:pos="110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94"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Previously filed.</w:t>
      </w:r>
    </w:p>
    <w:p>
      <w:pPr>
        <w:spacing w:after="0" w:line="155" w:lineRule="exact"/>
        <w:rPr>
          <w:rFonts w:ascii="Times New Roman" w:cs="Times New Roman" w:eastAsia="Times New Roman" w:hAnsi="Times New Roman"/>
          <w:sz w:val="17"/>
          <w:szCs w:val="17"/>
          <w:color w:val="auto"/>
        </w:rPr>
      </w:pPr>
    </w:p>
    <w:p>
      <w:pPr>
        <w:jc w:val="both"/>
        <w:ind w:left="480" w:right="319" w:hanging="426"/>
        <w:spacing w:after="0" w:line="321" w:lineRule="auto"/>
        <w:tabs>
          <w:tab w:leader="none" w:pos="4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-635635</wp:posOffset>
            </wp:positionV>
            <wp:extent cx="1417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52" w:lineRule="exact"/>
        <w:rPr>
          <w:sz w:val="20"/>
          <w:szCs w:val="20"/>
          <w:color w:val="auto"/>
        </w:rPr>
      </w:pPr>
    </w:p>
    <w:p>
      <w:pPr>
        <w:ind w:left="480" w:right="319" w:hanging="426"/>
        <w:spacing w:after="0" w:line="288" w:lineRule="auto"/>
        <w:tabs>
          <w:tab w:leader="none" w:pos="4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pursuant to Item 601(a)(5) of Regulation S-K. The registrant will furnish copies of any such schedules and exhibits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p>
      <w:pPr>
        <w:sectPr>
          <w:pgSz w:w="11900" w:h="16838" w:orient="portrait"/>
          <w:cols w:equalWidth="0" w:num="1">
            <w:col w:w="9019"/>
          </w:cols>
          <w:pgMar w:left="1440" w:top="759"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0" w:lineRule="exact"/>
        <w:rPr>
          <w:sz w:val="20"/>
          <w:szCs w:val="20"/>
          <w:color w:val="auto"/>
        </w:rPr>
      </w:pPr>
    </w:p>
    <w:p>
      <w:pPr>
        <w:ind w:left="40" w:right="299" w:firstLine="226"/>
        <w:spacing w:after="0" w:line="27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on January 14, 2025</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CALAVO GROWERS, INC</w:t>
      </w:r>
    </w:p>
    <w:p>
      <w:pPr>
        <w:spacing w:after="0" w:line="118" w:lineRule="exact"/>
        <w:rPr>
          <w:sz w:val="20"/>
          <w:szCs w:val="20"/>
          <w:color w:val="auto"/>
        </w:rPr>
      </w:pPr>
    </w:p>
    <w:tbl>
      <w:tblPr>
        <w:tblLayout w:type="fixed"/>
        <w:tblInd w:w="4460" w:type="dxa"/>
        <w:tblCellMar>
          <w:top w:w="0" w:type="dxa"/>
          <w:left w:w="0" w:type="dxa"/>
          <w:bottom w:w="0" w:type="dxa"/>
          <w:right w:w="0" w:type="dxa"/>
        </w:tblCellMar>
      </w:tblPr>
      <w:tr>
        <w:trPr>
          <w:trHeight w:val="217"/>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w w:val="97"/>
              </w:rPr>
              <w:t>By:</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 Lecil Cole</w:t>
            </w:r>
          </w:p>
        </w:tc>
      </w:tr>
      <w:tr>
        <w:trPr>
          <w:trHeight w:val="173"/>
        </w:trPr>
        <w:tc>
          <w:tcPr>
            <w:tcW w:w="260" w:type="dxa"/>
            <w:vAlign w:val="bottom"/>
          </w:tcPr>
          <w:p>
            <w:pPr>
              <w:spacing w:after="0"/>
              <w:rPr>
                <w:sz w:val="15"/>
                <w:szCs w:val="15"/>
                <w:color w:val="auto"/>
              </w:rPr>
            </w:pPr>
          </w:p>
        </w:tc>
        <w:tc>
          <w:tcPr>
            <w:tcW w:w="4240" w:type="dxa"/>
            <w:vAlign w:val="bottom"/>
          </w:tcPr>
          <w:p>
            <w:pPr>
              <w:jc w:val="center"/>
              <w:spacing w:after="0" w:line="173" w:lineRule="exact"/>
              <w:rPr>
                <w:sz w:val="20"/>
                <w:szCs w:val="20"/>
                <w:color w:val="auto"/>
              </w:rPr>
            </w:pPr>
            <w:r>
              <w:rPr>
                <w:rFonts w:ascii="Times New Roman" w:cs="Times New Roman" w:eastAsia="Times New Roman" w:hAnsi="Times New Roman"/>
                <w:sz w:val="17"/>
                <w:szCs w:val="17"/>
                <w:color w:val="auto"/>
                <w:w w:val="98"/>
              </w:rPr>
              <w:t>Lecil Cole</w:t>
            </w:r>
          </w:p>
        </w:tc>
      </w:tr>
      <w:tr>
        <w:trPr>
          <w:trHeight w:val="221"/>
        </w:trPr>
        <w:tc>
          <w:tcPr>
            <w:tcW w:w="26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8"/>
              </w:rPr>
              <w:t>Chief Executive Officer</w:t>
            </w:r>
          </w:p>
        </w:tc>
      </w:tr>
    </w:tbl>
    <w:p>
      <w:pPr>
        <w:spacing w:after="0" w:line="385" w:lineRule="exact"/>
        <w:rPr>
          <w:sz w:val="20"/>
          <w:szCs w:val="20"/>
          <w:color w:val="auto"/>
        </w:rPr>
      </w:pPr>
    </w:p>
    <w:p>
      <w:pPr>
        <w:ind w:left="40" w:right="239" w:firstLine="241"/>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on January 14, 2025 by the following persons on behalf of the registrant and in the capacities indicated:</w:t>
      </w:r>
    </w:p>
    <w:p>
      <w:pPr>
        <w:spacing w:after="0" w:line="167"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Signature</w:t>
            </w:r>
          </w:p>
        </w:tc>
        <w:tc>
          <w:tcPr>
            <w:tcW w:w="500" w:type="dxa"/>
            <w:vAlign w:val="bottom"/>
          </w:tcPr>
          <w:p>
            <w:pPr>
              <w:spacing w:after="0"/>
              <w:rPr>
                <w:sz w:val="19"/>
                <w:szCs w:val="19"/>
                <w:color w:val="auto"/>
              </w:rPr>
            </w:pPr>
          </w:p>
        </w:tc>
        <w:tc>
          <w:tcPr>
            <w:tcW w:w="3640" w:type="dxa"/>
            <w:vAlign w:val="bottom"/>
            <w:tcBorders>
              <w:bottom w:val="single" w:sz="8" w:color="auto"/>
            </w:tcBorders>
          </w:tcPr>
          <w:p>
            <w:pPr>
              <w:jc w:val="center"/>
              <w:ind w:right="305"/>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228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7"/>
                <w:szCs w:val="17"/>
                <w:b w:val="1"/>
                <w:bCs w:val="1"/>
                <w:color w:val="auto"/>
                <w:w w:val="95"/>
              </w:rPr>
              <w:t>Date:</w:t>
            </w:r>
          </w:p>
        </w:tc>
      </w:tr>
      <w:tr>
        <w:trPr>
          <w:trHeight w:val="26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Lecil Cole</w:t>
            </w:r>
          </w:p>
        </w:tc>
        <w:tc>
          <w:tcPr>
            <w:tcW w:w="500" w:type="dxa"/>
            <w:vAlign w:val="bottom"/>
          </w:tcPr>
          <w:p>
            <w:pPr>
              <w:spacing w:after="0"/>
              <w:rPr>
                <w:sz w:val="22"/>
                <w:szCs w:val="22"/>
                <w:color w:val="auto"/>
              </w:rPr>
            </w:pPr>
          </w:p>
        </w:tc>
        <w:tc>
          <w:tcPr>
            <w:tcW w:w="3640" w:type="dxa"/>
            <w:vAlign w:val="bottom"/>
          </w:tcPr>
          <w:p>
            <w:pPr>
              <w:jc w:val="center"/>
              <w:ind w:right="325"/>
              <w:spacing w:after="0"/>
              <w:rPr>
                <w:sz w:val="20"/>
                <w:szCs w:val="20"/>
                <w:color w:val="auto"/>
              </w:rPr>
            </w:pPr>
            <w:r>
              <w:rPr>
                <w:rFonts w:ascii="Times New Roman" w:cs="Times New Roman" w:eastAsia="Times New Roman" w:hAnsi="Times New Roman"/>
                <w:sz w:val="15"/>
                <w:szCs w:val="15"/>
                <w:color w:val="auto"/>
                <w:w w:val="99"/>
              </w:rPr>
              <w:t>Chief Executive Officer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3"/>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Lecil Cole</w:t>
            </w:r>
          </w:p>
        </w:tc>
        <w:tc>
          <w:tcPr>
            <w:tcW w:w="500" w:type="dxa"/>
            <w:vAlign w:val="bottom"/>
          </w:tcPr>
          <w:p>
            <w:pPr>
              <w:spacing w:after="0"/>
              <w:rPr>
                <w:sz w:val="16"/>
                <w:szCs w:val="16"/>
                <w:color w:val="auto"/>
              </w:rPr>
            </w:pPr>
          </w:p>
        </w:tc>
        <w:tc>
          <w:tcPr>
            <w:tcW w:w="3640" w:type="dxa"/>
            <w:vAlign w:val="bottom"/>
          </w:tcPr>
          <w:p>
            <w:pPr>
              <w:jc w:val="center"/>
              <w:ind w:right="325"/>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2280" w:type="dxa"/>
            <w:vAlign w:val="bottom"/>
          </w:tcPr>
          <w:p>
            <w:pPr>
              <w:spacing w:after="0"/>
              <w:rPr>
                <w:sz w:val="16"/>
                <w:szCs w:val="16"/>
                <w:color w:val="auto"/>
              </w:rPr>
            </w:pPr>
          </w:p>
        </w:tc>
      </w:tr>
      <w:tr>
        <w:trPr>
          <w:trHeight w:val="36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James Snyder</w:t>
            </w:r>
          </w:p>
        </w:tc>
        <w:tc>
          <w:tcPr>
            <w:tcW w:w="500" w:type="dxa"/>
            <w:vAlign w:val="bottom"/>
          </w:tcPr>
          <w:p>
            <w:pPr>
              <w:spacing w:after="0"/>
              <w:rPr>
                <w:sz w:val="24"/>
                <w:szCs w:val="24"/>
                <w:color w:val="auto"/>
              </w:rPr>
            </w:pPr>
          </w:p>
        </w:tc>
        <w:tc>
          <w:tcPr>
            <w:tcW w:w="3640" w:type="dxa"/>
            <w:vAlign w:val="bottom"/>
          </w:tcPr>
          <w:p>
            <w:pPr>
              <w:jc w:val="center"/>
              <w:ind w:right="325"/>
              <w:spacing w:after="0"/>
              <w:rPr>
                <w:sz w:val="20"/>
                <w:szCs w:val="20"/>
                <w:color w:val="auto"/>
              </w:rPr>
            </w:pPr>
            <w:r>
              <w:rPr>
                <w:rFonts w:ascii="Times New Roman" w:cs="Times New Roman" w:eastAsia="Times New Roman" w:hAnsi="Times New Roman"/>
                <w:sz w:val="15"/>
                <w:szCs w:val="15"/>
                <w:color w:val="auto"/>
                <w:w w:val="99"/>
              </w:rPr>
              <w:t>Chief Financial Officer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3"/>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James Snyder</w:t>
            </w:r>
          </w:p>
        </w:tc>
        <w:tc>
          <w:tcPr>
            <w:tcW w:w="500" w:type="dxa"/>
            <w:vAlign w:val="bottom"/>
          </w:tcPr>
          <w:p>
            <w:pPr>
              <w:spacing w:after="0"/>
              <w:rPr>
                <w:sz w:val="16"/>
                <w:szCs w:val="16"/>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c>
          <w:tcPr>
            <w:tcW w:w="2280" w:type="dxa"/>
            <w:vAlign w:val="bottom"/>
          </w:tcPr>
          <w:p>
            <w:pPr>
              <w:spacing w:after="0"/>
              <w:rPr>
                <w:sz w:val="16"/>
                <w:szCs w:val="16"/>
                <w:color w:val="auto"/>
              </w:rPr>
            </w:pPr>
          </w:p>
        </w:tc>
      </w:tr>
      <w:tr>
        <w:trPr>
          <w:trHeight w:val="35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Steven W. Hollister</w:t>
            </w:r>
          </w:p>
        </w:tc>
        <w:tc>
          <w:tcPr>
            <w:tcW w:w="500" w:type="dxa"/>
            <w:vAlign w:val="bottom"/>
          </w:tcPr>
          <w:p>
            <w:pPr>
              <w:spacing w:after="0"/>
              <w:rPr>
                <w:sz w:val="24"/>
                <w:szCs w:val="24"/>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rPr>
              <w:t>Chairman of the Board of Directors</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Steven W. Hollister</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Marc L. Brown</w:t>
            </w:r>
          </w:p>
        </w:tc>
        <w:tc>
          <w:tcPr>
            <w:tcW w:w="500" w:type="dxa"/>
            <w:vAlign w:val="bottom"/>
          </w:tcPr>
          <w:p>
            <w:pPr>
              <w:spacing w:after="0"/>
              <w:rPr>
                <w:sz w:val="23"/>
                <w:szCs w:val="23"/>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Marc L. Brown</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Adriana Mendizabal</w:t>
            </w:r>
          </w:p>
        </w:tc>
        <w:tc>
          <w:tcPr>
            <w:tcW w:w="500" w:type="dxa"/>
            <w:vAlign w:val="bottom"/>
          </w:tcPr>
          <w:p>
            <w:pPr>
              <w:spacing w:after="0"/>
              <w:rPr>
                <w:sz w:val="24"/>
                <w:szCs w:val="24"/>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Adriana Mendizabal</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/s/ Michael A. DiGregorio</w:t>
            </w:r>
          </w:p>
        </w:tc>
        <w:tc>
          <w:tcPr>
            <w:tcW w:w="500" w:type="dxa"/>
            <w:vAlign w:val="bottom"/>
          </w:tcPr>
          <w:p>
            <w:pPr>
              <w:spacing w:after="0"/>
              <w:rPr>
                <w:sz w:val="23"/>
                <w:szCs w:val="23"/>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Michael A. DiGregorio</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4"/>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James Helin</w:t>
            </w:r>
          </w:p>
        </w:tc>
        <w:tc>
          <w:tcPr>
            <w:tcW w:w="500" w:type="dxa"/>
            <w:vAlign w:val="bottom"/>
          </w:tcPr>
          <w:p>
            <w:pPr>
              <w:spacing w:after="0"/>
              <w:rPr>
                <w:sz w:val="24"/>
                <w:szCs w:val="24"/>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James Helin</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Farha Aslam</w:t>
            </w:r>
          </w:p>
        </w:tc>
        <w:tc>
          <w:tcPr>
            <w:tcW w:w="500" w:type="dxa"/>
            <w:vAlign w:val="bottom"/>
          </w:tcPr>
          <w:p>
            <w:pPr>
              <w:spacing w:after="0"/>
              <w:rPr>
                <w:sz w:val="23"/>
                <w:szCs w:val="23"/>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Farha Aslam</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78"/>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 Link Leavens</w:t>
            </w:r>
          </w:p>
        </w:tc>
        <w:tc>
          <w:tcPr>
            <w:tcW w:w="500" w:type="dxa"/>
            <w:vAlign w:val="bottom"/>
          </w:tcPr>
          <w:p>
            <w:pPr>
              <w:spacing w:after="0"/>
              <w:rPr>
                <w:sz w:val="24"/>
                <w:szCs w:val="24"/>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 Link Leavens</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Kathleen M. Holmgren</w:t>
            </w:r>
          </w:p>
        </w:tc>
        <w:tc>
          <w:tcPr>
            <w:tcW w:w="500" w:type="dxa"/>
            <w:vAlign w:val="bottom"/>
          </w:tcPr>
          <w:p>
            <w:pPr>
              <w:spacing w:after="0"/>
              <w:rPr>
                <w:sz w:val="23"/>
                <w:szCs w:val="23"/>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Kathleen M. Holmgren</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66"/>
        </w:trPr>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 John Lindeman</w:t>
            </w:r>
          </w:p>
        </w:tc>
        <w:tc>
          <w:tcPr>
            <w:tcW w:w="500" w:type="dxa"/>
            <w:vAlign w:val="bottom"/>
          </w:tcPr>
          <w:p>
            <w:pPr>
              <w:spacing w:after="0"/>
              <w:rPr>
                <w:sz w:val="24"/>
                <w:szCs w:val="24"/>
                <w:color w:val="auto"/>
              </w:rPr>
            </w:pPr>
          </w:p>
        </w:tc>
        <w:tc>
          <w:tcPr>
            <w:tcW w:w="3640" w:type="dxa"/>
            <w:vAlign w:val="bottom"/>
          </w:tcPr>
          <w:p>
            <w:pPr>
              <w:jc w:val="center"/>
              <w:ind w:right="305"/>
              <w:spacing w:after="0"/>
              <w:rPr>
                <w:sz w:val="20"/>
                <w:szCs w:val="20"/>
                <w:color w:val="auto"/>
              </w:rPr>
            </w:pPr>
            <w:r>
              <w:rPr>
                <w:rFonts w:ascii="Times New Roman" w:cs="Times New Roman" w:eastAsia="Times New Roman" w:hAnsi="Times New Roman"/>
                <w:sz w:val="15"/>
                <w:szCs w:val="15"/>
                <w:color w:val="auto"/>
                <w:w w:val="99"/>
              </w:rPr>
              <w:t>Director</w:t>
            </w:r>
          </w:p>
        </w:tc>
        <w:tc>
          <w:tcPr>
            <w:tcW w:w="2280" w:type="dxa"/>
            <w:vAlign w:val="bottom"/>
          </w:tcPr>
          <w:p>
            <w:pPr>
              <w:jc w:val="center"/>
              <w:ind w:left="24"/>
              <w:spacing w:after="0"/>
              <w:rPr>
                <w:sz w:val="20"/>
                <w:szCs w:val="20"/>
                <w:color w:val="auto"/>
              </w:rPr>
            </w:pPr>
            <w:r>
              <w:rPr>
                <w:rFonts w:ascii="Times New Roman" w:cs="Times New Roman" w:eastAsia="Times New Roman" w:hAnsi="Times New Roman"/>
                <w:sz w:val="15"/>
                <w:szCs w:val="15"/>
                <w:color w:val="auto"/>
                <w:w w:val="99"/>
              </w:rPr>
              <w:t>January 14, 2025</w:t>
            </w:r>
          </w:p>
        </w:tc>
      </w:tr>
      <w:tr>
        <w:trPr>
          <w:trHeight w:val="191"/>
        </w:trPr>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John Lindeman</w:t>
            </w:r>
          </w:p>
        </w:tc>
        <w:tc>
          <w:tcPr>
            <w:tcW w:w="5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332105</wp:posOffset>
            </wp:positionV>
            <wp:extent cx="567690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7210" cy="91008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6887210" cy="910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7210" cy="91008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6887210" cy="910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267335</wp:posOffset>
            </wp:positionH>
            <wp:positionV relativeFrom="page">
              <wp:posOffset>88900</wp:posOffset>
            </wp:positionV>
            <wp:extent cx="6887210" cy="9100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6887210" cy="9100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19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INSIDER TRADING POLICY</w:t>
      </w:r>
    </w:p>
    <w:p>
      <w:pPr>
        <w:spacing w:after="0" w:line="19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and Guidelines with Respect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Certain Transactions in the Company’s Securities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February 8, 2023</w:t>
      </w:r>
    </w:p>
    <w:p>
      <w:pPr>
        <w:spacing w:after="0" w:line="196" w:lineRule="exact"/>
        <w:rPr>
          <w:sz w:val="20"/>
          <w:szCs w:val="20"/>
          <w:color w:val="auto"/>
        </w:rPr>
      </w:pPr>
    </w:p>
    <w:p>
      <w:pPr>
        <w:ind w:right="100" w:firstLine="602"/>
        <w:spacing w:after="0" w:line="239" w:lineRule="auto"/>
        <w:rPr>
          <w:sz w:val="20"/>
          <w:szCs w:val="20"/>
          <w:color w:val="auto"/>
        </w:rPr>
      </w:pPr>
      <w:r>
        <w:rPr>
          <w:rFonts w:ascii="Times New Roman" w:cs="Times New Roman" w:eastAsia="Times New Roman" w:hAnsi="Times New Roman"/>
          <w:sz w:val="20"/>
          <w:szCs w:val="20"/>
          <w:color w:val="auto"/>
        </w:rPr>
        <w:t>This Insider Trading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provides guidelines to directors, officers and employees of Calavo Growers,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with respect to transactions in the Company’s securities, including common stock, options for common stock, and any other securities the Company may issue from time to time (“</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and the handling of Material Nonpublic Information (as defined below on page 4) about the Company and the companies with which the Company does business.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The Board has also adopted this Policy to promote compliance with other securities laws, including laws governing the resale of securities by affiliates and laws requiring the timely reporting of transactions in securities by the Company’s officers and directors.</w:t>
      </w:r>
    </w:p>
    <w:p>
      <w:pPr>
        <w:spacing w:after="0" w:line="1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has the meaning ascribed to it on page 8.</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directors of the Company.</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Calavo Growers, Inc.</w:t>
      </w:r>
    </w:p>
    <w:p>
      <w:pPr>
        <w:spacing w:after="0" w:line="196" w:lineRule="exact"/>
        <w:rPr>
          <w:sz w:val="20"/>
          <w:szCs w:val="20"/>
          <w:color w:val="auto"/>
        </w:rPr>
      </w:pPr>
    </w:p>
    <w:p>
      <w:pPr>
        <w:ind w:right="80" w:firstLine="602"/>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Securities</w:t>
      </w:r>
      <w:r>
        <w:rPr>
          <w:rFonts w:ascii="Times New Roman" w:cs="Times New Roman" w:eastAsia="Times New Roman" w:hAnsi="Times New Roman"/>
          <w:sz w:val="20"/>
          <w:szCs w:val="20"/>
          <w:color w:val="auto"/>
        </w:rPr>
        <w:t>” means the securities of the Company, including common stock, options for common stock, and any other securities the Company may issue from time to time.</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Representative</w:t>
      </w:r>
      <w:r>
        <w:rPr>
          <w:rFonts w:ascii="Times New Roman" w:cs="Times New Roman" w:eastAsia="Times New Roman" w:hAnsi="Times New Roman"/>
          <w:sz w:val="20"/>
          <w:szCs w:val="20"/>
          <w:color w:val="auto"/>
        </w:rPr>
        <w:t>” means the Company’s Chief Financial Officer.</w:t>
      </w:r>
    </w:p>
    <w:p>
      <w:pPr>
        <w:spacing w:after="0" w:line="196" w:lineRule="exact"/>
        <w:rPr>
          <w:sz w:val="20"/>
          <w:szCs w:val="20"/>
          <w:color w:val="auto"/>
        </w:rPr>
      </w:pPr>
    </w:p>
    <w:p>
      <w:pPr>
        <w:ind w:right="820" w:firstLine="602"/>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Entities</w:t>
      </w:r>
      <w:r>
        <w:rPr>
          <w:rFonts w:ascii="Times New Roman" w:cs="Times New Roman" w:eastAsia="Times New Roman" w:hAnsi="Times New Roman"/>
          <w:sz w:val="20"/>
          <w:szCs w:val="20"/>
          <w:color w:val="auto"/>
        </w:rPr>
        <w:t>” means any entities that a person influences or controls, including any corporations, partnerships or trusts.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196" w:lineRule="exact"/>
        <w:rPr>
          <w:sz w:val="20"/>
          <w:szCs w:val="20"/>
          <w:color w:val="auto"/>
        </w:rPr>
      </w:pPr>
    </w:p>
    <w:p>
      <w:pPr>
        <w:ind w:right="20" w:firstLine="602"/>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Household Member</w:t>
      </w:r>
      <w:r>
        <w:rPr>
          <w:rFonts w:ascii="Times New Roman" w:cs="Times New Roman" w:eastAsia="Times New Roman" w:hAnsi="Times New Roman"/>
          <w:sz w:val="20"/>
          <w:szCs w:val="20"/>
          <w:color w:val="auto"/>
        </w:rPr>
        <w:t>” means a person’s family members who reside with such person (including a spouse, a child, a child away at college, stepchildren, grandchildren, parents, stepparents, grandparents, siblings and in-laws), anyone else who lives in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575945</wp:posOffset>
            </wp:positionV>
            <wp:extent cx="629793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90" w:name="page91"/>
    <w:bookmarkEnd w:id="90"/>
    <w:p>
      <w:pPr>
        <w:ind w:right="140"/>
        <w:spacing w:after="0" w:line="251" w:lineRule="auto"/>
        <w:rPr>
          <w:sz w:val="20"/>
          <w:szCs w:val="20"/>
          <w:color w:val="auto"/>
        </w:rPr>
      </w:pPr>
      <w:r>
        <w:rPr>
          <w:rFonts w:ascii="Times New Roman" w:cs="Times New Roman" w:eastAsia="Times New Roman" w:hAnsi="Times New Roman"/>
          <w:sz w:val="20"/>
          <w:szCs w:val="20"/>
          <w:color w:val="auto"/>
        </w:rPr>
        <w:t>household, and any family members who do not live in such person’s household but whose transactions in Company Securities are directed by such person or are subject to such person’s influence or control, such as parents or children who consult with such person before trading in Company Securities.</w:t>
      </w:r>
    </w:p>
    <w:p>
      <w:pPr>
        <w:spacing w:after="0" w:line="153" w:lineRule="exact"/>
        <w:rPr>
          <w:sz w:val="20"/>
          <w:szCs w:val="20"/>
          <w:color w:val="auto"/>
        </w:rPr>
      </w:pPr>
    </w:p>
    <w:p>
      <w:pPr>
        <w:ind w:firstLine="602"/>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Insider</w:t>
      </w:r>
      <w:r>
        <w:rPr>
          <w:rFonts w:ascii="Times New Roman" w:cs="Times New Roman" w:eastAsia="Times New Roman" w:hAnsi="Times New Roman"/>
          <w:sz w:val="20"/>
          <w:szCs w:val="20"/>
          <w:color w:val="auto"/>
        </w:rPr>
        <w:t>” means each of the Company’s directors, officers, and all other employees of, or consultants or contractors to, the Company, persons previously in such roles where they may have received Material Nonpublic Information, members of their immediate families, Household Members, and entities or persons controlled by them.</w:t>
      </w:r>
    </w:p>
    <w:p>
      <w:pPr>
        <w:spacing w:after="0" w:line="15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has the meaning ascribed to it on page 4.</w:t>
      </w:r>
    </w:p>
    <w:p>
      <w:pPr>
        <w:spacing w:after="0" w:line="196" w:lineRule="exact"/>
        <w:rPr>
          <w:sz w:val="20"/>
          <w:szCs w:val="20"/>
          <w:color w:val="auto"/>
        </w:rPr>
      </w:pPr>
    </w:p>
    <w:p>
      <w:pPr>
        <w:ind w:right="60" w:firstLine="602"/>
        <w:spacing w:after="0" w:line="27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Rule 10b5-1 Plan</w:t>
      </w:r>
      <w:r>
        <w:rPr>
          <w:rFonts w:ascii="Times New Roman" w:cs="Times New Roman" w:eastAsia="Times New Roman" w:hAnsi="Times New Roman"/>
          <w:sz w:val="20"/>
          <w:szCs w:val="20"/>
          <w:color w:val="auto"/>
        </w:rPr>
        <w:t>” means a plan for transactions in Company Securities that meets certain conditions specified in the Rule 10b5-1.</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Window Period</w:t>
      </w:r>
      <w:r>
        <w:rPr>
          <w:rFonts w:ascii="Times New Roman" w:cs="Times New Roman" w:eastAsia="Times New Roman" w:hAnsi="Times New Roman"/>
          <w:sz w:val="20"/>
          <w:szCs w:val="20"/>
          <w:color w:val="auto"/>
        </w:rPr>
        <w:t>” has the meaning ascribed to it on page 8.</w:t>
      </w:r>
    </w:p>
    <w:p>
      <w:pPr>
        <w:spacing w:after="0" w:line="20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u w:val="single" w:color="auto"/>
          <w:color w:val="auto"/>
        </w:rPr>
        <w:t>Applicability of the Policy; the Compliance Representative</w:t>
      </w:r>
    </w:p>
    <w:p>
      <w:pPr>
        <w:spacing w:after="0" w:line="196" w:lineRule="exact"/>
        <w:rPr>
          <w:sz w:val="20"/>
          <w:szCs w:val="20"/>
          <w:color w:val="auto"/>
        </w:rPr>
      </w:pPr>
    </w:p>
    <w:p>
      <w:pPr>
        <w:ind w:firstLine="602"/>
        <w:spacing w:after="0" w:line="243" w:lineRule="auto"/>
        <w:rPr>
          <w:sz w:val="20"/>
          <w:szCs w:val="20"/>
          <w:color w:val="auto"/>
        </w:rPr>
      </w:pPr>
      <w:r>
        <w:rPr>
          <w:rFonts w:ascii="Times New Roman" w:cs="Times New Roman" w:eastAsia="Times New Roman" w:hAnsi="Times New Roman"/>
          <w:sz w:val="20"/>
          <w:szCs w:val="20"/>
          <w:color w:val="auto"/>
        </w:rPr>
        <w:t>This Policy applies to all transactions in Company Securities. It applies to Insiders of the Company, including of the Company’s subsidiaries. This Policy applies to any transactions by entities over which any Insider exercises control. This Policy also applies to transactions by any such person’s Household Members (as defined below on page 5) and to transactions by entities over which any such Household Member exercises control. This Policy also applies to any person who receives Material Nonpublic Information from any Insider.</w:t>
      </w:r>
    </w:p>
    <w:p>
      <w:pPr>
        <w:spacing w:after="0" w:line="165" w:lineRule="exact"/>
        <w:rPr>
          <w:sz w:val="20"/>
          <w:szCs w:val="20"/>
          <w:color w:val="auto"/>
        </w:rPr>
      </w:pPr>
    </w:p>
    <w:p>
      <w:pPr>
        <w:ind w:right="800" w:firstLine="602"/>
        <w:spacing w:after="0" w:line="267" w:lineRule="auto"/>
        <w:rPr>
          <w:sz w:val="20"/>
          <w:szCs w:val="20"/>
          <w:color w:val="auto"/>
        </w:rPr>
      </w:pPr>
      <w:r>
        <w:rPr>
          <w:rFonts w:ascii="Times New Roman" w:cs="Times New Roman" w:eastAsia="Times New Roman" w:hAnsi="Times New Roman"/>
          <w:sz w:val="20"/>
          <w:szCs w:val="20"/>
          <w:color w:val="auto"/>
        </w:rPr>
        <w:t>If you have any questions about this Policy, you may contact the Compliance Representative or Tom Li of TroyGould PC at 310-789-1228 or at tli@troygould.com.</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Individual Responsibility</w:t>
      </w:r>
    </w:p>
    <w:p>
      <w:pPr>
        <w:spacing w:after="0" w:line="196" w:lineRule="exact"/>
        <w:rPr>
          <w:sz w:val="20"/>
          <w:szCs w:val="20"/>
          <w:color w:val="auto"/>
        </w:rPr>
      </w:pPr>
    </w:p>
    <w:p>
      <w:pPr>
        <w:ind w:right="40" w:firstLine="602"/>
        <w:spacing w:after="0" w:line="239" w:lineRule="auto"/>
        <w:rPr>
          <w:sz w:val="20"/>
          <w:szCs w:val="20"/>
          <w:color w:val="auto"/>
        </w:rPr>
      </w:pPr>
      <w:r>
        <w:rPr>
          <w:rFonts w:ascii="Times New Roman" w:cs="Times New Roman" w:eastAsia="Times New Roman" w:hAnsi="Times New Roman"/>
          <w:sz w:val="20"/>
          <w:szCs w:val="20"/>
          <w:color w:val="auto"/>
        </w:rPr>
        <w:t>Persons subject to this Policy have ethical and legal obligations to maintain the confidentiality of information about the Company and to not engage in transactions in Company Securities while in possession of Material Nonpublic Information. Persons subject to this policy must not engage in illegal trading and must avoid the appearance of improper trading. Each individual is responsible for making sure that he or she complies with this Policy, and that any Household Member or entity whose transactions are subject to this Policy, as discussed below, complies with this Policy. In all cases, the responsibility for determining whether an individual is in possession of Material Nonpublic Information rests with that individual, and any action on the part of the Company, the Compliance Representative or any other employee or director pursuant to this Policy (or otherwise) does not in any way constitute legal advice or insulate an individual from liability under applicable securities laws. You could be subject to severe legal penalties and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91" w:name="page92"/>
    <w:bookmarkEnd w:id="91"/>
    <w:p>
      <w:pPr>
        <w:ind w:right="300"/>
        <w:spacing w:after="0" w:line="268" w:lineRule="auto"/>
        <w:rPr>
          <w:sz w:val="20"/>
          <w:szCs w:val="20"/>
          <w:color w:val="auto"/>
        </w:rPr>
      </w:pPr>
      <w:r>
        <w:rPr>
          <w:rFonts w:ascii="Times New Roman" w:cs="Times New Roman" w:eastAsia="Times New Roman" w:hAnsi="Times New Roman"/>
          <w:sz w:val="20"/>
          <w:szCs w:val="20"/>
          <w:color w:val="auto"/>
        </w:rPr>
        <w:t>disciplinary action by the Company for any conduct prohibited by this Policy or applicable securities laws, as described below in more detail under the heading “</w:t>
      </w:r>
      <w:r>
        <w:rPr>
          <w:rFonts w:ascii="Times New Roman" w:cs="Times New Roman" w:eastAsia="Times New Roman" w:hAnsi="Times New Roman"/>
          <w:sz w:val="20"/>
          <w:szCs w:val="20"/>
          <w:i w:val="1"/>
          <w:iCs w:val="1"/>
          <w:color w:val="auto"/>
        </w:rPr>
        <w:t>Consequences of Violations</w:t>
      </w:r>
      <w:r>
        <w:rPr>
          <w:rFonts w:ascii="Times New Roman" w:cs="Times New Roman" w:eastAsia="Times New Roman" w:hAnsi="Times New Roman"/>
          <w:sz w:val="20"/>
          <w:szCs w:val="20"/>
          <w:color w:val="auto"/>
        </w:rPr>
        <w: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Statement of the Policy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General Policy</w:t>
      </w:r>
    </w:p>
    <w:p>
      <w:pPr>
        <w:spacing w:after="0" w:line="196" w:lineRule="exact"/>
        <w:rPr>
          <w:sz w:val="20"/>
          <w:szCs w:val="20"/>
          <w:color w:val="auto"/>
        </w:rPr>
      </w:pPr>
    </w:p>
    <w:p>
      <w:pPr>
        <w:ind w:right="80" w:firstLine="602"/>
        <w:spacing w:after="0" w:line="251" w:lineRule="auto"/>
        <w:rPr>
          <w:sz w:val="20"/>
          <w:szCs w:val="20"/>
          <w:color w:val="auto"/>
        </w:rPr>
      </w:pPr>
      <w:r>
        <w:rPr>
          <w:rFonts w:ascii="Times New Roman" w:cs="Times New Roman" w:eastAsia="Times New Roman" w:hAnsi="Times New Roman"/>
          <w:sz w:val="20"/>
          <w:szCs w:val="20"/>
          <w:color w:val="auto"/>
        </w:rPr>
        <w:t>It is the policy of the Company that no Insider (or any other person designated by this Policy or by the Compliance Representative as subject to this Policy) who is aware of Material Nonpublic Information regarding the Company may, directly, or indirectly through Household Members or other persons or entities:</w:t>
      </w:r>
    </w:p>
    <w:p>
      <w:pPr>
        <w:spacing w:after="0" w:line="156" w:lineRule="exact"/>
        <w:rPr>
          <w:sz w:val="20"/>
          <w:szCs w:val="20"/>
          <w:color w:val="auto"/>
        </w:rPr>
      </w:pPr>
    </w:p>
    <w:p>
      <w:pPr>
        <w:ind w:left="600" w:right="480" w:hanging="298"/>
        <w:spacing w:after="0" w:line="267" w:lineRule="auto"/>
        <w:tabs>
          <w:tab w:leader="none" w:pos="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in transactions in Company Securities, except as otherwise specified in this Policy under the headings “</w:t>
      </w:r>
      <w:r>
        <w:rPr>
          <w:rFonts w:ascii="Times New Roman" w:cs="Times New Roman" w:eastAsia="Times New Roman" w:hAnsi="Times New Roman"/>
          <w:sz w:val="20"/>
          <w:szCs w:val="20"/>
          <w:i w:val="1"/>
          <w:iCs w:val="1"/>
          <w:u w:val="single" w:color="auto"/>
          <w:color w:val="auto"/>
        </w:rPr>
        <w:t>Transactions Not Covered</w:t>
      </w:r>
      <w:r>
        <w:rPr>
          <w:rFonts w:ascii="Times New Roman" w:cs="Times New Roman" w:eastAsia="Times New Roman" w:hAnsi="Times New Roman"/>
          <w:sz w:val="20"/>
          <w:szCs w:val="20"/>
          <w:color w:val="auto"/>
        </w:rPr>
        <w:t>”;</w:t>
      </w:r>
    </w:p>
    <w:p>
      <w:pPr>
        <w:spacing w:after="0" w:line="140" w:lineRule="exact"/>
        <w:rPr>
          <w:rFonts w:ascii="Times New Roman" w:cs="Times New Roman" w:eastAsia="Times New Roman" w:hAnsi="Times New Roman"/>
          <w:sz w:val="20"/>
          <w:szCs w:val="20"/>
          <w:color w:val="auto"/>
        </w:rPr>
      </w:pPr>
    </w:p>
    <w:p>
      <w:pPr>
        <w:ind w:left="600" w:hanging="298"/>
        <w:spacing w:after="0"/>
        <w:tabs>
          <w:tab w:leader="none" w:pos="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Recommend the purchase or sale of any Company Securities;</w:t>
      </w:r>
    </w:p>
    <w:p>
      <w:pPr>
        <w:spacing w:after="0" w:line="196" w:lineRule="exact"/>
        <w:rPr>
          <w:rFonts w:ascii="Times New Roman" w:cs="Times New Roman" w:eastAsia="Times New Roman" w:hAnsi="Times New Roman"/>
          <w:sz w:val="20"/>
          <w:szCs w:val="20"/>
          <w:color w:val="auto"/>
        </w:rPr>
      </w:pPr>
    </w:p>
    <w:p>
      <w:pPr>
        <w:ind w:left="600" w:right="40" w:hanging="298"/>
        <w:spacing w:after="0" w:line="243" w:lineRule="auto"/>
        <w:tabs>
          <w:tab w:leader="none" w:pos="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64" w:lineRule="exact"/>
        <w:rPr>
          <w:rFonts w:ascii="Times New Roman" w:cs="Times New Roman" w:eastAsia="Times New Roman" w:hAnsi="Times New Roman"/>
          <w:sz w:val="20"/>
          <w:szCs w:val="20"/>
          <w:color w:val="auto"/>
        </w:rPr>
      </w:pPr>
    </w:p>
    <w:p>
      <w:pPr>
        <w:ind w:left="600" w:hanging="298"/>
        <w:spacing w:after="0"/>
        <w:tabs>
          <w:tab w:leader="none" w:pos="6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the above activities.</w:t>
      </w:r>
    </w:p>
    <w:p>
      <w:pPr>
        <w:spacing w:after="0" w:line="196" w:lineRule="exact"/>
        <w:rPr>
          <w:sz w:val="20"/>
          <w:szCs w:val="20"/>
          <w:color w:val="auto"/>
        </w:rPr>
      </w:pPr>
    </w:p>
    <w:p>
      <w:pPr>
        <w:ind w:firstLine="602"/>
        <w:spacing w:after="0" w:line="239" w:lineRule="auto"/>
        <w:rPr>
          <w:sz w:val="20"/>
          <w:szCs w:val="20"/>
          <w:color w:val="auto"/>
        </w:rPr>
      </w:pPr>
      <w:r>
        <w:rPr>
          <w:rFonts w:ascii="Times New Roman" w:cs="Times New Roman" w:eastAsia="Times New Roman" w:hAnsi="Times New Roman"/>
          <w:sz w:val="20"/>
          <w:szCs w:val="20"/>
          <w:color w:val="auto"/>
        </w:rPr>
        <w:t xml:space="preserve">In addition, it is the policy of the Company that no Insider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or the securities of another publicly traded company whose price may be affected by such information, until the information becomes public or is no longer material. There are no exceptions to this Policy, except as specifically noted herein. Transactions that may be necessary or justifiable for independent reasons (such as the need to raise money for an emergency expenditure), or small transactions, are </w:t>
      </w:r>
      <w:r>
        <w:rPr>
          <w:rFonts w:ascii="Times New Roman" w:cs="Times New Roman" w:eastAsia="Times New Roman" w:hAnsi="Times New Roman"/>
          <w:sz w:val="20"/>
          <w:szCs w:val="20"/>
          <w:b w:val="1"/>
          <w:bCs w:val="1"/>
          <w:u w:val="single" w:color="auto"/>
          <w:color w:val="auto"/>
        </w:rPr>
        <w:t>not</w:t>
      </w:r>
      <w:r>
        <w:rPr>
          <w:rFonts w:ascii="Times New Roman" w:cs="Times New Roman" w:eastAsia="Times New Roman" w:hAnsi="Times New Roman"/>
          <w:sz w:val="20"/>
          <w:szCs w:val="20"/>
          <w:color w:val="auto"/>
        </w:rPr>
        <w:t xml:space="preserve">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1" w:lineRule="exact"/>
        <w:rPr>
          <w:sz w:val="20"/>
          <w:szCs w:val="20"/>
          <w:color w:val="auto"/>
        </w:rPr>
      </w:pPr>
    </w:p>
    <w:p>
      <w:pPr>
        <w:ind w:right="180" w:firstLine="602"/>
        <w:spacing w:after="0" w:line="251" w:lineRule="auto"/>
        <w:rPr>
          <w:sz w:val="20"/>
          <w:szCs w:val="20"/>
          <w:color w:val="auto"/>
        </w:rPr>
      </w:pPr>
      <w:r>
        <w:rPr>
          <w:rFonts w:ascii="Times New Roman" w:cs="Times New Roman" w:eastAsia="Times New Roman" w:hAnsi="Times New Roman"/>
          <w:sz w:val="20"/>
          <w:szCs w:val="20"/>
          <w:color w:val="auto"/>
        </w:rPr>
        <w:t>An Insider may, from time to time, have to forego a proposed transaction in Company Securities even if he or she planned to make the transaction before learning of the Material Nonpublic Information and even though the Insider believes he or she may suffer an economic loss or forego anticipated profits by waiting.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92" w:name="page93"/>
    <w:bookmarkEnd w:id="92"/>
    <w:p>
      <w:pPr>
        <w:jc w:val="center"/>
        <w:ind w:right="-59"/>
        <w:spacing w:after="0"/>
        <w:rPr>
          <w:sz w:val="20"/>
          <w:szCs w:val="20"/>
          <w:color w:val="auto"/>
        </w:rPr>
      </w:pPr>
      <w:r>
        <w:rPr>
          <w:rFonts w:ascii="Times New Roman" w:cs="Times New Roman" w:eastAsia="Times New Roman" w:hAnsi="Times New Roman"/>
          <w:sz w:val="20"/>
          <w:szCs w:val="20"/>
          <w:u w:val="single" w:color="auto"/>
          <w:color w:val="auto"/>
        </w:rPr>
        <w:t>Definition of Material Nonpublic Information</w:t>
      </w:r>
    </w:p>
    <w:p>
      <w:pPr>
        <w:spacing w:after="0" w:line="197" w:lineRule="exact"/>
        <w:rPr>
          <w:sz w:val="20"/>
          <w:szCs w:val="20"/>
          <w:color w:val="auto"/>
        </w:rPr>
      </w:pPr>
    </w:p>
    <w:p>
      <w:pPr>
        <w:ind w:right="160" w:firstLine="602"/>
        <w:spacing w:after="0"/>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Company Securities. There is no bright-line standard for assessing materiality; rather, materiality is based on an assessment of all of the facts and circumstances, and is often evaluated by enforcement authorities operating with the benefit of hindsight. Either positive or negative information may be material. While it may be difficult under this standard to determine whether particular information is material, there are various categories of information that are particularly sensitive and, as a general rule, should always be presumed to be material. Examples of such information include:</w:t>
      </w:r>
    </w:p>
    <w:p>
      <w:pPr>
        <w:spacing w:after="0" w:line="166" w:lineRule="exact"/>
        <w:rPr>
          <w:sz w:val="20"/>
          <w:szCs w:val="20"/>
          <w:color w:val="auto"/>
        </w:rPr>
      </w:pPr>
    </w:p>
    <w:p>
      <w:pPr>
        <w:ind w:left="2100" w:hanging="594"/>
        <w:spacing w:after="0"/>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w:t>
      </w:r>
    </w:p>
    <w:p>
      <w:pPr>
        <w:spacing w:after="0" w:line="17" w:lineRule="exact"/>
        <w:rPr>
          <w:rFonts w:ascii="Times New Roman" w:cs="Times New Roman" w:eastAsia="Times New Roman" w:hAnsi="Times New Roman"/>
          <w:sz w:val="20"/>
          <w:szCs w:val="20"/>
          <w:color w:val="auto"/>
        </w:rPr>
      </w:pP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Projections of future earnings or losses, or other earnings guidance;</w:t>
      </w:r>
    </w:p>
    <w:p>
      <w:pPr>
        <w:ind w:left="2100" w:right="62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previously announced earnings guidance, or the decision to suspend earnings guidance;</w:t>
      </w:r>
    </w:p>
    <w:p>
      <w:pPr>
        <w:spacing w:after="0" w:line="1" w:lineRule="exact"/>
        <w:rPr>
          <w:rFonts w:ascii="Times New Roman" w:cs="Times New Roman" w:eastAsia="Times New Roman" w:hAnsi="Times New Roman"/>
          <w:sz w:val="20"/>
          <w:szCs w:val="20"/>
          <w:color w:val="auto"/>
        </w:rPr>
      </w:pPr>
    </w:p>
    <w:p>
      <w:pPr>
        <w:ind w:left="2100" w:right="38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pending or proposed merger, acquisition or tender offer, including the pending or proposed acquisition or disposition of a significant asset;</w:t>
      </w:r>
    </w:p>
    <w:p>
      <w:pPr>
        <w:spacing w:after="0" w:line="1" w:lineRule="exact"/>
        <w:rPr>
          <w:rFonts w:ascii="Times New Roman" w:cs="Times New Roman" w:eastAsia="Times New Roman" w:hAnsi="Times New Roman"/>
          <w:sz w:val="20"/>
          <w:szCs w:val="20"/>
          <w:color w:val="auto"/>
        </w:rPr>
      </w:pP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pending or proposed joint venture;</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News of a Company restructuring;</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financing transactions out of the ordinary course;</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or other recapitalizations;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equity or debt offerings;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Company Securities;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dividend policy;</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of a significant nature;</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product defects or modifications;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pricing changes;</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 or loss of a substantial customer or supplier;</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Company’s pricing or cost structure;</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marketing changes;</w:t>
      </w:r>
    </w:p>
    <w:p>
      <w:pPr>
        <w:ind w:left="2100" w:right="74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litigation exposure due to actual or threatened litigation, or the resolution of litigation;</w:t>
      </w:r>
    </w:p>
    <w:p>
      <w:pPr>
        <w:spacing w:after="0" w:line="1" w:lineRule="exact"/>
        <w:rPr>
          <w:rFonts w:ascii="Times New Roman" w:cs="Times New Roman" w:eastAsia="Times New Roman" w:hAnsi="Times New Roman"/>
          <w:sz w:val="20"/>
          <w:szCs w:val="20"/>
          <w:color w:val="auto"/>
        </w:rPr>
      </w:pP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senior management;</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 agreements (negotiation, entry, or termination thereof);</w:t>
      </w:r>
    </w:p>
    <w:p>
      <w:pPr>
        <w:ind w:left="2100" w:hanging="594"/>
        <w:spacing w:after="0" w:line="235" w:lineRule="auto"/>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auditors or notification that the auditor’s reports may no longer be relied upon;</w:t>
      </w:r>
    </w:p>
    <w:p>
      <w:pPr>
        <w:jc w:val="both"/>
        <w:ind w:left="2100" w:hanging="594"/>
        <w:spacing w:after="0"/>
        <w:tabs>
          <w:tab w:leader="none" w:pos="21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860"/>
          </w:cols>
          <w:pgMar w:left="980" w:top="114" w:right="1059" w:bottom="1440" w:gutter="0" w:footer="0" w:header="0"/>
        </w:sectPr>
      </w:pPr>
    </w:p>
    <w:bookmarkStart w:id="93" w:name="page94"/>
    <w:bookmarkEnd w:id="93"/>
    <w:p>
      <w:pPr>
        <w:ind w:left="2100" w:hanging="594"/>
        <w:spacing w:after="0" w:line="247" w:lineRule="auto"/>
        <w:tabs>
          <w:tab w:leader="none" w:pos="21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an event-specific restriction on trading in Company Securities or the securities of another company or the extension or termination of such restriction; or</w:t>
      </w:r>
    </w:p>
    <w:p>
      <w:pPr>
        <w:ind w:left="2100" w:hanging="594"/>
        <w:spacing w:after="0"/>
        <w:tabs>
          <w:tab w:leader="none" w:pos="21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which is likely to have a significant impact on the Company.</w:t>
      </w:r>
    </w:p>
    <w:p>
      <w:pPr>
        <w:spacing w:after="0" w:line="174" w:lineRule="exact"/>
        <w:rPr>
          <w:sz w:val="20"/>
          <w:szCs w:val="20"/>
          <w:color w:val="auto"/>
        </w:rPr>
      </w:pPr>
    </w:p>
    <w:p>
      <w:pPr>
        <w:ind w:right="20" w:firstLine="601"/>
        <w:spacing w:after="0" w:line="238" w:lineRule="auto"/>
        <w:rPr>
          <w:sz w:val="20"/>
          <w:szCs w:val="20"/>
          <w:color w:val="auto"/>
        </w:rPr>
      </w:pPr>
      <w:r>
        <w:rPr>
          <w:rFonts w:ascii="Times New Roman" w:cs="Times New Roman" w:eastAsia="Times New Roman" w:hAnsi="Times New Roman"/>
          <w:sz w:val="20"/>
          <w:szCs w:val="20"/>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and institutional investors. Once information is widely disseminated, it is still necessary to provide the investing public with sufficient time to absorb the information. As a general rule, information should not be considered fully absorbed by the marketplace until the second business day after the day on which the information is released. If, for example, the Company were to make an announcement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Transactions by Household Members and Others</w:t>
      </w:r>
    </w:p>
    <w:p>
      <w:pPr>
        <w:spacing w:after="0" w:line="196" w:lineRule="exact"/>
        <w:rPr>
          <w:sz w:val="20"/>
          <w:szCs w:val="20"/>
          <w:color w:val="auto"/>
        </w:rPr>
      </w:pPr>
    </w:p>
    <w:p>
      <w:pPr>
        <w:ind w:firstLine="602"/>
        <w:spacing w:after="0" w:line="239" w:lineRule="auto"/>
        <w:rPr>
          <w:sz w:val="20"/>
          <w:szCs w:val="20"/>
          <w:color w:val="auto"/>
        </w:rPr>
      </w:pPr>
      <w:r>
        <w:rPr>
          <w:rFonts w:ascii="Times New Roman" w:cs="Times New Roman" w:eastAsia="Times New Roman" w:hAnsi="Times New Roman"/>
          <w:sz w:val="20"/>
          <w:szCs w:val="20"/>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trading in Company Securities (collectively referred to as “</w:t>
      </w:r>
      <w:r>
        <w:rPr>
          <w:rFonts w:ascii="Times New Roman" w:cs="Times New Roman" w:eastAsia="Times New Roman" w:hAnsi="Times New Roman"/>
          <w:sz w:val="20"/>
          <w:szCs w:val="20"/>
          <w:u w:val="single" w:color="auto"/>
          <w:color w:val="auto"/>
        </w:rPr>
        <w:t>Household Members</w:t>
      </w:r>
      <w:r>
        <w:rPr>
          <w:rFonts w:ascii="Times New Roman" w:cs="Times New Roman" w:eastAsia="Times New Roman" w:hAnsi="Times New Roman"/>
          <w:sz w:val="20"/>
          <w:szCs w:val="20"/>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Household Members where the purchase or sale decision is made by a third party not controlled by, influenced by or related to you or your Household Members.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Transactions by Entities you Influence or Control</w:t>
      </w:r>
    </w:p>
    <w:p>
      <w:pPr>
        <w:spacing w:after="0" w:line="196" w:lineRule="exact"/>
        <w:rPr>
          <w:sz w:val="20"/>
          <w:szCs w:val="20"/>
          <w:color w:val="auto"/>
        </w:rPr>
      </w:pPr>
    </w:p>
    <w:p>
      <w:pPr>
        <w:ind w:right="260" w:firstLine="601"/>
        <w:spacing w:after="0" w:line="267" w:lineRule="auto"/>
        <w:rPr>
          <w:sz w:val="20"/>
          <w:szCs w:val="20"/>
          <w:color w:val="auto"/>
        </w:rPr>
      </w:pPr>
      <w:r>
        <w:rPr>
          <w:rFonts w:ascii="Times New Roman" w:cs="Times New Roman" w:eastAsia="Times New Roman" w:hAnsi="Times New Roman"/>
          <w:sz w:val="20"/>
          <w:szCs w:val="20"/>
          <w:color w:val="auto"/>
        </w:rPr>
        <w:t>This Policy applies to any Controlled Entities, and transactions by these Controlled Entities should be treated for the purposes of this Policy and applicable securities laws as if they were for your own account.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Transactions Not Covered</w:t>
      </w:r>
    </w:p>
    <w:p>
      <w:pPr>
        <w:spacing w:after="0" w:line="196" w:lineRule="exact"/>
        <w:rPr>
          <w:sz w:val="20"/>
          <w:szCs w:val="20"/>
          <w:color w:val="auto"/>
        </w:rPr>
      </w:pPr>
    </w:p>
    <w:p>
      <w:pPr>
        <w:jc w:val="both"/>
        <w:ind w:right="60" w:firstLine="601"/>
        <w:spacing w:after="0" w:line="251" w:lineRule="auto"/>
        <w:rPr>
          <w:sz w:val="20"/>
          <w:szCs w:val="20"/>
          <w:color w:val="auto"/>
        </w:rPr>
      </w:pPr>
      <w:r>
        <w:rPr>
          <w:rFonts w:ascii="Times New Roman" w:cs="Times New Roman" w:eastAsia="Times New Roman" w:hAnsi="Times New Roman"/>
          <w:sz w:val="20"/>
          <w:szCs w:val="20"/>
          <w:color w:val="auto"/>
        </w:rPr>
        <w:t>The exercise of a stock option for cash under the Company’s equity incentive plans or the purchase of shares under any Company employee stock purchase plan is not required by this Policy to be made during a Window Period (as defined below on page 8) since the Company 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94" w:name="page95"/>
    <w:bookmarkEnd w:id="94"/>
    <w:p>
      <w:pPr>
        <w:spacing w:after="0" w:line="268" w:lineRule="auto"/>
        <w:rPr>
          <w:sz w:val="20"/>
          <w:szCs w:val="20"/>
          <w:color w:val="auto"/>
        </w:rPr>
      </w:pPr>
      <w:r>
        <w:rPr>
          <w:rFonts w:ascii="Times New Roman" w:cs="Times New Roman" w:eastAsia="Times New Roman" w:hAnsi="Times New Roman"/>
          <w:sz w:val="20"/>
          <w:szCs w:val="20"/>
          <w:color w:val="auto"/>
        </w:rPr>
        <w:t>deemed to be in possession of the information you have about the Company. However, the sale of the acquired shares by an Insider must be made during a Window Period.</w:t>
      </w:r>
    </w:p>
    <w:p>
      <w:pPr>
        <w:spacing w:after="0" w:line="139" w:lineRule="exact"/>
        <w:rPr>
          <w:sz w:val="20"/>
          <w:szCs w:val="20"/>
          <w:color w:val="auto"/>
        </w:rPr>
      </w:pPr>
    </w:p>
    <w:p>
      <w:pPr>
        <w:ind w:right="20" w:firstLine="602"/>
        <w:spacing w:after="0" w:line="241" w:lineRule="auto"/>
        <w:rPr>
          <w:sz w:val="20"/>
          <w:szCs w:val="20"/>
          <w:color w:val="auto"/>
        </w:rPr>
      </w:pPr>
      <w:r>
        <w:rPr>
          <w:rFonts w:ascii="Times New Roman" w:cs="Times New Roman" w:eastAsia="Times New Roman" w:hAnsi="Times New Roman"/>
          <w:sz w:val="20"/>
          <w:szCs w:val="20"/>
          <w:color w:val="auto"/>
        </w:rPr>
        <w:t>In addition, neither a bona fide gift of Company stock nor a transfer of stock to a trust’s beneficiary by an Insider who serves as a trustee of the trust is required by this Policy to be made during a Window Period as long as the donor or trustee does not control the donee or beneficiary and does not give the donee or beneficiary Material Nonpublic Information about the Company. However, such a bona fide gift or transfer is subject to the pre-clearance requirements described beginning on page 7 and the Compliance Representative may require a signed certification regarding compliance with the requirements of the preceding sentence as a condition to permitting the transaction.</w:t>
      </w:r>
    </w:p>
    <w:p>
      <w:pPr>
        <w:spacing w:after="0" w:line="169" w:lineRule="exact"/>
        <w:rPr>
          <w:sz w:val="20"/>
          <w:szCs w:val="20"/>
          <w:color w:val="auto"/>
        </w:rPr>
      </w:pPr>
    </w:p>
    <w:p>
      <w:pPr>
        <w:ind w:right="460" w:firstLine="601"/>
        <w:spacing w:after="0" w:line="251" w:lineRule="auto"/>
        <w:rPr>
          <w:sz w:val="20"/>
          <w:szCs w:val="20"/>
          <w:color w:val="auto"/>
        </w:rPr>
      </w:pPr>
      <w:r>
        <w:rPr>
          <w:rFonts w:ascii="Times New Roman" w:cs="Times New Roman" w:eastAsia="Times New Roman" w:hAnsi="Times New Roman"/>
          <w:sz w:val="20"/>
          <w:szCs w:val="20"/>
          <w:color w:val="auto"/>
        </w:rPr>
        <w:t>Transactions in mutual funds that hold Company securities are generally not transactions subject to the Policy. However, transactions in mutual funds may be prohibited under the Policy if an Insider becomes aware of Material Nonpublic Information which might materially affect the value of the mutual fund as a whole.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Rule 10b5-1 Plans</w:t>
      </w:r>
    </w:p>
    <w:p>
      <w:pPr>
        <w:spacing w:after="0" w:line="196" w:lineRule="exact"/>
        <w:rPr>
          <w:sz w:val="20"/>
          <w:szCs w:val="20"/>
          <w:color w:val="auto"/>
        </w:rPr>
      </w:pPr>
    </w:p>
    <w:p>
      <w:pPr>
        <w:ind w:firstLine="601"/>
        <w:spacing w:after="0" w:line="238" w:lineRule="auto"/>
        <w:rPr>
          <w:sz w:val="20"/>
          <w:szCs w:val="20"/>
          <w:color w:val="auto"/>
        </w:rPr>
      </w:pPr>
      <w:r>
        <w:rPr>
          <w:rFonts w:ascii="Times New Roman" w:cs="Times New Roman" w:eastAsia="Times New Roman" w:hAnsi="Times New Roman"/>
          <w:sz w:val="20"/>
          <w:szCs w:val="20"/>
          <w:color w:val="auto"/>
        </w:rPr>
        <w:t>Rule 10b5-1 under the Exchange Act provides a defense from insider trading liability under Rule 10b-5. In order to be eligible to rely on this defense, a person subject to this Policy must enter into a Rule 10b5-1 Plan which permits (i) automatic trading of the Company’s stock through a third-party broker or (ii) trading of the Company’s stock by an independent person (e.g. an investment broker) who is not aware of Material Nonpublic Information at the time of the trade. Once a program is implemented in accordance with SEC Rule 10b5-1, trades pursuant to such program shall not be subject to the limitations and restrictions set forth in other sections of this Policy. That is, trading pursuant to a program may occur even at a time outside of the Company’s Window Period or when the person on whose behalf such trade is made is aware of Material Nonpublic Information. Each program (or the form of program established by an investment bank or other third party) must conform to Rule 10b5-1 and must be reviewed and approved in advance by the Compliance Representative to help confirm compliance with this Policy and the applicable securities laws. Additional guidance for the establishment of a Rule 10b5-1 Plan can be found below under the heading “</w:t>
      </w:r>
      <w:r>
        <w:rPr>
          <w:rFonts w:ascii="Times New Roman" w:cs="Times New Roman" w:eastAsia="Times New Roman" w:hAnsi="Times New Roman"/>
          <w:sz w:val="20"/>
          <w:szCs w:val="20"/>
          <w:i w:val="1"/>
          <w:iCs w:val="1"/>
          <w:color w:val="auto"/>
        </w:rPr>
        <w:t>Guidelines for Rule 10b5-1 Plans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0"/>
          <w:szCs w:val="20"/>
          <w:u w:val="single" w:color="auto"/>
          <w:color w:val="auto"/>
        </w:rPr>
        <w:t>Specific Policies</w:t>
      </w:r>
    </w:p>
    <w:p>
      <w:pPr>
        <w:spacing w:after="0" w:line="197" w:lineRule="exact"/>
        <w:rPr>
          <w:sz w:val="20"/>
          <w:szCs w:val="20"/>
          <w:color w:val="auto"/>
        </w:rPr>
      </w:pPr>
    </w:p>
    <w:p>
      <w:pPr>
        <w:ind w:right="20" w:firstLine="2"/>
        <w:spacing w:after="0"/>
        <w:tabs>
          <w:tab w:leader="none" w:pos="60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on Material Nonpublic Information</w:t>
      </w:r>
      <w:r>
        <w:rPr>
          <w:rFonts w:ascii="Times New Roman" w:cs="Times New Roman" w:eastAsia="Times New Roman" w:hAnsi="Times New Roman"/>
          <w:sz w:val="20"/>
          <w:szCs w:val="20"/>
          <w:color w:val="auto"/>
        </w:rPr>
        <w:t>. No Insider shall engage in any transaction involving a purchase, sale or other transfer of Company Securities, including any offer to purchase or offer to sell securities and including a gift of Company Securities, during any period commencing with the date that he or she possesses Material Nonpublic Information concerning the Company and ending at the open of business on the second business day following the date of public disclosure of that information (i.e., the second business day would be the first trading day in the Window Period) or (if earlier) at such time as the nonpublic information is no longer material, subject to the limited exceptions described in this Policy. For purposes of this Policy, information will be considered to have been disclosed to the public once it has been disclosed by the Company to its shareholders by means of a press release or a filing with the SEC.</w:t>
      </w:r>
    </w:p>
    <w:p>
      <w:pPr>
        <w:spacing w:after="0" w:line="166" w:lineRule="exact"/>
        <w:rPr>
          <w:rFonts w:ascii="Times New Roman" w:cs="Times New Roman" w:eastAsia="Times New Roman" w:hAnsi="Times New Roman"/>
          <w:sz w:val="20"/>
          <w:szCs w:val="20"/>
          <w:color w:val="auto"/>
        </w:rPr>
      </w:pPr>
    </w:p>
    <w:p>
      <w:pPr>
        <w:ind w:right="20" w:firstLine="2"/>
        <w:spacing w:after="0" w:line="239" w:lineRule="auto"/>
        <w:tabs>
          <w:tab w:leader="none" w:pos="60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Tipping</w:t>
      </w:r>
      <w:r>
        <w:rPr>
          <w:rFonts w:ascii="Times New Roman" w:cs="Times New Roman" w:eastAsia="Times New Roman" w:hAnsi="Times New Roman"/>
          <w:sz w:val="20"/>
          <w:szCs w:val="20"/>
          <w:color w:val="auto"/>
        </w:rPr>
        <w:t>. Insiders should never disclose or tip Material Nonpublic Information to any other person (including family or other Household Members) where such information may be used by such person to his or her benefit by trading in the securities of companies to which such information relates. It is important to note that the Insider need not receive a financial benefit in order to be found liable for insider trading. The SEC has imposed large penalties even when the disclosing person did not profit from the trading. Furthermore, no Insider or related person shall make recommendations or express opinions on the basis of Material Nonpublic Information as to trading in Company Securities. Even if you are not in the possession of Material Nonpublic Information, do not recommend to any other person that they buy or sell securities of the Company. Remember that tipping Material Nonpublic Information is always prohibited, and that your recommendation could be imputed to the Company and may be misleading if you do not have all relevant information.</w:t>
      </w:r>
    </w:p>
    <w:p>
      <w:pPr>
        <w:spacing w:after="0" w:line="171" w:lineRule="exact"/>
        <w:rPr>
          <w:sz w:val="20"/>
          <w:szCs w:val="20"/>
          <w:color w:val="auto"/>
        </w:rPr>
      </w:pPr>
    </w:p>
    <w:p>
      <w:pPr>
        <w:ind w:right="20" w:firstLine="601"/>
        <w:spacing w:after="0" w:line="243" w:lineRule="auto"/>
        <w:rPr>
          <w:sz w:val="20"/>
          <w:szCs w:val="20"/>
          <w:color w:val="auto"/>
        </w:rPr>
      </w:pPr>
      <w:r>
        <w:rPr>
          <w:rFonts w:ascii="Times New Roman" w:cs="Times New Roman" w:eastAsia="Times New Roman" w:hAnsi="Times New Roman"/>
          <w:sz w:val="20"/>
          <w:szCs w:val="20"/>
          <w:color w:val="auto"/>
        </w:rPr>
        <w:t>If an Insider receives inquiries about the Company from securities analysts reporters, or investors, decline comment and direct them to either of the following officers: Chief Executive Officer or Chief Financial Officer. Do not discuss Material Nonpublic Information where it may be overheard, such as in restaurants, elevators, restrooms and other public places. Remember that cellular phone conversations are often overheard and that voicemail and e-mail messages may be retrieved by persons other than their intended recipients.</w:t>
      </w:r>
    </w:p>
    <w:p>
      <w:pPr>
        <w:spacing w:after="0" w:line="165" w:lineRule="exact"/>
        <w:rPr>
          <w:sz w:val="20"/>
          <w:szCs w:val="20"/>
          <w:color w:val="auto"/>
        </w:rPr>
      </w:pPr>
    </w:p>
    <w:p>
      <w:pPr>
        <w:ind w:firstLine="2"/>
        <w:spacing w:after="0" w:line="238" w:lineRule="auto"/>
        <w:tabs>
          <w:tab w:leader="none" w:pos="60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Pre-Clearance Requirements.</w:t>
      </w:r>
      <w:r>
        <w:rPr>
          <w:rFonts w:ascii="Times New Roman" w:cs="Times New Roman" w:eastAsia="Times New Roman" w:hAnsi="Times New Roman"/>
          <w:sz w:val="20"/>
          <w:szCs w:val="20"/>
          <w:color w:val="auto"/>
        </w:rPr>
        <w:t xml:space="preserve"> Executive officers, directors and other Insiders the Compliance Representative designates from time to time as being subject to these procedures, as well as the Household Members and Controlled Entities of such persons, may not engage in any transaction in Company Securities without first obtaining pre-clearance of the transaction from the Compliance Representative. The Compliance Representative will complete (or cause to be completed) a pre-clearance checklist in the form attached as Exhibit A to this Policy, and where appropriate will give written permission for the transaction in the form attached as Exhibit B to this Policy. A request for pre-clearance should be submitted to the Compliance Representative at least two business days in advance of the proposed transaction. The Compliance Representative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96" w:name="page97"/>
    <w:bookmarkEnd w:id="96"/>
    <w:p>
      <w:pPr>
        <w:ind w:right="20" w:firstLine="601"/>
        <w:spacing w:after="0" w:line="238" w:lineRule="auto"/>
        <w:rPr>
          <w:sz w:val="20"/>
          <w:szCs w:val="20"/>
          <w:color w:val="auto"/>
        </w:rPr>
      </w:pPr>
      <w:r>
        <w:rPr>
          <w:rFonts w:ascii="Times New Roman" w:cs="Times New Roman" w:eastAsia="Times New Roman" w:hAnsi="Times New Roman"/>
          <w:sz w:val="20"/>
          <w:szCs w:val="20"/>
          <w:color w:val="auto"/>
        </w:rPr>
        <w:t xml:space="preserve">When a request for pre-clearance is made, the requestor should carefully consider whether he or she may be aware of any Material Nonpublic Information about the Company, and should describe fully those circumstances to the Compliance Representative.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 </w:t>
      </w:r>
      <w:r>
        <w:rPr>
          <w:rFonts w:ascii="Times New Roman" w:cs="Times New Roman" w:eastAsia="Times New Roman" w:hAnsi="Times New Roman"/>
          <w:sz w:val="20"/>
          <w:szCs w:val="20"/>
          <w:u w:val="single" w:color="auto"/>
          <w:color w:val="auto"/>
        </w:rPr>
        <w:t>Quarterly Trading Restrictions</w:t>
      </w:r>
      <w:r>
        <w:rPr>
          <w:rFonts w:ascii="Times New Roman" w:cs="Times New Roman" w:eastAsia="Times New Roman" w:hAnsi="Times New Roman"/>
          <w:sz w:val="20"/>
          <w:szCs w:val="20"/>
          <w:color w:val="auto"/>
        </w:rPr>
        <w:t>. The persons designated by the Compliance Representative as subject to this restriction, as well as their Household Members or Controlled Entities, may not conduct any transactions involving the Company’s Securities (other than as specified by this Policy), during a Blackout Period beginning ten business days prior to the end of each fiscal quarter and ending on the second business day following the date of the public release of the Company’s earnings results for that quarter. In other words, these persons may only conduct transactions in Company Securities during the “</w:t>
      </w:r>
      <w:r>
        <w:rPr>
          <w:rFonts w:ascii="Times New Roman" w:cs="Times New Roman" w:eastAsia="Times New Roman" w:hAnsi="Times New Roman"/>
          <w:sz w:val="20"/>
          <w:szCs w:val="20"/>
          <w:u w:val="single" w:color="auto"/>
          <w:color w:val="auto"/>
        </w:rPr>
        <w:t>Window Period</w:t>
      </w:r>
      <w:r>
        <w:rPr>
          <w:rFonts w:ascii="Times New Roman" w:cs="Times New Roman" w:eastAsia="Times New Roman" w:hAnsi="Times New Roman"/>
          <w:sz w:val="20"/>
          <w:szCs w:val="20"/>
          <w:color w:val="auto"/>
        </w:rPr>
        <w:t>” beginning on the second business day following the public release of the Company’s quarterly earnings and ending ten business days prior to the close of the next fiscal quarter. Trading in the Company’s securities during the Window Period should not be considered a “safe harbor”—the responsibility for determining whether you have Material Nonpublic Information rests with you.</w:t>
      </w:r>
    </w:p>
    <w:p>
      <w:pPr>
        <w:spacing w:after="0" w:line="168" w:lineRule="exact"/>
        <w:rPr>
          <w:sz w:val="20"/>
          <w:szCs w:val="20"/>
          <w:color w:val="auto"/>
        </w:rPr>
      </w:pPr>
    </w:p>
    <w:p>
      <w:pPr>
        <w:ind w:firstLine="601"/>
        <w:spacing w:after="0"/>
        <w:rPr>
          <w:sz w:val="20"/>
          <w:szCs w:val="20"/>
          <w:color w:val="auto"/>
        </w:rPr>
      </w:pPr>
      <w:r>
        <w:rPr>
          <w:rFonts w:ascii="Times New Roman" w:cs="Times New Roman" w:eastAsia="Times New Roman" w:hAnsi="Times New Roman"/>
          <w:sz w:val="20"/>
          <w:szCs w:val="20"/>
          <w:color w:val="auto"/>
        </w:rPr>
        <w:t xml:space="preserve">It should be noted, however, that even during the Window Period any person possessing Material Nonpublic Information concerning the Company should not engage in any transactions in the Company Securities until such information has been known publicly for at least two business days. Trading in the Company Securities during the trading window should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considered a safe harbor, and all persons who are subject to this Policy should use good judgment at all times. Furthermore, each of the Company and the Compliance Representative has the authority to prohibit trades by some or all Insiders during the trading window upon a determination that such persons may possess Material Nonpublic Information as a result of a significant event or other development affecting the Company that has not been publicly disclosed.</w:t>
      </w:r>
    </w:p>
    <w:p>
      <w:pPr>
        <w:spacing w:after="0" w:line="166" w:lineRule="exact"/>
        <w:rPr>
          <w:sz w:val="20"/>
          <w:szCs w:val="20"/>
          <w:color w:val="auto"/>
        </w:rPr>
      </w:pPr>
    </w:p>
    <w:p>
      <w:pPr>
        <w:ind w:firstLine="2"/>
        <w:spacing w:after="0" w:line="238" w:lineRule="auto"/>
        <w:tabs>
          <w:tab w:leader="none" w:pos="60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Event-Specific Trading Restriction Periods</w:t>
      </w:r>
      <w:r>
        <w:rPr>
          <w:rFonts w:ascii="Times New Roman" w:cs="Times New Roman" w:eastAsia="Times New Roman" w:hAnsi="Times New Roman"/>
          <w:sz w:val="20"/>
          <w:szCs w:val="20"/>
          <w:color w:val="auto"/>
        </w:rPr>
        <w:t>. From time to time, an event may occur that is material to the Company and is known by only a few directors, officers and/or employees. So long as the event remains material and nonpublic, the persons designated by the Compliance Representative may not trade Company Securities. In addition, the Company’s financial results may be sufficiently material in a particular fiscal quarter that, in the judgment of the Compliance Representative, designated persons should refrain from trading in Company Securities even sooner than the typical Blackout Period described above. In that situation, the Compliance Representative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Representative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174" w:lineRule="exact"/>
        <w:rPr>
          <w:rFonts w:ascii="Times New Roman" w:cs="Times New Roman" w:eastAsia="Times New Roman" w:hAnsi="Times New Roman"/>
          <w:sz w:val="20"/>
          <w:szCs w:val="20"/>
          <w:color w:val="auto"/>
        </w:rPr>
      </w:pPr>
    </w:p>
    <w:p>
      <w:pPr>
        <w:ind w:right="20" w:firstLine="2"/>
        <w:spacing w:after="0" w:line="251" w:lineRule="auto"/>
        <w:tabs>
          <w:tab w:leader="none" w:pos="60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Exceptions to Quarterly Trading Restrictions and Event-Specific Trading Restrictions</w:t>
      </w:r>
      <w:r>
        <w:rPr>
          <w:rFonts w:ascii="Times New Roman" w:cs="Times New Roman" w:eastAsia="Times New Roman" w:hAnsi="Times New Roman"/>
          <w:sz w:val="20"/>
          <w:szCs w:val="20"/>
          <w:color w:val="auto"/>
        </w:rPr>
        <w:t>. The quarterly trading restrictions and event-specific trading restrictions do not apply to those transactions to which this Policy does not apply, as described above under the heading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860"/>
          </w:cols>
          <w:pgMar w:left="980" w:top="114" w:right="1059" w:bottom="1440" w:gutter="0" w:footer="0" w:header="0"/>
        </w:sectPr>
      </w:pPr>
    </w:p>
    <w:bookmarkStart w:id="97" w:name="page98"/>
    <w:bookmarkEnd w:id="97"/>
    <w:p>
      <w:pPr>
        <w:ind w:right="420"/>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Transactions Not Covered</w:t>
      </w:r>
      <w:r>
        <w:rPr>
          <w:rFonts w:ascii="Times New Roman" w:cs="Times New Roman" w:eastAsia="Times New Roman" w:hAnsi="Times New Roman"/>
          <w:sz w:val="20"/>
          <w:szCs w:val="20"/>
          <w:color w:val="auto"/>
        </w:rPr>
        <w:t>”. Further, the requirement for pre-clearance, the quarterly trading restrictions and event-specific trading restrictions do not apply to transactions conducted pursuant to approved Rule 10b5-1 Plans, described above under the heading “</w:t>
      </w:r>
      <w:r>
        <w:rPr>
          <w:rFonts w:ascii="Times New Roman" w:cs="Times New Roman" w:eastAsia="Times New Roman" w:hAnsi="Times New Roman"/>
          <w:sz w:val="20"/>
          <w:szCs w:val="20"/>
          <w:i w:val="1"/>
          <w:iCs w:val="1"/>
          <w:color w:val="auto"/>
        </w:rPr>
        <w:t>Rule 10b5-1 Plans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firstLine="2"/>
        <w:spacing w:after="0" w:line="241" w:lineRule="auto"/>
        <w:tabs>
          <w:tab w:leader="none" w:pos="60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Post-Termination Transactions</w:t>
      </w:r>
      <w:r>
        <w:rPr>
          <w:rFonts w:ascii="Times New Roman" w:cs="Times New Roman" w:eastAsia="Times New Roman" w:hAnsi="Times New Roman"/>
          <w:sz w:val="20"/>
          <w:szCs w:val="20"/>
          <w:color w:val="auto"/>
        </w:rPr>
        <w:t>.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above, however, will cease to apply to transactions in Company Securities upon the expiration of any Blackout Period or other Company-imposed trading restrictions applicable at the time of the termination of service.</w:t>
      </w:r>
    </w:p>
    <w:p>
      <w:pPr>
        <w:spacing w:after="0" w:line="169" w:lineRule="exact"/>
        <w:rPr>
          <w:rFonts w:ascii="Times New Roman" w:cs="Times New Roman" w:eastAsia="Times New Roman" w:hAnsi="Times New Roman"/>
          <w:sz w:val="20"/>
          <w:szCs w:val="20"/>
          <w:color w:val="auto"/>
        </w:rPr>
      </w:pPr>
    </w:p>
    <w:p>
      <w:pPr>
        <w:ind w:right="20" w:firstLine="2"/>
        <w:spacing w:after="0" w:line="238" w:lineRule="auto"/>
        <w:tabs>
          <w:tab w:leader="none" w:pos="60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16 Reporting Obligations and Recovery of Short-Swing Profits</w:t>
      </w:r>
      <w:r>
        <w:rPr>
          <w:rFonts w:ascii="Times New Roman" w:cs="Times New Roman" w:eastAsia="Times New Roman" w:hAnsi="Times New Roman"/>
          <w:sz w:val="20"/>
          <w:szCs w:val="20"/>
          <w:color w:val="auto"/>
        </w:rPr>
        <w:t>. Directors and executive officers of the Company must comply with the reporting obligations set forth in Section 16(a) of the Exchange Act. In addition, directors and officers are subject to disgorgement of short-swing profits under Section 16(b) of the Exchange Act. The practical effect of these provisions is that executive officers and directors who purchase and sell Company Securities within a six-month period must disgorge all profits to the Company whether or not they had knowledge of any Material Nonpublic Information. These provisions are enforced by private plaintiff attorneys if the Company does not seek recovery on its own initiative. Under these provisions, and so long as certain other criteria are met, the receipt of an equity award under the Company’s equity incentive plans and the exercise of an option, the vesting of a restricted stock award or the settlement of restricted stock units is not deemed a “purchase” under Section 16(b) of the Exchange Act. However, the sale of any such shares on the open market is a “sale” under Section 16(b) and can be matched against any non-exempt purchase within the six months before or after such sale. Moreover, Section 16(c) prohibits short sales of Company Securities by executive officers and directors.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Special and Prohibited Transactions</w:t>
      </w:r>
    </w:p>
    <w:p>
      <w:pPr>
        <w:spacing w:after="0" w:line="196" w:lineRule="exact"/>
        <w:rPr>
          <w:sz w:val="20"/>
          <w:szCs w:val="20"/>
          <w:color w:val="auto"/>
        </w:rPr>
      </w:pPr>
    </w:p>
    <w:p>
      <w:pPr>
        <w:ind w:right="140" w:firstLine="2"/>
        <w:spacing w:after="0"/>
        <w:tabs>
          <w:tab w:leader="none" w:pos="60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Company Securities (i.e., the sale of a security that the seller does not own) may evidence an expectation on the part of the seller that the securities will decline in value. These transactions therefore have the potential to signal to the market that the seller lacks confidence in the Company’s prospects and to reduce the seller’s incentive to seek to improve the Company’s performance. For these reasons, short sales of Company Securities are prohibited under the Policy unless part of an approved hedging transaction (see “Hedging Transactions” below). In addition, as noted above, Section 16(c) of the Securities Exchange Act of 1934, as amended (the Exchange Act) prohibits officers and directors from engaging in short sales.</w:t>
      </w:r>
    </w:p>
    <w:p>
      <w:pPr>
        <w:spacing w:after="0" w:line="167"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0"/>
          <w:szCs w:val="20"/>
          <w:color w:val="auto"/>
        </w:rPr>
        <w:t>(Short sales arising from certain types of hedging transactions are governed by the paragraph below captioned “</w:t>
      </w:r>
      <w:r>
        <w:rPr>
          <w:rFonts w:ascii="Times New Roman" w:cs="Times New Roman" w:eastAsia="Times New Roman" w:hAnsi="Times New Roman"/>
          <w:sz w:val="20"/>
          <w:szCs w:val="20"/>
          <w:i w:val="1"/>
          <w:iCs w:val="1"/>
          <w:color w:val="auto"/>
        </w:rPr>
        <w:t>Hedging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Transactions</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right="20" w:firstLine="2"/>
        <w:spacing w:after="0" w:line="271" w:lineRule="auto"/>
        <w:tabs>
          <w:tab w:leader="none" w:pos="602"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Publicly-Traded Options</w:t>
      </w:r>
      <w:r>
        <w:rPr>
          <w:rFonts w:ascii="Times New Roman" w:cs="Times New Roman" w:eastAsia="Times New Roman" w:hAnsi="Times New Roman"/>
          <w:sz w:val="19"/>
          <w:szCs w:val="19"/>
          <w:color w:val="auto"/>
        </w:rPr>
        <w:t>. Given the relatively short term of publicly-traded options, transactions in options may create the appearance that an Insider is trading based on Material Nonpublic Information and focus a director’s, officer’s or other employee’s attention on short- term performance at the expense of the Company’s long-term objectives. Accordingly,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00"/>
          </w:cols>
          <w:pgMar w:left="980" w:top="111" w:right="1019" w:bottom="1440" w:gutter="0" w:footer="0" w:header="0"/>
        </w:sectPr>
      </w:pPr>
    </w:p>
    <w:bookmarkStart w:id="98" w:name="page99"/>
    <w:bookmarkEnd w:id="98"/>
    <w:p>
      <w:pPr>
        <w:ind w:right="80"/>
        <w:spacing w:after="0" w:line="251" w:lineRule="auto"/>
        <w:rPr>
          <w:sz w:val="20"/>
          <w:szCs w:val="20"/>
          <w:color w:val="auto"/>
        </w:rPr>
      </w:pPr>
      <w:r>
        <w:rPr>
          <w:rFonts w:ascii="Times New Roman" w:cs="Times New Roman" w:eastAsia="Times New Roman" w:hAnsi="Times New Roman"/>
          <w:sz w:val="20"/>
          <w:szCs w:val="20"/>
          <w:color w:val="auto"/>
        </w:rPr>
        <w:t>transactions in put options, call options or other derivative securities, on an exchange or in any other organized market, are prohibited by this Policy. (Option positions arising from certain types of hedging transactions are governed by the paragraph below captioned “</w:t>
      </w:r>
      <w:r>
        <w:rPr>
          <w:rFonts w:ascii="Times New Roman" w:cs="Times New Roman" w:eastAsia="Times New Roman" w:hAnsi="Times New Roman"/>
          <w:sz w:val="20"/>
          <w:szCs w:val="20"/>
          <w:i w:val="1"/>
          <w:iCs w:val="1"/>
          <w:color w:val="auto"/>
        </w:rPr>
        <w:t>Hedging Transactions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right="40" w:firstLine="2"/>
        <w:spacing w:after="0" w:line="241" w:lineRule="auto"/>
        <w:tabs>
          <w:tab w:leader="none" w:pos="60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r>
        <w:rPr>
          <w:rFonts w:ascii="Times New Roman" w:cs="Times New Roman" w:eastAsia="Times New Roman" w:hAnsi="Times New Roman"/>
          <w:sz w:val="20"/>
          <w:szCs w:val="20"/>
          <w:color w:val="auto"/>
        </w:rPr>
        <w:t>. Hedging or monetization transactions can be accomplished through a number of possible mechanisms, including through the use of financial instruments such as prepaid variable forwards, equity swaps, collars and exchange funds. Such transactions may permit an Insider to continue to own Company Securities obtained through employee benefit plans or otherwise, but without the full risks and rewards of ownership. When that occurs, the Insider may no longer have the same objectives as the Company’s other shareholders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Therefore, except as expressly permitted under the Company’s Anti-Hedging / Anti-Pledging Policy, Insiders are prohibited from engaging in any such transactions.</w:t>
      </w:r>
    </w:p>
    <w:p>
      <w:pPr>
        <w:spacing w:after="0" w:line="169" w:lineRule="exact"/>
        <w:rPr>
          <w:rFonts w:ascii="Times New Roman" w:cs="Times New Roman" w:eastAsia="Times New Roman" w:hAnsi="Times New Roman"/>
          <w:sz w:val="20"/>
          <w:szCs w:val="20"/>
          <w:color w:val="auto"/>
        </w:rPr>
      </w:pPr>
    </w:p>
    <w:p>
      <w:pPr>
        <w:ind w:firstLine="2"/>
        <w:spacing w:after="0"/>
        <w:tabs>
          <w:tab w:leader="none" w:pos="60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Pledged Securities</w:t>
      </w:r>
      <w:r>
        <w:rPr>
          <w:rFonts w:ascii="Times New Roman" w:cs="Times New Roman" w:eastAsia="Times New Roman" w:hAnsi="Times New Roman"/>
          <w:sz w:val="20"/>
          <w:szCs w:val="20"/>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 except as expressly permitted under the Company’s Anti-Hedging / Anti-Pledging Policy. (Pledges of Company Securities arising from certain types of hedging transactions are governed by the paragraph above captioned “</w:t>
      </w:r>
      <w:r>
        <w:rPr>
          <w:rFonts w:ascii="Times New Roman" w:cs="Times New Roman" w:eastAsia="Times New Roman" w:hAnsi="Times New Roman"/>
          <w:sz w:val="20"/>
          <w:szCs w:val="20"/>
          <w:i w:val="1"/>
          <w:iCs w:val="1"/>
          <w:color w:val="auto"/>
        </w:rPr>
        <w:t>Hedging Transactions</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auto"/>
        </w:rPr>
      </w:pPr>
    </w:p>
    <w:p>
      <w:pPr>
        <w:ind w:firstLine="2"/>
        <w:spacing w:after="0"/>
        <w:tabs>
          <w:tab w:leader="none" w:pos="60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Standing and Limit Orders</w:t>
      </w:r>
      <w:r>
        <w:rPr>
          <w:rFonts w:ascii="Times New Roman" w:cs="Times New Roman" w:eastAsia="Times New Roman" w:hAnsi="Times New Roman"/>
          <w:sz w:val="20"/>
          <w:szCs w:val="20"/>
          <w:color w:val="auto"/>
        </w:rPr>
        <w:t>. Standing and limit orders (except standing and limit orders under approved Rule 10b5-1 Plans)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above under the heading “</w:t>
      </w:r>
      <w:r>
        <w:rPr>
          <w:rFonts w:ascii="Times New Roman" w:cs="Times New Roman" w:eastAsia="Times New Roman" w:hAnsi="Times New Roman"/>
          <w:sz w:val="20"/>
          <w:szCs w:val="20"/>
          <w:i w:val="1"/>
          <w:iCs w:val="1"/>
          <w:color w:val="auto"/>
        </w:rPr>
        <w:t>Specific Policies</w:t>
      </w:r>
      <w:r>
        <w:rPr>
          <w:rFonts w:ascii="Times New Roman" w:cs="Times New Roman" w:eastAsia="Times New Roman" w:hAnsi="Times New Roman"/>
          <w:sz w:val="20"/>
          <w:szCs w:val="20"/>
          <w:color w:val="auto"/>
        </w:rPr>
        <w:t>” and with any applicable Permission to Trade form provided to the Insider.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Consequences of Violations</w:t>
      </w:r>
    </w:p>
    <w:p>
      <w:pPr>
        <w:spacing w:after="0" w:line="196" w:lineRule="exact"/>
        <w:rPr>
          <w:sz w:val="20"/>
          <w:szCs w:val="20"/>
          <w:color w:val="auto"/>
        </w:rPr>
      </w:pPr>
    </w:p>
    <w:p>
      <w:pPr>
        <w:ind w:firstLine="601"/>
        <w:spacing w:after="0"/>
        <w:rPr>
          <w:sz w:val="20"/>
          <w:szCs w:val="20"/>
          <w:color w:val="auto"/>
        </w:rPr>
      </w:pPr>
      <w:r>
        <w:rPr>
          <w:rFonts w:ascii="Times New Roman" w:cs="Times New Roman" w:eastAsia="Times New Roman" w:hAnsi="Times New Roman"/>
          <w:sz w:val="20"/>
          <w:szCs w:val="20"/>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The SEC, the stock exchanges and other regulatory authorities use sophisticated electronic surveillance techniques to uncover insider trading.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99" w:name="page100"/>
    <w:bookmarkEnd w:id="99"/>
    <w:p>
      <w:pPr>
        <w:ind w:right="520"/>
        <w:spacing w:after="0" w:line="268" w:lineRule="auto"/>
        <w:rPr>
          <w:sz w:val="20"/>
          <w:szCs w:val="20"/>
          <w:color w:val="auto"/>
        </w:rPr>
      </w:pPr>
      <w:r>
        <w:rPr>
          <w:rFonts w:ascii="Times New Roman" w:cs="Times New Roman" w:eastAsia="Times New Roman" w:hAnsi="Times New Roman"/>
          <w:sz w:val="20"/>
          <w:szCs w:val="20"/>
          <w:color w:val="auto"/>
        </w:rPr>
        <w:t>companies and other “controlling persons” if they fail to take reasonable steps to prevent insider trading by company personnel.</w:t>
      </w:r>
    </w:p>
    <w:p>
      <w:pPr>
        <w:spacing w:after="0" w:line="139" w:lineRule="exact"/>
        <w:rPr>
          <w:sz w:val="20"/>
          <w:szCs w:val="20"/>
          <w:color w:val="auto"/>
        </w:rPr>
      </w:pPr>
    </w:p>
    <w:p>
      <w:pPr>
        <w:ind w:right="120" w:firstLine="601"/>
        <w:spacing w:after="0" w:line="243" w:lineRule="auto"/>
        <w:rPr>
          <w:sz w:val="20"/>
          <w:szCs w:val="20"/>
          <w:color w:val="auto"/>
        </w:rPr>
      </w:pPr>
      <w:r>
        <w:rPr>
          <w:rFonts w:ascii="Times New Roman" w:cs="Times New Roman" w:eastAsia="Times New Roman" w:hAnsi="Times New Roman"/>
          <w:sz w:val="20"/>
          <w:szCs w:val="20"/>
          <w:color w:val="auto"/>
        </w:rPr>
        <w:t>In addition, an individual’s failure to comply with this Policy may subject the individual to Company-imposed disciplinary action, up to and including dismissal for cause and/or ineligibility for future participation in the Company’s equity incentive plans, whether or not the employee’s failure to comply results in a violation of law. A violation of law, or even an SEC investigation that does not result in prosecution, can tarnish a person’s reputation and irreparably damage a career.</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u w:val="single" w:color="auto"/>
          <w:color w:val="auto"/>
        </w:rPr>
        <w:t>Guidelines for Rule 10b5-1 Plans</w:t>
      </w:r>
    </w:p>
    <w:p>
      <w:pPr>
        <w:spacing w:after="0" w:line="196" w:lineRule="exact"/>
        <w:rPr>
          <w:sz w:val="20"/>
          <w:szCs w:val="20"/>
          <w:color w:val="auto"/>
        </w:rPr>
      </w:pPr>
    </w:p>
    <w:p>
      <w:pPr>
        <w:ind w:right="40" w:firstLine="601"/>
        <w:spacing w:after="0"/>
        <w:rPr>
          <w:sz w:val="20"/>
          <w:szCs w:val="20"/>
          <w:color w:val="auto"/>
        </w:rPr>
      </w:pPr>
      <w:r>
        <w:rPr>
          <w:rFonts w:ascii="Times New Roman" w:cs="Times New Roman" w:eastAsia="Times New Roman" w:hAnsi="Times New Roman"/>
          <w:sz w:val="20"/>
          <w:szCs w:val="20"/>
          <w:color w:val="auto"/>
        </w:rPr>
        <w:t>Rule 10b5-1 under the Exchange Act provides a defense from insider trading liability under Rule 10b-5. In order to be eligible to rely on this defense, a person subject to this Policy must enter into a Rule 10b5-1 Plan in good faith. If the plan meets the requirements of Rule 10b5-1, Company Securities may be purchased or sold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and the person must act in good faith with respect to the plan. The plan must either specify the amount, pricing and timing of transactions in advance or delegate discretion on these matters to an independent third party.</w:t>
      </w:r>
    </w:p>
    <w:p>
      <w:pPr>
        <w:spacing w:after="0" w:line="166" w:lineRule="exact"/>
        <w:rPr>
          <w:sz w:val="20"/>
          <w:szCs w:val="20"/>
          <w:color w:val="auto"/>
        </w:rPr>
      </w:pPr>
    </w:p>
    <w:p>
      <w:pPr>
        <w:ind w:firstLine="601"/>
        <w:spacing w:after="0" w:line="237" w:lineRule="auto"/>
        <w:rPr>
          <w:sz w:val="20"/>
          <w:szCs w:val="20"/>
          <w:color w:val="auto"/>
        </w:rPr>
      </w:pPr>
      <w:r>
        <w:rPr>
          <w:rFonts w:ascii="Times New Roman" w:cs="Times New Roman" w:eastAsia="Times New Roman" w:hAnsi="Times New Roman"/>
          <w:sz w:val="20"/>
          <w:szCs w:val="20"/>
          <w:color w:val="auto"/>
        </w:rPr>
        <w:t>As specified in this Policy, a Rule 10b5-1 Plan must be approved in advance by the Compliance Representative and meet both the requirements of Rule 10b5-1 and these guidelines. Any Rule 10b5-1 Plan must be submitted to the Compliance Representative for approval at least ten days prior to the entry into the Rule 10b5-1 Plan. No further pre-approval of transactions conducted pursuant to the Rule 10b5-1 Plan will be required. Prior to adoption of any Rule 10b5-1 Plan, the person entering the Rule 10b5-1 Plan must certify to the Compliance Representative (a) that he or she is not aware of any Material Nonpublic Information, (b) is adopting the plan in good faith and not as a scheme to avoid the prohibition on insider trading, (c) all such trades to be made pursuant to the Rule 10b5-1 Plan will be made in accordance with the Exchange Act, the Securities Act of 1933, as amended, and applicable state securities laws, and (d) the Rule 10b5-1 Plan complies with the requirements of Rule 10b5-1. No approval by the Compliance Representative shall be considered the Compliance Representative’s or the Company’s approval that the Rule 10b5-1 Plan satisfies the requirements of Rule 10b5-1. It shall be your sole responsibility in establishing the Rule 10b5-1 Plan to ensure that such plan complies with the requirements of Rule 10b5-1. The existence of the foregoing approval procedures does not in any way obligate the Compliance Representative to approve any Rule 10b5-1 Plan. The Compliance Representative may reject any trading requests or Rule 10b5-1 Plans in his or her sole discretion. The Company reserves the right to require that additional provisions be included in a Rule 10b5-1 Plan with the objective of complying with Rule 10b5-1. The Company also reserves the right to require that transactions under a Rule 10b5-1 Plan be suspended during periods when the Company believes that legal, contractual or regulatory restrictions could prohibit such transactions or make them undesirable. These might include periods during which persons subject to this Policy have agreed with underwriters that they will not sell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00"/>
          </w:cols>
          <w:pgMar w:left="980" w:top="114" w:right="1019" w:bottom="1440" w:gutter="0" w:footer="0" w:header="0"/>
        </w:sectPr>
      </w:pPr>
    </w:p>
    <w:bookmarkStart w:id="100" w:name="page101"/>
    <w:bookmarkEnd w:id="100"/>
    <w:p>
      <w:pPr>
        <w:ind w:right="320"/>
        <w:spacing w:after="0" w:line="268" w:lineRule="auto"/>
        <w:rPr>
          <w:sz w:val="20"/>
          <w:szCs w:val="20"/>
          <w:color w:val="auto"/>
        </w:rPr>
      </w:pPr>
      <w:r>
        <w:rPr>
          <w:rFonts w:ascii="Times New Roman" w:cs="Times New Roman" w:eastAsia="Times New Roman" w:hAnsi="Times New Roman"/>
          <w:sz w:val="20"/>
          <w:szCs w:val="20"/>
          <w:color w:val="auto"/>
        </w:rPr>
        <w:t>the Company for specified periods before and after a public offering, or periods in proximity to a public offering during which SEC Regulation M prohibits purchases by affiliates.</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following guidelines apply to all Rule 10b5-1 Plans:</w:t>
      </w:r>
    </w:p>
    <w:p>
      <w:pPr>
        <w:spacing w:after="0" w:line="196" w:lineRule="exact"/>
        <w:rPr>
          <w:sz w:val="20"/>
          <w:szCs w:val="20"/>
          <w:color w:val="auto"/>
        </w:rPr>
      </w:pPr>
    </w:p>
    <w:p>
      <w:pPr>
        <w:ind w:left="600" w:right="100" w:hanging="598"/>
        <w:spacing w:after="0" w:line="267"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enter into, modify or discretionarily terminate a trading program during a Blackout Period or while in possession of Material Nonpublic Information.</w:t>
      </w:r>
    </w:p>
    <w:p>
      <w:pPr>
        <w:spacing w:after="0" w:line="140" w:lineRule="exact"/>
        <w:rPr>
          <w:rFonts w:ascii="Times New Roman" w:cs="Times New Roman" w:eastAsia="Times New Roman" w:hAnsi="Times New Roman"/>
          <w:sz w:val="20"/>
          <w:szCs w:val="20"/>
          <w:color w:val="auto"/>
        </w:rPr>
      </w:pPr>
    </w:p>
    <w:p>
      <w:pPr>
        <w:ind w:left="600" w:right="240" w:hanging="598"/>
        <w:spacing w:after="0" w:line="251"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 10b5-1 Plan must include a representation from the person establishing the plan that he or she (a) is not aware of any Material Nonpublic Information and (b) is adopting the plan in good faith and not as a scheme to avoid the prohibition on insider trading.</w:t>
      </w:r>
    </w:p>
    <w:p>
      <w:pPr>
        <w:spacing w:after="0" w:line="156"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limited exceptions, a person can enter into only one effective Rule 10b5-1 Plan at any time.</w:t>
      </w:r>
    </w:p>
    <w:p>
      <w:pPr>
        <w:spacing w:after="0" w:line="196" w:lineRule="exact"/>
        <w:rPr>
          <w:rFonts w:ascii="Times New Roman" w:cs="Times New Roman" w:eastAsia="Times New Roman" w:hAnsi="Times New Roman"/>
          <w:sz w:val="20"/>
          <w:szCs w:val="20"/>
          <w:color w:val="auto"/>
        </w:rPr>
      </w:pPr>
    </w:p>
    <w:p>
      <w:pPr>
        <w:ind w:left="600" w:right="320" w:hanging="598"/>
        <w:spacing w:after="0" w:line="267"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limited exceptions, a person can enter into only one “single trade” Rule 10b5-1 Plan in any 12-month period.</w:t>
      </w:r>
    </w:p>
    <w:p>
      <w:pPr>
        <w:spacing w:after="0" w:line="140"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Rule 10b5-1 Plans must have a duration of at least 6 months and no more than 2 years.</w:t>
      </w:r>
    </w:p>
    <w:p>
      <w:pPr>
        <w:spacing w:after="0" w:line="196"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Rule 10b5-1 Plan is terminated, you must wait at least 30 days before trading outside of the Rule 10b5-1 Plan.</w:t>
      </w:r>
    </w:p>
    <w:p>
      <w:pPr>
        <w:spacing w:after="0" w:line="196" w:lineRule="exact"/>
        <w:rPr>
          <w:rFonts w:ascii="Times New Roman" w:cs="Times New Roman" w:eastAsia="Times New Roman" w:hAnsi="Times New Roman"/>
          <w:sz w:val="20"/>
          <w:szCs w:val="20"/>
          <w:color w:val="auto"/>
        </w:rPr>
      </w:pPr>
    </w:p>
    <w:p>
      <w:pPr>
        <w:ind w:left="600" w:right="40" w:hanging="598"/>
        <w:spacing w:after="0" w:line="267"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trading program is terminated, you must wait until the commencement of the next Window Period before a new Rule 10b5-1 Plan may be adopted.</w:t>
      </w:r>
    </w:p>
    <w:p>
      <w:pPr>
        <w:spacing w:after="0" w:line="140" w:lineRule="exact"/>
        <w:rPr>
          <w:rFonts w:ascii="Times New Roman" w:cs="Times New Roman" w:eastAsia="Times New Roman" w:hAnsi="Times New Roman"/>
          <w:sz w:val="20"/>
          <w:szCs w:val="20"/>
          <w:color w:val="auto"/>
        </w:rPr>
      </w:pPr>
    </w:p>
    <w:p>
      <w:pPr>
        <w:ind w:left="600" w:right="40" w:hanging="598"/>
        <w:spacing w:after="0"/>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Rule 10b5-1 Plan must include a “cooling off” period such that (a) for all employees and any person other than a director or officer, trading under a Rule 10b5-1 Plan cannot begin until 30 days after the adoption or modification of the plan and (b) for directors and officers subject to Section 16 reporting obligations under the Exchange Act, trading under a Rule 10b5-1 Plan cannot begin until the later of (i) 90 days after adoption or modification of the Rule 10b5-1 Plan or (ii) two business days after disclosure of the Company’s financial results in a Form 10-Q or Form 10-K for the fiscal quarter in which the Rule 10b5-1 Plan was adopted, subject to a maximum cooling off period of 120 days.</w:t>
      </w:r>
    </w:p>
    <w:p>
      <w:pPr>
        <w:spacing w:after="0" w:line="170" w:lineRule="exact"/>
        <w:rPr>
          <w:rFonts w:ascii="Times New Roman" w:cs="Times New Roman" w:eastAsia="Times New Roman" w:hAnsi="Times New Roman"/>
          <w:sz w:val="20"/>
          <w:szCs w:val="20"/>
          <w:color w:val="auto"/>
        </w:rPr>
      </w:pPr>
    </w:p>
    <w:p>
      <w:pPr>
        <w:ind w:left="600" w:hanging="598"/>
        <w:spacing w:after="0" w:line="246"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Modifications to Rule 10b5-1 Plans will trigger a new cooling-off period if the modification changes the amount, price, or timing of trades, including a change to a formula that affects these inputs. Modifications do not trigger a new cooling-off period if they are immaterial or administrative, such as an adjustment for stock splits or a change in account information.</w:t>
      </w:r>
    </w:p>
    <w:p>
      <w:pPr>
        <w:spacing w:after="0" w:line="160" w:lineRule="exact"/>
        <w:rPr>
          <w:rFonts w:ascii="Times New Roman" w:cs="Times New Roman" w:eastAsia="Times New Roman" w:hAnsi="Times New Roman"/>
          <w:sz w:val="20"/>
          <w:szCs w:val="20"/>
          <w:color w:val="auto"/>
        </w:rPr>
      </w:pPr>
    </w:p>
    <w:p>
      <w:pPr>
        <w:ind w:left="600" w:right="360" w:hanging="598"/>
        <w:spacing w:after="0" w:line="246" w:lineRule="auto"/>
        <w:tabs>
          <w:tab w:leader="none" w:pos="6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enter into any transaction in Company Securities while the Rule 10b5-1 Plan is in effect. This prohibition includes but is not limited to any corresponding or hedging transaction with respect to the securities subject to the plan. An exception may be permitted, to the extent not unlawful, for a Rule 10b5-1 Plan that (a) relates solely to Company Securities acquired under the Company’s equity incentive plans and (b) is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01" w:name="page102"/>
    <w:bookmarkEnd w:id="101"/>
    <w:p>
      <w:pPr>
        <w:ind w:left="600" w:right="440"/>
        <w:spacing w:after="0" w:line="243" w:lineRule="auto"/>
        <w:rPr>
          <w:sz w:val="20"/>
          <w:szCs w:val="20"/>
          <w:color w:val="auto"/>
        </w:rPr>
      </w:pPr>
      <w:r>
        <w:rPr>
          <w:rFonts w:ascii="Times New Roman" w:cs="Times New Roman" w:eastAsia="Times New Roman" w:hAnsi="Times New Roman"/>
          <w:sz w:val="20"/>
          <w:szCs w:val="20"/>
          <w:color w:val="auto"/>
        </w:rPr>
        <w:t>designed and actually operated to authorize the sale of only enough securities necessary to pay or otherwise discharge income or withholding tax obligations that accrue upon the exercise, vesting or settlement of awards under the Company’s equity incentive plan, in which case the Section 16 person must not otherwise exercise control over the timing of such sales. This exception does not apply to sales incident to the exercise of stock options.</w:t>
      </w:r>
    </w:p>
    <w:p>
      <w:pPr>
        <w:spacing w:after="0" w:line="166" w:lineRule="exact"/>
        <w:rPr>
          <w:sz w:val="20"/>
          <w:szCs w:val="20"/>
          <w:color w:val="auto"/>
        </w:rPr>
      </w:pPr>
    </w:p>
    <w:p>
      <w:pPr>
        <w:ind w:firstLine="601"/>
        <w:spacing w:after="0" w:line="246" w:lineRule="auto"/>
        <w:rPr>
          <w:sz w:val="20"/>
          <w:szCs w:val="20"/>
          <w:color w:val="auto"/>
        </w:rPr>
      </w:pPr>
      <w:r>
        <w:rPr>
          <w:rFonts w:ascii="Times New Roman" w:cs="Times New Roman" w:eastAsia="Times New Roman" w:hAnsi="Times New Roman"/>
          <w:sz w:val="20"/>
          <w:szCs w:val="20"/>
          <w:color w:val="auto"/>
        </w:rPr>
        <w:t>Each director, officer and other Section 16 person understands that the approval or adoption of a pre-planned selling program in no way reduces or eliminates such person’s obligations under Section 16 of the Exchange Act, including such person’s disclosure and short- swing trading liabilities thereunder. If any questions arise, such person should consult with their own counsel in implementing a Rule 10b5-1 Plan.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Other Limited Exceptions</w:t>
      </w:r>
    </w:p>
    <w:p>
      <w:pPr>
        <w:spacing w:after="0" w:line="196" w:lineRule="exact"/>
        <w:rPr>
          <w:sz w:val="20"/>
          <w:szCs w:val="20"/>
          <w:color w:val="auto"/>
        </w:rPr>
      </w:pPr>
    </w:p>
    <w:p>
      <w:pPr>
        <w:ind w:firstLine="601"/>
        <w:spacing w:after="0" w:line="246" w:lineRule="auto"/>
        <w:rPr>
          <w:sz w:val="20"/>
          <w:szCs w:val="20"/>
          <w:color w:val="auto"/>
        </w:rPr>
      </w:pPr>
      <w:r>
        <w:rPr>
          <w:rFonts w:ascii="Times New Roman" w:cs="Times New Roman" w:eastAsia="Times New Roman" w:hAnsi="Times New Roman"/>
          <w:sz w:val="20"/>
          <w:szCs w:val="20"/>
          <w:color w:val="auto"/>
        </w:rPr>
        <w:t>An exception to the restrictions in the Policy may be permitted with the advance written approval of the Compliance Representative if all material information concerning the Company has been publicly disclosed or is known by both parties to the proposed transaction. This type of exception is intended to be used only in unusual circumstances, and an Insider should not assume that such an exception will be granted even if the pre-conditions to the exception are satisfied.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Compliance Representative</w:t>
      </w:r>
    </w:p>
    <w:p>
      <w:pPr>
        <w:spacing w:after="0" w:line="196" w:lineRule="exact"/>
        <w:rPr>
          <w:sz w:val="20"/>
          <w:szCs w:val="20"/>
          <w:color w:val="auto"/>
        </w:rPr>
      </w:pPr>
    </w:p>
    <w:p>
      <w:pPr>
        <w:ind w:right="60" w:firstLine="601"/>
        <w:spacing w:after="0" w:line="241" w:lineRule="auto"/>
        <w:rPr>
          <w:sz w:val="20"/>
          <w:szCs w:val="20"/>
          <w:color w:val="auto"/>
        </w:rPr>
      </w:pPr>
      <w:r>
        <w:rPr>
          <w:rFonts w:ascii="Times New Roman" w:cs="Times New Roman" w:eastAsia="Times New Roman" w:hAnsi="Times New Roman"/>
          <w:sz w:val="20"/>
          <w:szCs w:val="20"/>
          <w:color w:val="auto"/>
        </w:rPr>
        <w:t>The Compliance Representative may delegate some or all of his or her duties under this Policy to other individuals. The Compliance Representative shall advise the Chair of the Nominating and Corporate Governance Committee of each such delegation. All matters concerning the application of this Policy to the Compliance Representative (including but not limited to pre-clearance of trades by the Compliance Representative or others whose transactions are restricted by this Policy because of their relationship to the Compliance Representative) shall be addressed by a designee who has been approved by the Chair of the Nominating and Corporate Governance Committee.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Assistance</w:t>
      </w:r>
    </w:p>
    <w:p>
      <w:pPr>
        <w:spacing w:after="0" w:line="196" w:lineRule="exact"/>
        <w:rPr>
          <w:sz w:val="20"/>
          <w:szCs w:val="20"/>
          <w:color w:val="auto"/>
        </w:rPr>
      </w:pPr>
    </w:p>
    <w:p>
      <w:pPr>
        <w:ind w:right="40" w:firstLine="601"/>
        <w:spacing w:after="0" w:line="251" w:lineRule="auto"/>
        <w:rPr>
          <w:sz w:val="20"/>
          <w:szCs w:val="20"/>
          <w:color w:val="auto"/>
        </w:rPr>
      </w:pPr>
      <w:r>
        <w:rPr>
          <w:rFonts w:ascii="Times New Roman" w:cs="Times New Roman" w:eastAsia="Times New Roman" w:hAnsi="Times New Roman"/>
          <w:sz w:val="20"/>
          <w:szCs w:val="20"/>
          <w:color w:val="auto"/>
        </w:rPr>
        <w:t>Any person who has a question about this Policy or its application to any proposed transaction may obtain additional guidance from the Compliance Representative, who can be reached by telephone at 805-921-3208 or by email at shawn.munsell@calavo.com or from Tom Li of TroyGould PC at 310-789-1228 or at tli@troygould.com.</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331470</wp:posOffset>
            </wp:positionV>
            <wp:extent cx="629793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02" w:name="page103"/>
    <w:bookmarkEnd w:id="102"/>
    <w:p>
      <w:pPr>
        <w:ind w:left="600" w:right="2800" w:firstLine="2226"/>
        <w:spacing w:after="0" w:line="447" w:lineRule="auto"/>
        <w:rPr>
          <w:sz w:val="20"/>
          <w:szCs w:val="20"/>
          <w:color w:val="auto"/>
        </w:rPr>
      </w:pPr>
      <w:r>
        <w:rPr>
          <w:rFonts w:ascii="Times New Roman" w:cs="Times New Roman" w:eastAsia="Times New Roman" w:hAnsi="Times New Roman"/>
          <w:sz w:val="20"/>
          <w:szCs w:val="20"/>
          <w:b w:val="1"/>
          <w:bCs w:val="1"/>
          <w:color w:val="auto"/>
        </w:rPr>
        <w:t xml:space="preserve">ACKNOWLEDGMENT AND CERTIFICATION </w:t>
      </w:r>
      <w:r>
        <w:rPr>
          <w:rFonts w:ascii="Times New Roman" w:cs="Times New Roman" w:eastAsia="Times New Roman" w:hAnsi="Times New Roman"/>
          <w:sz w:val="20"/>
          <w:szCs w:val="20"/>
          <w:color w:val="auto"/>
        </w:rPr>
        <w:t>The undersigned certifies that:</w:t>
      </w:r>
    </w:p>
    <w:p>
      <w:pPr>
        <w:spacing w:after="0" w:line="1" w:lineRule="exact"/>
        <w:rPr>
          <w:sz w:val="20"/>
          <w:szCs w:val="20"/>
          <w:color w:val="auto"/>
        </w:rPr>
      </w:pPr>
    </w:p>
    <w:p>
      <w:pPr>
        <w:ind w:right="20" w:firstLine="2"/>
        <w:spacing w:after="0" w:line="267" w:lineRule="auto"/>
        <w:tabs>
          <w:tab w:leader="none" w:pos="60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read and understand the Company’s Insider Trading Policy and agree to be governed by, and to comply with, the Insider Trading Policy at all times.</w:t>
      </w:r>
    </w:p>
    <w:p>
      <w:pPr>
        <w:spacing w:after="0" w:line="140" w:lineRule="exact"/>
        <w:rPr>
          <w:rFonts w:ascii="Times New Roman" w:cs="Times New Roman" w:eastAsia="Times New Roman" w:hAnsi="Times New Roman"/>
          <w:sz w:val="20"/>
          <w:szCs w:val="20"/>
          <w:color w:val="auto"/>
        </w:rPr>
      </w:pPr>
    </w:p>
    <w:p>
      <w:pPr>
        <w:ind w:firstLine="2"/>
        <w:spacing w:after="0" w:line="267" w:lineRule="auto"/>
        <w:tabs>
          <w:tab w:leader="none" w:pos="60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Insider Trading Policy stated on the first page hereof, or such shorter period of time that I have been an employee of the Company, I have complied with the Insider Trading Policy.</w:t>
      </w:r>
    </w:p>
    <w:p>
      <w:pPr>
        <w:spacing w:after="0" w:line="140" w:lineRule="exact"/>
        <w:rPr>
          <w:rFonts w:ascii="Times New Roman" w:cs="Times New Roman" w:eastAsia="Times New Roman" w:hAnsi="Times New Roman"/>
          <w:sz w:val="20"/>
          <w:szCs w:val="20"/>
          <w:color w:val="auto"/>
        </w:rPr>
      </w:pPr>
    </w:p>
    <w:p>
      <w:pPr>
        <w:ind w:left="600" w:hanging="598"/>
        <w:spacing w:after="0"/>
        <w:tabs>
          <w:tab w:leader="none" w:pos="6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continue to comply with the Insider Trading Policy for as long as I am subject to the Insider Trading Policy.</w:t>
      </w: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-137160</wp:posOffset>
            </wp:positionV>
            <wp:extent cx="29698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-137160</wp:posOffset>
            </wp:positionV>
            <wp:extent cx="2969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296989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739775</wp:posOffset>
            </wp:positionV>
            <wp:extent cx="6297930"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6297930" cy="2413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0</wp:posOffset>
            </wp:positionV>
            <wp:extent cx="28905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2890520" cy="8255"/>
                    </a:xfrm>
                    <a:prstGeom prst="rect">
                      <a:avLst/>
                    </a:prstGeom>
                    <a:noFill/>
                  </pic:spPr>
                </pic:pic>
              </a:graphicData>
            </a:graphic>
          </wp:anchor>
        </w:drawing>
      </w:r>
    </w:p>
    <w:p>
      <w:pPr>
        <w:sectPr>
          <w:pgSz w:w="11900" w:h="16838" w:orient="portrait"/>
          <w:cols w:equalWidth="0" w:num="1">
            <w:col w:w="9900"/>
          </w:cols>
          <w:pgMar w:left="980" w:top="110" w:right="10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 - PRE-CLEARANCE CHECKLIST</w:t>
      </w:r>
    </w:p>
    <w:p>
      <w:pPr>
        <w:spacing w:after="0" w:line="30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Individual Proposing To Trade:</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Compliance Representative (or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-143510</wp:posOffset>
            </wp:positionV>
            <wp:extent cx="2515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20"/>
          <w:szCs w:val="20"/>
          <w:color w:val="auto"/>
        </w:rPr>
        <w:t>Proposed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-143510</wp:posOffset>
            </wp:positionV>
            <wp:extent cx="2515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3155950</wp:posOffset>
            </wp:positionH>
            <wp:positionV relativeFrom="paragraph">
              <wp:posOffset>6985</wp:posOffset>
            </wp:positionV>
            <wp:extent cx="2515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251587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-143510</wp:posOffset>
            </wp:positionV>
            <wp:extent cx="2515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2515870" cy="8255"/>
                    </a:xfrm>
                    <a:prstGeom prst="rect">
                      <a:avLst/>
                    </a:prstGeom>
                    <a:noFill/>
                  </pic:spPr>
                </pic:pic>
              </a:graphicData>
            </a:graphic>
          </wp:anchor>
        </w:drawing>
      </w:r>
    </w:p>
    <w:p>
      <w:pPr>
        <w:spacing w:after="0" w:line="147"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u w:val="single" w:color="auto"/>
          <w:color w:val="auto"/>
        </w:rPr>
        <w:t>Trading Window</w:t>
      </w:r>
      <w:r>
        <w:rPr>
          <w:rFonts w:ascii="Times New Roman" w:cs="Times New Roman" w:eastAsia="Times New Roman" w:hAnsi="Times New Roman"/>
          <w:sz w:val="20"/>
          <w:szCs w:val="20"/>
          <w:color w:val="auto"/>
        </w:rPr>
        <w:t>. Confirm that the trade will be made during an open Window Period.</w:t>
      </w:r>
      <w:r>
        <w:rPr>
          <w:rFonts w:ascii="Times New Roman" w:cs="Times New Roman" w:eastAsia="Times New Roman" w:hAnsi="Times New Roman"/>
          <w:sz w:val="20"/>
          <w:szCs w:val="20"/>
          <w:b w:val="1"/>
          <w:bCs w:val="1"/>
          <w:color w:val="auto"/>
        </w:rPr>
        <w:t xml:space="preserve"> </w:t>
      </w:r>
      <w:r>
        <w:rPr>
          <w:rFonts w:ascii="MS PGothic" w:cs="MS PGothic" w:eastAsia="MS PGothic" w:hAnsi="MS PGothic"/>
          <w:sz w:val="20"/>
          <w:szCs w:val="20"/>
          <w:color w:val="auto"/>
        </w:rPr>
        <w:t>☐</w:t>
      </w:r>
    </w:p>
    <w:p>
      <w:pPr>
        <w:spacing w:after="0" w:line="238" w:lineRule="exact"/>
        <w:rPr>
          <w:sz w:val="20"/>
          <w:szCs w:val="20"/>
          <w:color w:val="auto"/>
        </w:rPr>
      </w:pPr>
    </w:p>
    <w:p>
      <w:pPr>
        <w:jc w:val="both"/>
        <w:spacing w:after="0" w:line="253" w:lineRule="exact"/>
        <w:rPr>
          <w:sz w:val="20"/>
          <w:szCs w:val="20"/>
          <w:color w:val="auto"/>
        </w:rPr>
      </w:pPr>
      <w:r>
        <w:rPr>
          <w:rFonts w:ascii="Times New Roman" w:cs="Times New Roman" w:eastAsia="Times New Roman" w:hAnsi="Times New Roman"/>
          <w:sz w:val="20"/>
          <w:szCs w:val="20"/>
          <w:b w:val="1"/>
          <w:bCs w:val="1"/>
          <w:u w:val="single" w:color="auto"/>
          <w:color w:val="auto"/>
        </w:rPr>
        <w:t>Section 16 Compliance</w:t>
      </w:r>
      <w:r>
        <w:rPr>
          <w:rFonts w:ascii="Times New Roman" w:cs="Times New Roman" w:eastAsia="Times New Roman" w:hAnsi="Times New Roman"/>
          <w:sz w:val="20"/>
          <w:szCs w:val="20"/>
          <w:color w:val="auto"/>
        </w:rPr>
        <w:t>. Confirm, if the individual is a Section 16 Insider, that the proposed trade will not give rise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potential short-swing liability under Section 16 as a result of matched past (or intended future) transactions. Also, ensure that a Form 4 has been or will be completed and will be filed within two (2) business days of the trade. </w:t>
      </w:r>
      <w:r>
        <w:rPr>
          <w:rFonts w:ascii="MS PGothic" w:cs="MS PGothic" w:eastAsia="MS PGothic" w:hAnsi="MS PGothic"/>
          <w:sz w:val="20"/>
          <w:szCs w:val="20"/>
          <w:color w:val="auto"/>
        </w:rPr>
        <w:t>☐</w:t>
      </w:r>
    </w:p>
    <w:p>
      <w:pPr>
        <w:spacing w:after="0" w:line="10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u w:val="single" w:color="auto"/>
          <w:color w:val="auto"/>
        </w:rPr>
        <w:t>Prohibited Trades</w:t>
      </w:r>
      <w:r>
        <w:rPr>
          <w:rFonts w:ascii="Times New Roman" w:cs="Times New Roman" w:eastAsia="Times New Roman" w:hAnsi="Times New Roman"/>
          <w:sz w:val="20"/>
          <w:szCs w:val="20"/>
          <w:color w:val="auto"/>
        </w:rPr>
        <w:t>. Confirm that the proposed transaction is not a short sale, put, call or other prohibited transaction.</w:t>
      </w:r>
      <w:r>
        <w:rPr>
          <w:rFonts w:ascii="Times New Roman" w:cs="Times New Roman" w:eastAsia="Times New Roman" w:hAnsi="Times New Roman"/>
          <w:sz w:val="20"/>
          <w:szCs w:val="20"/>
          <w:b w:val="1"/>
          <w:bCs w:val="1"/>
          <w:color w:val="auto"/>
        </w:rPr>
        <w:t xml:space="preserve"> </w:t>
      </w:r>
      <w:r>
        <w:rPr>
          <w:rFonts w:ascii="MS PGothic" w:cs="MS PGothic" w:eastAsia="MS PGothic" w:hAnsi="MS PGothic"/>
          <w:sz w:val="20"/>
          <w:szCs w:val="20"/>
          <w:color w:val="auto"/>
        </w:rPr>
        <w: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Rule 144 Compliance</w:t>
      </w:r>
      <w:r>
        <w:rPr>
          <w:rFonts w:ascii="Times New Roman" w:cs="Times New Roman" w:eastAsia="Times New Roman" w:hAnsi="Times New Roman"/>
          <w:sz w:val="20"/>
          <w:szCs w:val="20"/>
          <w:color w:val="auto"/>
        </w:rPr>
        <w:t>. To the extent applicable confirm that:</w:t>
      </w:r>
    </w:p>
    <w:p>
      <w:pPr>
        <w:spacing w:after="0" w:line="167"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The current public information requirement has been met. </w:t>
      </w:r>
      <w:r>
        <w:rPr>
          <w:rFonts w:ascii="MS PGothic" w:cs="MS PGothic" w:eastAsia="MS PGothic" w:hAnsi="MS PGothic"/>
          <w:sz w:val="20"/>
          <w:szCs w:val="20"/>
          <w:color w:val="auto"/>
        </w:rPr>
        <w:t>☐</w:t>
      </w:r>
    </w:p>
    <w:p>
      <w:pPr>
        <w:spacing w:after="0" w:line="81"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Shares to be sold are not restricted or, if restricted, the holding period has been met. </w:t>
      </w:r>
      <w:r>
        <w:rPr>
          <w:rFonts w:ascii="MS PGothic" w:cs="MS PGothic" w:eastAsia="MS PGothic" w:hAnsi="MS PGothic"/>
          <w:sz w:val="20"/>
          <w:szCs w:val="20"/>
          <w:color w:val="auto"/>
        </w:rPr>
        <w:t>☐</w:t>
      </w:r>
    </w:p>
    <w:p>
      <w:pPr>
        <w:spacing w:after="0" w:line="8" w:lineRule="exact"/>
        <w:rPr>
          <w:sz w:val="20"/>
          <w:szCs w:val="20"/>
          <w:color w:val="auto"/>
        </w:rPr>
      </w:pPr>
    </w:p>
    <w:p>
      <w:pPr>
        <w:ind w:right="1920"/>
        <w:spacing w:after="0" w:line="238" w:lineRule="exact"/>
        <w:rPr>
          <w:sz w:val="20"/>
          <w:szCs w:val="20"/>
          <w:color w:val="auto"/>
        </w:rPr>
      </w:pPr>
      <w:r>
        <w:rPr>
          <w:rFonts w:ascii="Times New Roman" w:cs="Times New Roman" w:eastAsia="Times New Roman" w:hAnsi="Times New Roman"/>
          <w:sz w:val="20"/>
          <w:szCs w:val="20"/>
          <w:color w:val="auto"/>
        </w:rPr>
        <w:t xml:space="preserve">Volume limitations are not exceeded (confirm the individual is not part of an aggregated group).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The manner of sale requirements have been met. </w:t>
      </w:r>
      <w:r>
        <w:rPr>
          <w:rFonts w:ascii="MS PGothic" w:cs="MS PGothic" w:eastAsia="MS PGothic" w:hAnsi="MS PGothic"/>
          <w:sz w:val="20"/>
          <w:szCs w:val="20"/>
          <w:color w:val="auto"/>
        </w:rPr>
        <w:t>☐</w:t>
      </w:r>
    </w:p>
    <w:p>
      <w:pPr>
        <w:spacing w:after="0" w:line="1"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The Notice on Form 144 has been completed and filed. </w:t>
      </w:r>
      <w:r>
        <w:rPr>
          <w:rFonts w:ascii="MS PGothic" w:cs="MS PGothic" w:eastAsia="MS PGothic" w:hAnsi="MS PGothic"/>
          <w:sz w:val="20"/>
          <w:szCs w:val="20"/>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Rule 10b-5 Concerns</w:t>
      </w:r>
      <w:r>
        <w:rPr>
          <w:rFonts w:ascii="Times New Roman" w:cs="Times New Roman" w:eastAsia="Times New Roman" w:hAnsi="Times New Roman"/>
          <w:sz w:val="20"/>
          <w:szCs w:val="20"/>
          <w:color w:val="auto"/>
        </w:rPr>
        <w:t>. Confirm that:</w:t>
      </w:r>
    </w:p>
    <w:p>
      <w:pPr>
        <w:spacing w:after="0" w:line="167"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The individual has been reminded that trading is prohibited while aware of Material Nonpublic Information. </w:t>
      </w:r>
      <w:r>
        <w:rPr>
          <w:rFonts w:ascii="MS PGothic" w:cs="MS PGothic" w:eastAsia="MS PGothic" w:hAnsi="MS PGothic"/>
          <w:sz w:val="20"/>
          <w:szCs w:val="20"/>
          <w:color w:val="auto"/>
        </w:rPr>
        <w:t>☐</w:t>
      </w:r>
    </w:p>
    <w:p>
      <w:pPr>
        <w:spacing w:after="0" w:line="63"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20"/>
          <w:szCs w:val="20"/>
          <w:color w:val="auto"/>
        </w:rPr>
        <w:t xml:space="preserve">The Compliance Representative (or designee) has discussed with the Insider any information known to the Insider that might be considered material, so that the Insider and the Compliance Representative (or designee) can make an informed judgment as to the Insider’s awareness of Material Nonpublic Information. </w:t>
      </w:r>
      <w:r>
        <w:rPr>
          <w:rFonts w:ascii="MS PGothic" w:cs="MS PGothic" w:eastAsia="MS PGothic" w:hAnsi="MS PGothic"/>
          <w:sz w:val="20"/>
          <w:szCs w:val="20"/>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Compliance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31527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0">
                      <a:extLst>
                        <a:ext uri="{28A0092B-C50C-407E-A947-70E740481C1C}"/>
                      </a:extLst>
                    </a:blip>
                    <a:srcRect/>
                    <a:stretch>
                      <a:fillRect/>
                    </a:stretch>
                  </pic:blipFill>
                  <pic:spPr bwMode="auto">
                    <a:xfrm>
                      <a:off x="0" y="0"/>
                      <a:ext cx="31527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(or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748030</wp:posOffset>
            </wp:positionV>
            <wp:extent cx="629793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1">
                      <a:extLst>
                        <a:ext uri="{28A0092B-C50C-407E-A947-70E740481C1C}"/>
                      </a:extLst>
                    </a:blip>
                    <a:srcRect/>
                    <a:stretch>
                      <a:fillRect/>
                    </a:stretch>
                  </pic:blipFill>
                  <pic:spPr bwMode="auto">
                    <a:xfrm>
                      <a:off x="0" y="0"/>
                      <a:ext cx="6297930" cy="2413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04" w:name="page105"/>
    <w:bookmarkEnd w:id="104"/>
    <w:p>
      <w:pPr>
        <w:ind w:left="444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9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0"/>
          <w:szCs w:val="20"/>
          <w:b w:val="1"/>
          <w:bCs w:val="1"/>
          <w:color w:val="auto"/>
        </w:rPr>
        <w:t>PERMISSION TO TRADE</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is hereby permitted to buy/sell [circle one] shares of the common stock of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4140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2">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17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[Include the following if sales to be made by affiliates pursuant to Rule 144. </w:t>
      </w:r>
      <w:r>
        <w:rPr>
          <w:rFonts w:ascii="Times New Roman" w:cs="Times New Roman" w:eastAsia="Times New Roman" w:hAnsi="Times New Roman"/>
          <w:sz w:val="20"/>
          <w:szCs w:val="20"/>
          <w:color w:val="auto"/>
        </w:rPr>
        <w:t>The securities must be sold in a broker’s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and you may not solicit or arrange for the solicitation of an order to buy the securities you are selling, or make any payment in connection with the offer and sale to any person other than the broker who executes an order to sell the securities.]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The permission to sell will expire on the close of trading on</w:t>
            </w:r>
          </w:p>
        </w:tc>
        <w:tc>
          <w:tcPr>
            <w:tcW w:w="5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20   .</w:t>
            </w:r>
          </w:p>
        </w:tc>
      </w:tr>
      <w:tr>
        <w:trPr>
          <w:trHeight w:val="20"/>
        </w:trPr>
        <w:tc>
          <w:tcPr>
            <w:tcW w:w="4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6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Signature of Legal Department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602615</wp:posOffset>
            </wp:positionV>
            <wp:extent cx="629793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3">
                      <a:extLst>
                        <a:ext uri="{28A0092B-C50C-407E-A947-70E740481C1C}"/>
                      </a:extLst>
                    </a:blip>
                    <a:srcRect/>
                    <a:stretch>
                      <a:fillRect/>
                    </a:stretch>
                  </pic:blipFill>
                  <pic:spPr bwMode="auto">
                    <a:xfrm>
                      <a:off x="0" y="0"/>
                      <a:ext cx="6297930" cy="2413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-137160</wp:posOffset>
            </wp:positionV>
            <wp:extent cx="31451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4">
                      <a:extLst>
                        <a:ext uri="{28A0092B-C50C-407E-A947-70E740481C1C}"/>
                      </a:extLst>
                    </a:blip>
                    <a:srcRect/>
                    <a:stretch>
                      <a:fillRect/>
                    </a:stretch>
                  </pic:blipFill>
                  <pic:spPr bwMode="auto">
                    <a:xfrm>
                      <a:off x="0" y="0"/>
                      <a:ext cx="3145155" cy="8255"/>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105" w:name="page106"/>
    <w:bookmarkEnd w:id="105"/>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98"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333-191702 and 333-199754 on Form S-3 and Registration Statement Nos. 333-179101 and 333-256980 on Form S-8 of our reports dated January 14, 2025, relating to the financial statements of Calavo Growers, Inc. and subsidiaries (the “Company”) and the effectiveness of the Company’s internal control over financial reporting appearing in this Annual Report on Form 10-K for the year ended October 31, 2024.</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Los Angeles, California</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January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321945</wp:posOffset>
            </wp:positionV>
            <wp:extent cx="567690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5">
                      <a:extLst>
                        <a:ext uri="{28A0092B-C50C-407E-A947-70E740481C1C}"/>
                      </a:extLst>
                    </a:blip>
                    <a:srcRect/>
                    <a:stretch>
                      <a:fillRect/>
                    </a:stretch>
                  </pic:blipFill>
                  <pic:spPr bwMode="auto">
                    <a:xfrm>
                      <a:off x="0" y="0"/>
                      <a:ext cx="5676900" cy="2413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106" w:name="page107"/>
    <w:bookmarkEnd w:id="106"/>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Lecil Cole, certify that:</w:t>
      </w:r>
    </w:p>
    <w:p>
      <w:pPr>
        <w:spacing w:after="0" w:line="206" w:lineRule="exact"/>
        <w:rPr>
          <w:sz w:val="20"/>
          <w:szCs w:val="20"/>
          <w:color w:val="auto"/>
        </w:rPr>
      </w:pPr>
    </w:p>
    <w:p>
      <w:pPr>
        <w:ind w:left="640" w:hanging="602"/>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Calavo Growers, Inc.;</w:t>
      </w:r>
    </w:p>
    <w:p>
      <w:pPr>
        <w:spacing w:after="0" w:line="205" w:lineRule="exact"/>
        <w:rPr>
          <w:rFonts w:ascii="Times New Roman" w:cs="Times New Roman" w:eastAsia="Times New Roman" w:hAnsi="Times New Roman"/>
          <w:sz w:val="17"/>
          <w:szCs w:val="17"/>
          <w:color w:val="auto"/>
        </w:rPr>
      </w:pPr>
    </w:p>
    <w:p>
      <w:pPr>
        <w:ind w:left="640" w:right="179" w:hanging="602"/>
        <w:spacing w:after="0" w:line="259"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640" w:right="99" w:hanging="602"/>
        <w:spacing w:after="0" w:line="259"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7"/>
          <w:szCs w:val="17"/>
          <w:color w:val="auto"/>
        </w:rPr>
      </w:pPr>
    </w:p>
    <w:p>
      <w:pPr>
        <w:ind w:left="640" w:right="359" w:hanging="602"/>
        <w:spacing w:after="0" w:line="251"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1240" w:right="379" w:hanging="601"/>
        <w:spacing w:after="0" w:line="249"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7"/>
          <w:szCs w:val="17"/>
          <w:color w:val="auto"/>
        </w:rPr>
      </w:pPr>
    </w:p>
    <w:p>
      <w:pPr>
        <w:ind w:left="1240" w:right="179" w:hanging="601"/>
        <w:spacing w:after="0" w:line="255"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59" w:lineRule="exact"/>
        <w:rPr>
          <w:rFonts w:ascii="Times New Roman" w:cs="Times New Roman" w:eastAsia="Times New Roman" w:hAnsi="Times New Roman"/>
          <w:sz w:val="17"/>
          <w:szCs w:val="17"/>
          <w:color w:val="auto"/>
        </w:rPr>
      </w:pPr>
    </w:p>
    <w:p>
      <w:pPr>
        <w:jc w:val="both"/>
        <w:ind w:left="1240" w:right="239" w:hanging="601"/>
        <w:spacing w:after="0" w:line="259"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7"/>
          <w:szCs w:val="17"/>
          <w:color w:val="auto"/>
        </w:rPr>
      </w:pPr>
    </w:p>
    <w:p>
      <w:pPr>
        <w:ind w:left="1240" w:right="139" w:hanging="601"/>
        <w:spacing w:after="0" w:line="255"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ind w:left="640" w:right="299" w:hanging="602"/>
        <w:spacing w:after="0" w:line="272"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8" w:lineRule="exact"/>
        <w:rPr>
          <w:rFonts w:ascii="Times New Roman" w:cs="Times New Roman" w:eastAsia="Times New Roman" w:hAnsi="Times New Roman"/>
          <w:sz w:val="17"/>
          <w:szCs w:val="17"/>
          <w:color w:val="auto"/>
        </w:rPr>
      </w:pPr>
    </w:p>
    <w:p>
      <w:pPr>
        <w:ind w:left="1240" w:right="139" w:hanging="601"/>
        <w:spacing w:after="0" w:line="259"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7"/>
          <w:szCs w:val="17"/>
          <w:color w:val="auto"/>
        </w:rPr>
      </w:pPr>
    </w:p>
    <w:p>
      <w:pPr>
        <w:ind w:left="1240" w:right="259" w:hanging="601"/>
        <w:spacing w:after="0" w:line="272"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40" w:type="dxa"/>
            <w:vAlign w:val="bottom"/>
          </w:tcPr>
          <w:p>
            <w:pPr>
              <w:spacing w:after="0"/>
              <w:rPr>
                <w:sz w:val="20"/>
                <w:szCs w:val="20"/>
                <w:color w:val="auto"/>
              </w:rPr>
            </w:pPr>
            <w:r>
              <w:rPr>
                <w:rFonts w:ascii="Times New Roman" w:cs="Times New Roman" w:eastAsia="Times New Roman" w:hAnsi="Times New Roman"/>
                <w:sz w:val="17"/>
                <w:szCs w:val="17"/>
                <w:color w:val="auto"/>
              </w:rPr>
              <w:t>Date: January 14, 2025</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Lecil Cole</w:t>
            </w:r>
          </w:p>
        </w:tc>
      </w:tr>
      <w:tr>
        <w:trPr>
          <w:trHeight w:val="177"/>
        </w:trPr>
        <w:tc>
          <w:tcPr>
            <w:tcW w:w="4440" w:type="dxa"/>
            <w:vAlign w:val="bottom"/>
          </w:tcPr>
          <w:p>
            <w:pPr>
              <w:spacing w:after="0"/>
              <w:rPr>
                <w:sz w:val="15"/>
                <w:szCs w:val="15"/>
                <w:color w:val="auto"/>
              </w:rPr>
            </w:pPr>
          </w:p>
        </w:tc>
        <w:tc>
          <w:tcPr>
            <w:tcW w:w="450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Lecil Cole</w:t>
            </w:r>
          </w:p>
        </w:tc>
      </w:tr>
      <w:tr>
        <w:trPr>
          <w:trHeight w:val="217"/>
        </w:trPr>
        <w:tc>
          <w:tcPr>
            <w:tcW w:w="44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07"/>
        </w:trPr>
        <w:tc>
          <w:tcPr>
            <w:tcW w:w="44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107" w:name="page108"/>
    <w:bookmarkEnd w:id="107"/>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 James Snyder, certify that:</w:t>
      </w:r>
    </w:p>
    <w:p>
      <w:pPr>
        <w:spacing w:after="0" w:line="206" w:lineRule="exact"/>
        <w:rPr>
          <w:sz w:val="20"/>
          <w:szCs w:val="20"/>
          <w:color w:val="auto"/>
        </w:rPr>
      </w:pPr>
    </w:p>
    <w:p>
      <w:pPr>
        <w:ind w:left="640" w:hanging="602"/>
        <w:spacing w:after="0"/>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Calavo Growers, Inc.;</w:t>
      </w:r>
    </w:p>
    <w:p>
      <w:pPr>
        <w:spacing w:after="0" w:line="205" w:lineRule="exact"/>
        <w:rPr>
          <w:rFonts w:ascii="Times New Roman" w:cs="Times New Roman" w:eastAsia="Times New Roman" w:hAnsi="Times New Roman"/>
          <w:sz w:val="17"/>
          <w:szCs w:val="17"/>
          <w:color w:val="auto"/>
        </w:rPr>
      </w:pPr>
    </w:p>
    <w:p>
      <w:pPr>
        <w:ind w:left="640" w:right="179" w:hanging="602"/>
        <w:spacing w:after="0" w:line="259"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640" w:right="99" w:hanging="602"/>
        <w:spacing w:after="0" w:line="259"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7"/>
          <w:szCs w:val="17"/>
          <w:color w:val="auto"/>
        </w:rPr>
      </w:pPr>
    </w:p>
    <w:p>
      <w:pPr>
        <w:ind w:left="640" w:right="359" w:hanging="602"/>
        <w:spacing w:after="0" w:line="251"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7"/>
          <w:szCs w:val="17"/>
          <w:color w:val="auto"/>
        </w:rPr>
      </w:pPr>
    </w:p>
    <w:p>
      <w:pPr>
        <w:ind w:left="1240" w:right="379" w:hanging="601"/>
        <w:spacing w:after="0" w:line="249"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7"/>
          <w:szCs w:val="17"/>
          <w:color w:val="auto"/>
        </w:rPr>
      </w:pPr>
    </w:p>
    <w:p>
      <w:pPr>
        <w:ind w:left="1240" w:right="179" w:hanging="601"/>
        <w:spacing w:after="0" w:line="255"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59" w:lineRule="exact"/>
        <w:rPr>
          <w:rFonts w:ascii="Times New Roman" w:cs="Times New Roman" w:eastAsia="Times New Roman" w:hAnsi="Times New Roman"/>
          <w:sz w:val="17"/>
          <w:szCs w:val="17"/>
          <w:color w:val="auto"/>
        </w:rPr>
      </w:pPr>
    </w:p>
    <w:p>
      <w:pPr>
        <w:jc w:val="both"/>
        <w:ind w:left="1240" w:right="239" w:hanging="601"/>
        <w:spacing w:after="0" w:line="259"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7"/>
          <w:szCs w:val="17"/>
          <w:color w:val="auto"/>
        </w:rPr>
      </w:pPr>
    </w:p>
    <w:p>
      <w:pPr>
        <w:ind w:left="1240" w:right="139" w:hanging="601"/>
        <w:spacing w:after="0" w:line="255"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7"/>
          <w:szCs w:val="17"/>
          <w:color w:val="auto"/>
        </w:rPr>
      </w:pPr>
    </w:p>
    <w:p>
      <w:pPr>
        <w:ind w:left="640" w:right="299" w:hanging="602"/>
        <w:spacing w:after="0" w:line="272"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58" w:lineRule="exact"/>
        <w:rPr>
          <w:rFonts w:ascii="Times New Roman" w:cs="Times New Roman" w:eastAsia="Times New Roman" w:hAnsi="Times New Roman"/>
          <w:sz w:val="17"/>
          <w:szCs w:val="17"/>
          <w:color w:val="auto"/>
        </w:rPr>
      </w:pPr>
    </w:p>
    <w:p>
      <w:pPr>
        <w:ind w:left="1240" w:right="139" w:hanging="601"/>
        <w:spacing w:after="0" w:line="259"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7"/>
          <w:szCs w:val="17"/>
          <w:color w:val="auto"/>
        </w:rPr>
      </w:pPr>
    </w:p>
    <w:p>
      <w:pPr>
        <w:ind w:left="1240" w:right="259" w:hanging="601"/>
        <w:spacing w:after="0" w:line="272"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Date: January 14, 2025</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Snyder</w:t>
            </w:r>
          </w:p>
        </w:tc>
      </w:tr>
      <w:tr>
        <w:trPr>
          <w:trHeight w:val="177"/>
        </w:trPr>
        <w:tc>
          <w:tcPr>
            <w:tcW w:w="4460" w:type="dxa"/>
            <w:vAlign w:val="bottom"/>
          </w:tcPr>
          <w:p>
            <w:pPr>
              <w:spacing w:after="0"/>
              <w:rPr>
                <w:sz w:val="15"/>
                <w:szCs w:val="15"/>
                <w:color w:val="auto"/>
              </w:rPr>
            </w:pPr>
          </w:p>
        </w:tc>
        <w:tc>
          <w:tcPr>
            <w:tcW w:w="4480" w:type="dxa"/>
            <w:vAlign w:val="bottom"/>
          </w:tcPr>
          <w:p>
            <w:pPr>
              <w:spacing w:after="0" w:line="177" w:lineRule="exact"/>
              <w:rPr>
                <w:sz w:val="20"/>
                <w:szCs w:val="20"/>
                <w:color w:val="auto"/>
              </w:rPr>
            </w:pPr>
            <w:r>
              <w:rPr>
                <w:rFonts w:ascii="Times New Roman" w:cs="Times New Roman" w:eastAsia="Times New Roman" w:hAnsi="Times New Roman"/>
                <w:sz w:val="17"/>
                <w:szCs w:val="17"/>
                <w:color w:val="auto"/>
              </w:rPr>
              <w:t>James Snyder</w:t>
            </w:r>
          </w:p>
        </w:tc>
      </w:tr>
      <w:tr>
        <w:trPr>
          <w:trHeight w:val="201"/>
        </w:trPr>
        <w:tc>
          <w:tcPr>
            <w:tcW w:w="446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7"/>
        </w:trPr>
        <w:tc>
          <w:tcPr>
            <w:tcW w:w="44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707"/>
        </w:trPr>
        <w:tc>
          <w:tcPr>
            <w:tcW w:w="44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9" w:right="1440" w:bottom="1440" w:gutter="0" w:footer="0" w:header="0"/>
        </w:sectPr>
      </w:pPr>
    </w:p>
    <w:bookmarkStart w:id="108" w:name="page109"/>
    <w:bookmarkEnd w:id="108"/>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WRITTEN STATEMENT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177" w:lineRule="exact"/>
        <w:rPr>
          <w:sz w:val="20"/>
          <w:szCs w:val="20"/>
          <w:color w:val="auto"/>
        </w:rPr>
      </w:pPr>
    </w:p>
    <w:p>
      <w:pPr>
        <w:ind w:left="40" w:right="599" w:firstLine="602"/>
        <w:spacing w:after="0" w:line="272" w:lineRule="auto"/>
        <w:rPr>
          <w:sz w:val="20"/>
          <w:szCs w:val="20"/>
          <w:color w:val="auto"/>
        </w:rPr>
      </w:pPr>
      <w:r>
        <w:rPr>
          <w:rFonts w:ascii="Times New Roman" w:cs="Times New Roman" w:eastAsia="Times New Roman" w:hAnsi="Times New Roman"/>
          <w:sz w:val="16"/>
          <w:szCs w:val="16"/>
          <w:color w:val="auto"/>
        </w:rPr>
        <w:t>Each of the undersigned, the Chairman of the Board and Chief Executive Officer and Chief Operating Officer, Chief Financial Officer, and Corporate Secretary of Calavo Growers, Inc. (the Company), hereby certifies, pursuant to 18 U.S.C.</w:t>
      </w:r>
    </w:p>
    <w:p>
      <w:pPr>
        <w:spacing w:after="0" w:line="1" w:lineRule="exact"/>
        <w:rPr>
          <w:sz w:val="20"/>
          <w:szCs w:val="20"/>
          <w:color w:val="auto"/>
        </w:rPr>
      </w:pPr>
    </w:p>
    <w:p>
      <w:pPr>
        <w:ind w:left="40" w:right="119"/>
        <w:spacing w:after="0" w:line="244" w:lineRule="auto"/>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that, to his knowledge, the Company’s Annual Report on Form 10-K for the year ended October 31, 2024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Dated: January 14, 2025</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Lecil Cole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-123190</wp:posOffset>
            </wp:positionV>
            <wp:extent cx="28346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6">
                      <a:extLst>
                        <a:ext uri="{28A0092B-C50C-407E-A947-70E740481C1C}"/>
                      </a:extLst>
                    </a:blip>
                    <a:srcRect/>
                    <a:stretch>
                      <a:fillRect/>
                    </a:stretch>
                  </pic:blipFill>
                  <pic:spPr bwMode="auto">
                    <a:xfrm>
                      <a:off x="0" y="0"/>
                      <a:ext cx="283464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James Snyder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James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-123190</wp:posOffset>
            </wp:positionV>
            <wp:extent cx="28346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2834640" cy="825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576580</wp:posOffset>
            </wp:positionV>
            <wp:extent cx="5676900"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5676900" cy="15875"/>
                    </a:xfrm>
                    <a:prstGeom prst="rect">
                      <a:avLst/>
                    </a:prstGeom>
                    <a:noFill/>
                  </pic:spPr>
                </pic:pic>
              </a:graphicData>
            </a:graphic>
          </wp:anchor>
        </w:drawing>
      </w:r>
    </w:p>
    <w:sectPr>
      <w:pgSz w:w="11900" w:h="16838" w:orient="portrait"/>
      <w:cols w:equalWidth="0" w:num="1">
        <w:col w:w="9019"/>
      </w:cols>
      <w:pgMar w:left="144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lowerRoman"/>
      <w:start w:val="2"/>
    </w:lvl>
  </w:abstractNum>
  <w:abstractNum w:abstractNumId="16">
    <w:nsid w:val="614FD4A1"/>
    <w:multiLevelType w:val="hybridMultilevel"/>
    <w:lvl w:ilvl="0">
      <w:lvlJc w:val="left"/>
      <w:lvlText w:val="%1."/>
      <w:numFmt w:val="decimal"/>
      <w:start w:val="4"/>
    </w:lvl>
  </w:abstractNum>
  <w:abstractNum w:abstractNumId="17">
    <w:nsid w:val="419AC241"/>
    <w:multiLevelType w:val="hybridMultilevel"/>
    <w:lvl w:ilvl="0">
      <w:lvlJc w:val="left"/>
      <w:lvlText w:val="%1."/>
      <w:numFmt w:val="decimal"/>
      <w:start w:val="7"/>
    </w:lvl>
  </w:abstractNum>
  <w:abstractNum w:abstractNumId="18">
    <w:nsid w:val="5577F8E1"/>
    <w:multiLevelType w:val="hybridMultilevel"/>
    <w:lvl w:ilvl="0">
      <w:lvlJc w:val="left"/>
      <w:lvlText w:val="o"/>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8"/>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0"/>
    </w:lvl>
  </w:abstractNum>
  <w:abstractNum w:abstractNumId="23">
    <w:nsid w:val="7724C67E"/>
    <w:multiLevelType w:val="hybridMultilevel"/>
    <w:lvl w:ilvl="0">
      <w:lvlJc w:val="left"/>
      <w:lvlText w:val="%1."/>
      <w:numFmt w:val="decimal"/>
      <w:start w:val="13"/>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1."/>
      <w:numFmt w:val="decimal"/>
      <w:start w:val="16"/>
    </w:lvl>
  </w:abstractNum>
  <w:abstractNum w:abstractNumId="26">
    <w:nsid w:val="5E884ADC"/>
    <w:multiLevelType w:val="hybridMultilevel"/>
    <w:lvl w:ilvl="0">
      <w:lvlJc w:val="left"/>
      <w:lvlText w:val="%1."/>
      <w:numFmt w:val="decimal"/>
      <w:start w:val="17"/>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Ø"/>
      <w:numFmt w:val="bullet"/>
      <w:start w:val="1"/>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decimal"/>
      <w:start w:val="1"/>
    </w:lvl>
    <w:lvl w:ilvl="1">
      <w:lvlJc w:val="left"/>
      <w:lvlText w:val="(%2)"/>
      <w:numFmt w:val="decimal"/>
      <w:start w:val="2"/>
    </w:lvl>
  </w:abstractNum>
  <w:abstractNum w:abstractNumId="32">
    <w:nsid w:val="70A64E2A"/>
    <w:multiLevelType w:val="hybridMultilevel"/>
    <w:lvl w:ilvl="0">
      <w:lvlJc w:val="left"/>
      <w:lvlText w:val="(%1)"/>
      <w:numFmt w:val="decimal"/>
      <w:start w:val="3"/>
    </w:lvl>
    <w:lvl w:ilvl="1">
      <w:lvlJc w:val="left"/>
      <w:lvlText w:val="%2"/>
      <w:numFmt w:val="decimal"/>
      <w:start w:val="1"/>
    </w:lvl>
  </w:abstractNum>
  <w:abstractNum w:abstractNumId="33">
    <w:nsid w:val="6A2342EC"/>
    <w:multiLevelType w:val="hybridMultilevel"/>
    <w:lvl w:ilvl="0">
      <w:lvlJc w:val="left"/>
      <w:lvlText w:val="(%1)"/>
      <w:numFmt w:val="lowerLetter"/>
      <w:start w:val="3"/>
    </w:lvl>
  </w:abstractNum>
  <w:abstractNum w:abstractNumId="34">
    <w:nsid w:val="2A487CB0"/>
    <w:multiLevelType w:val="hybridMultilevel"/>
    <w:lvl w:ilvl="0">
      <w:lvlJc w:val="left"/>
      <w:lvlText w:val="*"/>
      <w:numFmt w:val="bullet"/>
      <w:start w:val="1"/>
    </w:lvl>
    <w:lvl w:ilvl="1">
      <w:lvlJc w:val="left"/>
      <w:lvlText w:val="%2"/>
      <w:numFmt w:val="decimal"/>
      <w:start w:val="104"/>
    </w:lvl>
  </w:abstractNum>
  <w:abstractNum w:abstractNumId="35">
    <w:nsid w:val="1D4ED43B"/>
    <w:multiLevelType w:val="hybridMultilevel"/>
    <w:lvl w:ilvl="0">
      <w:lvlJc w:val="left"/>
      <w:lvlText w:val="**"/>
      <w:numFmt w:val="bullet"/>
      <w:start w:val="1"/>
    </w:lvl>
    <w:lvl w:ilvl="1">
      <w:lvlJc w:val="left"/>
      <w:lvlText w:val="%2"/>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3"/>
    </w:lvl>
  </w:abstractNum>
  <w:abstractNum w:abstractNumId="42">
    <w:nsid w:val="6DE91B18"/>
    <w:multiLevelType w:val="hybridMultilevel"/>
    <w:lvl w:ilvl="0">
      <w:lvlJc w:val="left"/>
      <w:lvlText w:val="%1."/>
      <w:numFmt w:val="decimal"/>
      <w:start w:val="4"/>
    </w:lvl>
  </w:abstractNum>
  <w:abstractNum w:abstractNumId="43">
    <w:nsid w:val="38437FDB"/>
    <w:multiLevelType w:val="hybridMultilevel"/>
    <w:lvl w:ilvl="0">
      <w:lvlJc w:val="left"/>
      <w:lvlText w:val="%1."/>
      <w:numFmt w:val="decimal"/>
      <w:start w:val="6"/>
    </w:lvl>
  </w:abstractNum>
  <w:abstractNum w:abstractNumId="44">
    <w:nsid w:val="7644A45C"/>
    <w:multiLevelType w:val="hybridMultilevel"/>
    <w:lvl w:ilvl="0">
      <w:lvlJc w:val="left"/>
      <w:lvlText w:val="%1."/>
      <w:numFmt w:val="decimal"/>
      <w:start w:val="8"/>
    </w:lvl>
  </w:abstractNum>
  <w:abstractNum w:abstractNumId="45">
    <w:nsid w:val="32FFF902"/>
    <w:multiLevelType w:val="hybridMultilevel"/>
    <w:lvl w:ilvl="0">
      <w:lvlJc w:val="left"/>
      <w:lvlText w:val="%1."/>
      <w:numFmt w:val="decimal"/>
      <w:start w:val="9"/>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0" Type="http://schemas.openxmlformats.org/officeDocument/2006/relationships/image" Target="media/image82.png"/><Relationship Id="rId107" Type="http://schemas.openxmlformats.org/officeDocument/2006/relationships/image" Target="media/image83.png"/><Relationship Id="rId109" Type="http://schemas.openxmlformats.org/officeDocument/2006/relationships/image" Target="media/image84.png"/><Relationship Id="rId11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50" Type="http://schemas.openxmlformats.org/officeDocument/2006/relationships/image" Target="media/image113.png"/><Relationship Id="rId151" Type="http://schemas.openxmlformats.org/officeDocument/2006/relationships/image" Target="media/image114.png"/><Relationship Id="rId152" Type="http://schemas.openxmlformats.org/officeDocument/2006/relationships/image" Target="media/image115.png"/><Relationship Id="rId153" Type="http://schemas.openxmlformats.org/officeDocument/2006/relationships/image" Target="media/image116.png"/><Relationship Id="rId154" Type="http://schemas.openxmlformats.org/officeDocument/2006/relationships/image" Target="media/image117.png"/><Relationship Id="rId155" Type="http://schemas.openxmlformats.org/officeDocument/2006/relationships/image" Target="media/image118.png"/><Relationship Id="rId156"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89" Type="http://schemas.openxmlformats.org/officeDocument/2006/relationships/hyperlink" Target="http://www.sec.gov/Archives/edgar/data/1133470/000095014801500411/v70569ex2-1.txt" TargetMode="External"/><Relationship Id="rId90" Type="http://schemas.openxmlformats.org/officeDocument/2006/relationships/hyperlink" Target="http://www.sec.gov/Archives/edgar/data/1133470/000095014804000129/v95808exv2w2.txt" TargetMode="External"/><Relationship Id="rId91" Type="http://schemas.openxmlformats.org/officeDocument/2006/relationships/hyperlink" Target="http://www.sec.gov/Archives/edgar/data/1133470/000095012408002518/v41085exv2w1.htm" TargetMode="External"/><Relationship Id="rId92" Type="http://schemas.openxmlformats.org/officeDocument/2006/relationships/hyperlink" Target="http://www.sec.gov/Archives/edgar/data/1133470/000095012310023590/v55403exv2w1.htm" TargetMode="External"/><Relationship Id="rId93" Type="http://schemas.openxmlformats.org/officeDocument/2006/relationships/hyperlink" Target="http://www.sec.gov/Archives/edgar/data/1133470/000095012310023590/v55403exv10w3.htm" TargetMode="External"/><Relationship Id="rId94" Type="http://schemas.openxmlformats.org/officeDocument/2006/relationships/hyperlink" Target="http://www.sec.gov/Archives/edgar/data/1133470/000119312512008063/d280367dex21.htm" TargetMode="External"/><Relationship Id="rId95" Type="http://schemas.openxmlformats.org/officeDocument/2006/relationships/hyperlink" Target="http://www.sec.gov/Archives/edgar/data/1133470/000119312512454567/d435941dex101.htm" TargetMode="External"/><Relationship Id="rId96" Type="http://schemas.openxmlformats.org/officeDocument/2006/relationships/hyperlink" Target="http://www.sec.gov/Archives/edgar/data/1133470/000119312513357144/d592266dex101.htm" TargetMode="External"/><Relationship Id="rId97" Type="http://schemas.openxmlformats.org/officeDocument/2006/relationships/hyperlink" Target="http://www.sec.gov/Archives/edgar/data/1133470/000119312513360154/d576441dex102.htm" TargetMode="External"/><Relationship Id="rId98" Type="http://schemas.openxmlformats.org/officeDocument/2006/relationships/hyperlink" Target="http://www.sec.gov/Archives/edgar/data/1133470/000119312513455104/d636762dex101.htm" TargetMode="External"/><Relationship Id="rId99" Type="http://schemas.openxmlformats.org/officeDocument/2006/relationships/hyperlink" Target="http://www.sec.gov/Archives/edgar/data/1133470/000095014801500411/v70569ex3-1.txt" TargetMode="External"/><Relationship Id="rId101" Type="http://schemas.openxmlformats.org/officeDocument/2006/relationships/hyperlink" Target="https://www.sec.gov/Archives/edgar/data/1133470/000155837022014140/cvgw-20220731xex3d1.htm" TargetMode="External"/><Relationship Id="rId102" Type="http://schemas.openxmlformats.org/officeDocument/2006/relationships/hyperlink" Target="https://www.sec.gov/Archives/edgar/data/1133470/000155837020003374/ex-4d1.htm" TargetMode="External"/><Relationship Id="rId103" Type="http://schemas.openxmlformats.org/officeDocument/2006/relationships/hyperlink" Target="https://www.sec.gov/Archives/edgar/data/1133470/000095014803000098/v87183exv10w1.htm" TargetMode="External"/><Relationship Id="rId104" Type="http://schemas.openxmlformats.org/officeDocument/2006/relationships/hyperlink" Target="https://www.sec.gov/Archives/edgar/data/1133470/000155837022003566/cvgw-20220131xex10d1.htm" TargetMode="External"/><Relationship Id="rId105" Type="http://schemas.openxmlformats.org/officeDocument/2006/relationships/hyperlink" Target="https://www.sec.gov/Archives/edgar/data/1133470/000155837022003566/cvgw-20220131xex10d2.htm" TargetMode="External"/><Relationship Id="rId106" Type="http://schemas.openxmlformats.org/officeDocument/2006/relationships/hyperlink" Target="https://www.sec.gov/Archives/edgar/data/1133470/000155837021008126/cvgw-20210430xex10d1.htm" TargetMode="External"/><Relationship Id="rId108" Type="http://schemas.openxmlformats.org/officeDocument/2006/relationships/hyperlink" Target="https://www.sec.gov/Archives/edgar/data/1133470/000155837022009683/cvgw-20220430xex10d2.htm" TargetMode="External"/><Relationship Id="rId110" Type="http://schemas.openxmlformats.org/officeDocument/2006/relationships/hyperlink" Target="https://www.sec.gov/Archives/edgar/data/1133470/000095014801500411/v70569ex10-4.txt" TargetMode="External"/><Relationship Id="rId111" Type="http://schemas.openxmlformats.org/officeDocument/2006/relationships/hyperlink" Target="https://www.sec.gov/Archives/edgar/data/1133470/000095012311002615/v58339exv10w18.htm" TargetMode="External"/><Relationship Id="rId113" Type="http://schemas.openxmlformats.org/officeDocument/2006/relationships/hyperlink" Target="https://www.sec.gov/Archives/edgar/data/1133470/000155837022015916/cvgw-20221101xex10d1.htm" TargetMode="External"/><Relationship Id="rId114" Type="http://schemas.openxmlformats.org/officeDocument/2006/relationships/hyperlink" Target="https://www.sec.gov/Archives/edgar/data/1133470/000155837023010838/cvgw-20230430xex10d2.htm" TargetMode="External"/><Relationship Id="rId115" Type="http://schemas.openxmlformats.org/officeDocument/2006/relationships/hyperlink" Target="https://www.sec.gov/Archives/edgar/data/1133470/000155837023010838/cvgw-20230430xex10d4.htm" TargetMode="External"/><Relationship Id="rId116" Type="http://schemas.openxmlformats.org/officeDocument/2006/relationships/hyperlink" Target="https://www.sec.gov/Archives/edgar/data/1133470/000155837023011642/cvgw-20230626xex10d1.htm" TargetMode="External"/><Relationship Id="rId117" Type="http://schemas.openxmlformats.org/officeDocument/2006/relationships/hyperlink" Target="https://www.sec.gov/Archives/edgar/data/1133470/000155837024002910/cvgw-20240131xex10d1.htm" TargetMode="External"/><Relationship Id="rId118" Type="http://schemas.openxmlformats.org/officeDocument/2006/relationships/hyperlink" Target="https://www.sec.gov/Archives/edgar/data/1133470/000155837024012417/cvgw-20240815xex10d1.htm" TargetMode="External"/><Relationship Id="rId119" Type="http://schemas.openxmlformats.org/officeDocument/2006/relationships/hyperlink" Target="https://www.sec.gov/Archives/edgar/data/1133470/000155837024012417/cvgw-20240815xex10d2.htm" TargetMode="External"/><Relationship Id="rId120" Type="http://schemas.openxmlformats.org/officeDocument/2006/relationships/hyperlink" Target="https://www.sec.gov/Archives/edgar/data/1133470/000155837024012417/cvgw-20240815xex10d3.htm" TargetMode="External"/><Relationship Id="rId121" Type="http://schemas.openxmlformats.org/officeDocument/2006/relationships/hyperlink" Target="http://www.sec.gov/Archives/edgar/data/1133470/000095014801500411/v70569ex21-1.txt" TargetMode="External"/><Relationship Id="rId122" Type="http://schemas.openxmlformats.org/officeDocument/2006/relationships/hyperlink" Target="https://www.sec.gov/Archives/edgar/data/1133470/000155837024000671/cvgw-202310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2025-01-14T16:34:53Z</dcterms:created>
  <dcterms:modified xsi:type="dcterms:W3CDTF">2025-01-14T16:34:53Z</dcterms:modified>
</cp:coreProperties>
</file>