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229235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5"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84"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16"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 xml:space="preserve">For the transition period from </w:t>
      </w:r>
      <w:r>
        <w:rPr>
          <w:rFonts w:ascii="Arial" w:cs="Arial" w:eastAsia="Arial" w:hAnsi="Arial"/>
          <w:sz w:val="15"/>
          <w:szCs w:val="15"/>
          <w:b w:val="1"/>
          <w:bCs w:val="1"/>
          <w:u w:val="single" w:color="auto"/>
          <w:color w:val="auto"/>
        </w:rPr>
        <w:t>______________________</w:t>
      </w:r>
      <w:r>
        <w:rPr>
          <w:rFonts w:ascii="Arial" w:cs="Arial" w:eastAsia="Arial" w:hAnsi="Arial"/>
          <w:sz w:val="15"/>
          <w:szCs w:val="15"/>
          <w:b w:val="1"/>
          <w:bCs w:val="1"/>
          <w:color w:val="auto"/>
        </w:rPr>
        <w:t xml:space="preserve"> to </w:t>
      </w:r>
      <w:r>
        <w:rPr>
          <w:rFonts w:ascii="Arial" w:cs="Arial" w:eastAsia="Arial" w:hAnsi="Arial"/>
          <w:sz w:val="15"/>
          <w:szCs w:val="15"/>
          <w:b w:val="1"/>
          <w:bCs w:val="1"/>
          <w:u w:val="single" w:color="auto"/>
          <w:color w:val="auto"/>
        </w:rPr>
        <w:t>______________________</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ectPr>
          <w:pgSz w:w="11900" w:h="16838" w:orient="portrait"/>
          <w:cols w:equalWidth="0" w:num="1">
            <w:col w:w="10220"/>
          </w:cols>
          <w:pgMar w:left="840" w:top="665" w:right="839" w:bottom="1440" w:gutter="0" w:footer="0" w:header="0"/>
        </w:sectPr>
      </w:pPr>
    </w:p>
    <w:p>
      <w:pPr>
        <w:spacing w:after="0" w:line="345"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California</w:t>
      </w:r>
    </w:p>
    <w:p>
      <w:pPr>
        <w:spacing w:after="0" w:line="45" w:lineRule="exact"/>
        <w:rPr>
          <w:sz w:val="24"/>
          <w:szCs w:val="24"/>
          <w:color w:val="auto"/>
        </w:rPr>
      </w:pPr>
    </w:p>
    <w:p>
      <w:pPr>
        <w:ind w:left="1820"/>
        <w:spacing w:after="0"/>
        <w:rPr>
          <w:sz w:val="20"/>
          <w:szCs w:val="20"/>
          <w:color w:val="auto"/>
        </w:rPr>
      </w:pPr>
      <w:r>
        <w:rPr>
          <w:rFonts w:ascii="Arial" w:cs="Arial" w:eastAsia="Arial" w:hAnsi="Arial"/>
          <w:sz w:val="10"/>
          <w:szCs w:val="10"/>
          <w:color w:val="auto"/>
        </w:rPr>
        <w:t>(State or other jurisdiction of</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8" w:lineRule="exact"/>
        <w:rPr>
          <w:sz w:val="24"/>
          <w:szCs w:val="24"/>
          <w:color w:val="auto"/>
        </w:rPr>
      </w:pPr>
    </w:p>
    <w:p>
      <w:pPr>
        <w:jc w:val="center"/>
        <w:ind w:left="-539"/>
        <w:spacing w:after="0"/>
        <w:rPr>
          <w:sz w:val="20"/>
          <w:szCs w:val="20"/>
          <w:color w:val="auto"/>
        </w:rPr>
      </w:pPr>
      <w:r>
        <w:rPr>
          <w:rFonts w:ascii="Arial" w:cs="Arial" w:eastAsia="Arial" w:hAnsi="Arial"/>
          <w:sz w:val="16"/>
          <w:szCs w:val="16"/>
          <w:b w:val="1"/>
          <w:bCs w:val="1"/>
          <w:color w:val="auto"/>
        </w:rPr>
        <w:t>33-0945304</w:t>
      </w:r>
    </w:p>
    <w:p>
      <w:pPr>
        <w:spacing w:after="0" w:line="113" w:lineRule="exact"/>
        <w:rPr>
          <w:sz w:val="24"/>
          <w:szCs w:val="24"/>
          <w:color w:val="auto"/>
        </w:rPr>
      </w:pPr>
    </w:p>
    <w:p>
      <w:pPr>
        <w:jc w:val="right"/>
        <w:ind w:right="1640"/>
        <w:spacing w:after="0"/>
        <w:rPr>
          <w:sz w:val="20"/>
          <w:szCs w:val="20"/>
          <w:color w:val="auto"/>
        </w:rPr>
      </w:pPr>
      <w:r>
        <w:rPr>
          <w:rFonts w:ascii="Arial" w:cs="Arial" w:eastAsia="Arial" w:hAnsi="Arial"/>
          <w:sz w:val="13"/>
          <w:szCs w:val="13"/>
          <w:color w:val="auto"/>
        </w:rPr>
        <w:t>(I.R.S. Employer Identification No.)</w:t>
      </w:r>
    </w:p>
    <w:p>
      <w:pPr>
        <w:spacing w:after="0" w:line="188" w:lineRule="exact"/>
        <w:rPr>
          <w:sz w:val="24"/>
          <w:szCs w:val="24"/>
          <w:color w:val="auto"/>
        </w:rPr>
      </w:pPr>
    </w:p>
    <w:p>
      <w:pPr>
        <w:sectPr>
          <w:pgSz w:w="11900" w:h="16838" w:orient="portrait"/>
          <w:cols w:equalWidth="0" w:num="2">
            <w:col w:w="3300" w:space="420"/>
            <w:col w:w="6500"/>
          </w:cols>
          <w:pgMar w:left="840" w:top="665" w:right="8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620" w:type="dxa"/>
            <w:vAlign w:val="bottom"/>
            <w:gridSpan w:val="5"/>
          </w:tcPr>
          <w:p>
            <w:pPr>
              <w:ind w:left="740"/>
              <w:spacing w:after="0"/>
              <w:rPr>
                <w:sz w:val="20"/>
                <w:szCs w:val="20"/>
                <w:color w:val="auto"/>
              </w:rPr>
            </w:pPr>
            <w:r>
              <w:rPr>
                <w:rFonts w:ascii="Arial" w:cs="Arial" w:eastAsia="Arial" w:hAnsi="Arial"/>
                <w:sz w:val="16"/>
                <w:szCs w:val="16"/>
                <w:b w:val="1"/>
                <w:bCs w:val="1"/>
                <w:color w:val="auto"/>
              </w:rPr>
              <w:t>1141-A Cummings Road, Santa Paula, California</w:t>
            </w:r>
          </w:p>
        </w:tc>
        <w:tc>
          <w:tcPr>
            <w:tcW w:w="3600" w:type="dxa"/>
            <w:vAlign w:val="bottom"/>
          </w:tcPr>
          <w:p>
            <w:pPr>
              <w:jc w:val="right"/>
              <w:ind w:right="2224"/>
              <w:spacing w:after="0"/>
              <w:rPr>
                <w:sz w:val="20"/>
                <w:szCs w:val="20"/>
                <w:color w:val="auto"/>
              </w:rPr>
            </w:pPr>
            <w:r>
              <w:rPr>
                <w:rFonts w:ascii="Arial" w:cs="Arial" w:eastAsia="Arial" w:hAnsi="Arial"/>
                <w:sz w:val="16"/>
                <w:szCs w:val="16"/>
                <w:b w:val="1"/>
                <w:bCs w:val="1"/>
                <w:color w:val="auto"/>
              </w:rPr>
              <w:t>93060</w:t>
            </w:r>
          </w:p>
        </w:tc>
      </w:tr>
      <w:tr>
        <w:trPr>
          <w:trHeight w:val="160"/>
        </w:trPr>
        <w:tc>
          <w:tcPr>
            <w:tcW w:w="6620" w:type="dxa"/>
            <w:vAlign w:val="bottom"/>
            <w:gridSpan w:val="5"/>
          </w:tcPr>
          <w:p>
            <w:pPr>
              <w:ind w:left="1500"/>
              <w:spacing w:after="0"/>
              <w:rPr>
                <w:sz w:val="20"/>
                <w:szCs w:val="20"/>
                <w:color w:val="auto"/>
              </w:rPr>
            </w:pPr>
            <w:r>
              <w:rPr>
                <w:rFonts w:ascii="Arial" w:cs="Arial" w:eastAsia="Arial" w:hAnsi="Arial"/>
                <w:sz w:val="13"/>
                <w:szCs w:val="13"/>
                <w:color w:val="auto"/>
              </w:rPr>
              <w:t>(Address of principal executive offices)</w:t>
            </w:r>
          </w:p>
        </w:tc>
        <w:tc>
          <w:tcPr>
            <w:tcW w:w="3600" w:type="dxa"/>
            <w:vAlign w:val="bottom"/>
          </w:tcPr>
          <w:p>
            <w:pPr>
              <w:jc w:val="center"/>
              <w:ind w:right="1344"/>
              <w:spacing w:after="0"/>
              <w:rPr>
                <w:sz w:val="20"/>
                <w:szCs w:val="20"/>
                <w:color w:val="auto"/>
              </w:rPr>
            </w:pPr>
            <w:r>
              <w:rPr>
                <w:rFonts w:ascii="Arial" w:cs="Arial" w:eastAsia="Arial" w:hAnsi="Arial"/>
                <w:sz w:val="13"/>
                <w:szCs w:val="13"/>
                <w:color w:val="auto"/>
                <w:w w:val="87"/>
              </w:rPr>
              <w:t>(Zip Code)</w:t>
            </w:r>
          </w:p>
        </w:tc>
      </w:tr>
      <w:tr>
        <w:trPr>
          <w:trHeight w:val="59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center"/>
              <w:ind w:left="1304"/>
              <w:spacing w:after="0"/>
              <w:rPr>
                <w:sz w:val="20"/>
                <w:szCs w:val="20"/>
                <w:color w:val="auto"/>
              </w:rPr>
            </w:pPr>
            <w:r>
              <w:rPr>
                <w:rFonts w:ascii="Arial" w:cs="Arial" w:eastAsia="Arial" w:hAnsi="Arial"/>
                <w:sz w:val="16"/>
                <w:szCs w:val="16"/>
                <w:b w:val="1"/>
                <w:bCs w:val="1"/>
                <w:color w:val="auto"/>
                <w:w w:val="93"/>
              </w:rPr>
              <w:t>(805) 525-1245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3"/>
          </w:tcPr>
          <w:p>
            <w:pPr>
              <w:jc w:val="center"/>
              <w:ind w:left="784"/>
              <w:spacing w:after="0"/>
              <w:rPr>
                <w:sz w:val="20"/>
                <w:szCs w:val="20"/>
                <w:color w:val="auto"/>
              </w:rPr>
            </w:pPr>
            <w:r>
              <w:rPr>
                <w:rFonts w:ascii="Arial" w:cs="Arial" w:eastAsia="Arial" w:hAnsi="Arial"/>
                <w:sz w:val="13"/>
                <w:szCs w:val="13"/>
                <w:color w:val="auto"/>
                <w:w w:val="87"/>
              </w:rPr>
              <w:t>(Registrant's telephone number, including area code)</w:t>
            </w:r>
          </w:p>
        </w:tc>
        <w:tc>
          <w:tcPr>
            <w:tcW w:w="3600" w:type="dxa"/>
            <w:vAlign w:val="bottom"/>
          </w:tcPr>
          <w:p>
            <w:pPr>
              <w:spacing w:after="0"/>
              <w:rPr>
                <w:sz w:val="13"/>
                <w:szCs w:val="13"/>
                <w:color w:val="auto"/>
              </w:rPr>
            </w:pPr>
          </w:p>
        </w:tc>
      </w:tr>
      <w:tr>
        <w:trPr>
          <w:trHeight w:val="515"/>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center"/>
              <w:ind w:left="764"/>
              <w:spacing w:after="0"/>
              <w:rPr>
                <w:sz w:val="20"/>
                <w:szCs w:val="20"/>
                <w:color w:val="auto"/>
              </w:rPr>
            </w:pPr>
            <w:r>
              <w:rPr>
                <w:rFonts w:ascii="Arial" w:cs="Arial" w:eastAsia="Arial" w:hAnsi="Arial"/>
                <w:sz w:val="16"/>
                <w:szCs w:val="16"/>
                <w:b w:val="1"/>
                <w:bCs w:val="1"/>
                <w:color w:val="auto"/>
                <w:w w:val="92"/>
              </w:rPr>
              <w:t>Not Applicable</w:t>
            </w: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4"/>
              <w:spacing w:after="0"/>
              <w:rPr>
                <w:sz w:val="20"/>
                <w:szCs w:val="20"/>
                <w:color w:val="auto"/>
              </w:rPr>
            </w:pPr>
            <w:r>
              <w:rPr>
                <w:rFonts w:ascii="Arial" w:cs="Arial" w:eastAsia="Arial" w:hAnsi="Arial"/>
                <w:sz w:val="13"/>
                <w:szCs w:val="13"/>
                <w:color w:val="auto"/>
                <w:w w:val="87"/>
              </w:rPr>
              <w:t>(Former name, former address and former fiscal year, if changed since last report)</w:t>
            </w:r>
          </w:p>
        </w:tc>
      </w:tr>
      <w:tr>
        <w:trPr>
          <w:trHeight w:val="45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4"/>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29"/>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Title of each class</w:t>
            </w:r>
          </w:p>
        </w:tc>
        <w:tc>
          <w:tcPr>
            <w:tcW w:w="3880" w:type="dxa"/>
            <w:vAlign w:val="bottom"/>
            <w:gridSpan w:val="3"/>
          </w:tcPr>
          <w:p>
            <w:pPr>
              <w:jc w:val="center"/>
              <w:ind w:right="540"/>
              <w:spacing w:after="0"/>
              <w:rPr>
                <w:sz w:val="20"/>
                <w:szCs w:val="20"/>
                <w:color w:val="auto"/>
              </w:rPr>
            </w:pPr>
            <w:r>
              <w:rPr>
                <w:rFonts w:ascii="Arial" w:cs="Arial" w:eastAsia="Arial" w:hAnsi="Arial"/>
                <w:sz w:val="16"/>
                <w:szCs w:val="16"/>
                <w:color w:val="auto"/>
                <w:w w:val="93"/>
              </w:rPr>
              <w:t>Trading Symbol(s)</w:t>
            </w:r>
          </w:p>
        </w:tc>
        <w:tc>
          <w:tcPr>
            <w:tcW w:w="3600" w:type="dxa"/>
            <w:vAlign w:val="bottom"/>
          </w:tcPr>
          <w:p>
            <w:pPr>
              <w:jc w:val="center"/>
              <w:ind w:right="284"/>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r>
      <w:tr>
        <w:trPr>
          <w:trHeight w:val="206"/>
        </w:trPr>
        <w:tc>
          <w:tcPr>
            <w:tcW w:w="26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3"/>
              </w:rPr>
              <w:t>Common Stock, $0.001 par value per share</w:t>
            </w:r>
          </w:p>
        </w:tc>
        <w:tc>
          <w:tcPr>
            <w:tcW w:w="12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CVGW</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284"/>
              <w:spacing w:after="0"/>
              <w:rPr>
                <w:sz w:val="20"/>
                <w:szCs w:val="20"/>
                <w:color w:val="auto"/>
              </w:rPr>
            </w:pPr>
            <w:r>
              <w:rPr>
                <w:rFonts w:ascii="Arial" w:cs="Arial" w:eastAsia="Arial" w:hAnsi="Arial"/>
                <w:sz w:val="16"/>
                <w:szCs w:val="16"/>
                <w:color w:val="auto"/>
                <w:w w:val="92"/>
              </w:rPr>
              <w:t>Nasdaq Global Select Market</w:t>
            </w:r>
          </w:p>
        </w:tc>
      </w:tr>
    </w:tbl>
    <w:p>
      <w:pPr>
        <w:spacing w:after="0" w:line="108"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4"/>
          <w:szCs w:val="24"/>
          <w:color w:val="auto"/>
        </w:rPr>
      </w:pPr>
    </w:p>
    <w:p>
      <w:pPr>
        <w:ind w:right="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202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Registrant's number of shares of common stock outstanding as of January 31, 2022 was 17,716,314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253365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left="40" w:right="59" w:firstLine="202"/>
        <w:spacing w:after="0" w:line="285" w:lineRule="auto"/>
        <w:rPr>
          <w:sz w:val="20"/>
          <w:szCs w:val="20"/>
          <w:color w:val="auto"/>
        </w:rPr>
      </w:pPr>
      <w:r>
        <w:rPr>
          <w:rFonts w:ascii="Arial" w:cs="Arial" w:eastAsia="Arial" w:hAnsi="Arial"/>
          <w:sz w:val="15"/>
          <w:szCs w:val="15"/>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58" w:lineRule="exact"/>
        <w:rPr>
          <w:sz w:val="20"/>
          <w:szCs w:val="20"/>
          <w:color w:val="auto"/>
        </w:rPr>
      </w:pPr>
    </w:p>
    <w:p>
      <w:pPr>
        <w:ind w:left="40" w:right="139" w:firstLine="256"/>
        <w:spacing w:after="0" w:line="284" w:lineRule="auto"/>
        <w:rPr>
          <w:sz w:val="20"/>
          <w:szCs w:val="20"/>
          <w:color w:val="auto"/>
        </w:rPr>
      </w:pPr>
      <w:r>
        <w:rPr>
          <w:rFonts w:ascii="Arial" w:cs="Arial" w:eastAsia="Arial" w:hAnsi="Arial"/>
          <w:sz w:val="15"/>
          <w:szCs w:val="15"/>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increased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Servicio de Administracion Tributaria in Mexico (the “SAT”) and our defenses against collection activities commenced by the SAT.</w:t>
      </w:r>
    </w:p>
    <w:p>
      <w:pPr>
        <w:spacing w:after="0" w:line="370" w:lineRule="exact"/>
        <w:rPr>
          <w:sz w:val="20"/>
          <w:szCs w:val="20"/>
          <w:color w:val="auto"/>
        </w:rPr>
      </w:pPr>
    </w:p>
    <w:p>
      <w:pPr>
        <w:ind w:left="40" w:right="59" w:firstLine="256"/>
        <w:spacing w:after="0" w:line="293" w:lineRule="auto"/>
        <w:rPr>
          <w:sz w:val="20"/>
          <w:szCs w:val="20"/>
          <w:color w:val="auto"/>
        </w:rPr>
      </w:pPr>
      <w:r>
        <w:rPr>
          <w:rFonts w:ascii="Arial" w:cs="Arial" w:eastAsia="Arial" w:hAnsi="Arial"/>
          <w:sz w:val="15"/>
          <w:szCs w:val="15"/>
          <w:color w:val="auto"/>
        </w:rPr>
        <w:t>For a further discussion of these risks and uncertainties and other risks and uncertainties that we face, please see the risk factors described in our most recent Annual Report on Form 10-K for the fiscal year ended October 31, 2021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PAGE</w:t>
      </w:r>
    </w:p>
    <w:p>
      <w:pPr>
        <w:spacing w:after="0" w:line="22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66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Condensed Balance Sheets – J</w:t>
              </w:r>
              <w:r>
                <w:rPr>
                  <w:rFonts w:ascii="Arial" w:cs="Arial" w:eastAsia="Arial" w:hAnsi="Arial"/>
                  <w:sz w:val="17"/>
                  <w:szCs w:val="17"/>
                  <w:color w:val="0000EE"/>
                </w:rPr>
                <w:t>anuary</w:t>
              </w:r>
              <w:r>
                <w:rPr>
                  <w:rFonts w:ascii="Arial" w:cs="Arial" w:eastAsia="Arial" w:hAnsi="Arial"/>
                  <w:sz w:val="16"/>
                  <w:szCs w:val="16"/>
                  <w:color w:val="0000EE"/>
                </w:rPr>
                <w:t xml:space="preserve"> 31, 2022 and October 31, 202</w:t>
              </w:r>
            </w:hyperlink>
            <w:r>
              <w:rPr>
                <w:rFonts w:ascii="Arial" w:cs="Arial" w:eastAsia="Arial" w:hAnsi="Arial"/>
                <w:sz w:val="16"/>
                <w:szCs w:val="16"/>
                <w:color w:val="000000"/>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Condensed Statements of Operations – Three Months Ended January 31, 2022 and 202</w:t>
              </w:r>
            </w:hyperlink>
            <w:r>
              <w:rPr>
                <w:rFonts w:ascii="Arial" w:cs="Arial" w:eastAsia="Arial" w:hAnsi="Arial"/>
                <w:sz w:val="16"/>
                <w:szCs w:val="16"/>
                <w:color w:val="000000"/>
              </w:rPr>
              <w:t>1</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Condensed Statements of Cash Flows – Three Months Ended January 31, 2022 and 202</w:t>
              </w:r>
            </w:hyperlink>
            <w:r>
              <w:rPr>
                <w:rFonts w:ascii="Arial" w:cs="Arial" w:eastAsia="Arial" w:hAnsi="Arial"/>
                <w:sz w:val="16"/>
                <w:szCs w:val="16"/>
                <w:color w:val="000000"/>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w w:val="95"/>
              </w:rPr>
            </w:pPr>
            <w:hyperlink w:anchor="page7">
              <w:r>
                <w:rPr>
                  <w:rFonts w:ascii="Arial" w:cs="Arial" w:eastAsia="Arial" w:hAnsi="Arial"/>
                  <w:sz w:val="16"/>
                  <w:szCs w:val="16"/>
                  <w:color w:val="0000EE"/>
                  <w:w w:val="95"/>
                </w:rPr>
                <w:t>Consolidated Condensed Statements of Shareholders’ Equity – Three Months Ended January 31, 202</w:t>
              </w:r>
            </w:hyperlink>
            <w:r>
              <w:rPr>
                <w:rFonts w:ascii="Arial" w:cs="Arial" w:eastAsia="Arial" w:hAnsi="Arial"/>
                <w:sz w:val="16"/>
                <w:szCs w:val="16"/>
                <w:color w:val="000000"/>
                <w:w w:val="95"/>
              </w:rPr>
              <w:t>2</w:t>
            </w:r>
            <w:r>
              <w:rPr>
                <w:rFonts w:ascii="Arial" w:cs="Arial" w:eastAsia="Arial" w:hAnsi="Arial"/>
                <w:sz w:val="16"/>
                <w:szCs w:val="16"/>
                <w:color w:val="0000EE"/>
                <w:w w:val="95"/>
              </w:rPr>
              <w:t xml:space="preserve"> </w:t>
            </w:r>
            <w:r>
              <w:rPr>
                <w:rFonts w:ascii="Arial" w:cs="Arial" w:eastAsia="Arial" w:hAnsi="Arial"/>
                <w:sz w:val="16"/>
                <w:szCs w:val="16"/>
                <w:color w:val="000000"/>
                <w:w w:val="95"/>
              </w:rPr>
              <w:t>and 2021</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tcBorders>
              <w:top w:val="single" w:sz="8" w:color="0000EE"/>
            </w:tcBorders>
            <w:gridSpan w:val="15"/>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Consolidated Condensed Financial Statements</w:t>
              </w:r>
            </w:hyperlink>
          </w:p>
        </w:tc>
        <w:tc>
          <w:tcPr>
            <w:tcW w:w="10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0">
              <w:r>
                <w:rPr>
                  <w:rFonts w:ascii="Arial" w:cs="Arial" w:eastAsia="Arial" w:hAnsi="Arial"/>
                  <w:sz w:val="16"/>
                  <w:szCs w:val="16"/>
                  <w:color w:val="0000EE"/>
                  <w:w w:val="93"/>
                </w:rPr>
                <w:t>Item 2.</w:t>
              </w:r>
            </w:hyperlink>
          </w:p>
        </w:tc>
        <w:tc>
          <w:tcPr>
            <w:tcW w:w="200" w:type="dxa"/>
            <w:vAlign w:val="bottom"/>
            <w:gridSpan w:val="2"/>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3.</w:t>
              </w:r>
            </w:hyperlink>
          </w:p>
        </w:tc>
        <w:tc>
          <w:tcPr>
            <w:tcW w:w="200" w:type="dxa"/>
            <w:vAlign w:val="bottom"/>
            <w:gridSpan w:val="2"/>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4.</w:t>
              </w:r>
            </w:hyperlink>
          </w:p>
        </w:tc>
        <w:tc>
          <w:tcPr>
            <w:tcW w:w="200" w:type="dxa"/>
            <w:vAlign w:val="bottom"/>
            <w:gridSpan w:val="2"/>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PART II. OTHER INFORMATION</w:t>
              </w:r>
            </w:hyperlink>
          </w:p>
        </w:tc>
        <w:tc>
          <w:tcPr>
            <w:tcW w:w="584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Item 1.</w:t>
              </w:r>
            </w:hyperlink>
          </w:p>
        </w:tc>
        <w:tc>
          <w:tcPr>
            <w:tcW w:w="200" w:type="dxa"/>
            <w:vAlign w:val="bottom"/>
            <w:gridSpan w:val="2"/>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Item 1A.</w:t>
              </w:r>
            </w:hyperlink>
          </w:p>
        </w:tc>
        <w:tc>
          <w:tcPr>
            <w:tcW w:w="766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5.</w:t>
              </w:r>
            </w:hyperlink>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gridSpan w:val="3"/>
          </w:tcPr>
          <w:p>
            <w:pPr>
              <w:spacing w:after="0"/>
              <w:rPr>
                <w:rFonts w:ascii="Arial" w:cs="Arial" w:eastAsia="Arial" w:hAnsi="Arial"/>
                <w:sz w:val="16"/>
                <w:szCs w:val="16"/>
                <w:color w:val="0000EE"/>
                <w:w w:val="98"/>
              </w:rPr>
            </w:pPr>
            <w:hyperlink w:anchor="page35">
              <w:r>
                <w:rPr>
                  <w:rFonts w:ascii="Arial" w:cs="Arial" w:eastAsia="Arial" w:hAnsi="Arial"/>
                  <w:sz w:val="16"/>
                  <w:szCs w:val="16"/>
                  <w:color w:val="0000EE"/>
                  <w:w w:val="98"/>
                </w:rPr>
                <w:t>Item 6.</w:t>
              </w:r>
            </w:hyperlink>
          </w:p>
        </w:tc>
        <w:tc>
          <w:tcPr>
            <w:tcW w:w="16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6"/>
                <w:szCs w:val="16"/>
                <w:color w:val="0000EE"/>
                <w:w w:val="86"/>
              </w:rPr>
            </w:pPr>
            <w:hyperlink w:anchor="page36">
              <w:r>
                <w:rPr>
                  <w:rFonts w:ascii="Arial" w:cs="Arial" w:eastAsia="Arial" w:hAnsi="Arial"/>
                  <w:sz w:val="16"/>
                  <w:szCs w:val="16"/>
                  <w:color w:val="0000EE"/>
                  <w:w w:val="86"/>
                </w:rPr>
                <w:t>Signatures</w:t>
              </w:r>
            </w:hyperlink>
          </w:p>
        </w:tc>
        <w:tc>
          <w:tcPr>
            <w:tcW w:w="698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January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$5,012 (2022) and $4,816 (2021)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179,537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152,641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468,632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37,798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pursuant to credit facilities, long-term</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128,474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103,895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($0.001 par value, 100,000 shares authorized; 17,716 (2022)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17,686 (2021) shares issued and outstanding)</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168,692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168,133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223,282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226,883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468,632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Three months ended</w:t>
      </w:r>
    </w:p>
    <w:p>
      <w:pPr>
        <w:ind w:left="72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274,092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220,578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260,864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202,739</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Impairment and charges related to RFG Florida facility closure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before income taxes and loss from unconsolidated entities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Add: Net loss attributable to noncontrolling interest</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w:t>
            </w:r>
          </w:p>
        </w:tc>
        <w:tc>
          <w:tcPr>
            <w:tcW w:w="5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17,653</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17,669</w:t>
            </w:r>
          </w:p>
        </w:tc>
        <w:tc>
          <w:tcPr>
            <w:tcW w:w="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(4,160)</w:t>
            </w:r>
          </w:p>
        </w:tc>
        <w:tc>
          <w:tcPr>
            <w:tcW w:w="5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4,312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4,294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operating lease expense</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Net loss from unconsolidated entities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net loss (gain) on Limoneira shares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Impairment and non-cash charges related to closure of RFG Florida facility</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(10,601)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(11,735)</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14,765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liabilities</w:t>
            </w:r>
          </w:p>
        </w:tc>
        <w:tc>
          <w:tcPr>
            <w:tcW w:w="8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7,891</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14,739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ind w:left="4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2,388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13,165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(2,044)</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(4,768)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96,300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8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5,597</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line="142" w:lineRule="exact"/>
              <w:rPr>
                <w:sz w:val="20"/>
                <w:szCs w:val="20"/>
                <w:color w:val="auto"/>
              </w:rPr>
            </w:pPr>
            <w:r>
              <w:rPr>
                <w:rFonts w:ascii="Arial" w:cs="Arial" w:eastAsia="Arial" w:hAnsi="Arial"/>
                <w:sz w:val="14"/>
                <w:szCs w:val="14"/>
                <w:color w:val="auto"/>
              </w:rPr>
              <w:t>Net decrease in cash, cash equivalents and restricted cash</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5,941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4,113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8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2,855</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0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8,796</w:t>
            </w:r>
          </w:p>
        </w:tc>
        <w:tc>
          <w:tcPr>
            <w:tcW w:w="3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8,168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100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173</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863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CONDENSED STATEMENTS OF SHAREHOLDERS’ EQUITY (UNAUDITED)</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4240" w:type="dxa"/>
            <w:vAlign w:val="bottom"/>
          </w:tcPr>
          <w:p>
            <w:pPr>
              <w:spacing w:after="0"/>
              <w:rPr>
                <w:sz w:val="13"/>
                <w:szCs w:val="13"/>
                <w:color w:val="auto"/>
              </w:rPr>
            </w:pPr>
          </w:p>
        </w:tc>
        <w:tc>
          <w:tcPr>
            <w:tcW w:w="1440" w:type="dxa"/>
            <w:vAlign w:val="bottom"/>
            <w:gridSpan w:val="5"/>
          </w:tcPr>
          <w:p>
            <w:pPr>
              <w:ind w:left="240"/>
              <w:spacing w:after="0"/>
              <w:rPr>
                <w:sz w:val="20"/>
                <w:szCs w:val="20"/>
                <w:color w:val="auto"/>
              </w:rPr>
            </w:pPr>
            <w:r>
              <w:rPr>
                <w:rFonts w:ascii="Arial" w:cs="Arial" w:eastAsia="Arial" w:hAnsi="Arial"/>
                <w:sz w:val="13"/>
                <w:szCs w:val="13"/>
                <w:b w:val="1"/>
                <w:bCs w:val="1"/>
                <w:color w:val="auto"/>
              </w:rPr>
              <w:t>Common Stock</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Noncontrolling</w:t>
            </w:r>
          </w:p>
        </w:tc>
        <w:tc>
          <w:tcPr>
            <w:tcW w:w="640" w:type="dxa"/>
            <w:vAlign w:val="bottom"/>
          </w:tcPr>
          <w:p>
            <w:pPr>
              <w:spacing w:after="0"/>
              <w:rPr>
                <w:sz w:val="13"/>
                <w:szCs w:val="13"/>
                <w:color w:val="auto"/>
              </w:rPr>
            </w:pPr>
          </w:p>
        </w:tc>
      </w:tr>
      <w:tr>
        <w:trPr>
          <w:trHeight w:val="128"/>
        </w:trPr>
        <w:tc>
          <w:tcPr>
            <w:tcW w:w="4240" w:type="dxa"/>
            <w:vAlign w:val="bottom"/>
          </w:tcPr>
          <w:p>
            <w:pPr>
              <w:spacing w:after="0"/>
              <w:rPr>
                <w:sz w:val="11"/>
                <w:szCs w:val="11"/>
                <w:color w:val="auto"/>
              </w:rPr>
            </w:pPr>
          </w:p>
        </w:tc>
        <w:tc>
          <w:tcPr>
            <w:tcW w:w="6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76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Capital</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9"/>
              </w:rPr>
              <w:t>Interest</w:t>
            </w:r>
          </w:p>
        </w:tc>
        <w:tc>
          <w:tcPr>
            <w:tcW w:w="64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2020</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  165,000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   89,512</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1,472</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  256,002</w:t>
            </w: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Payment of min. withholding of taxes on net share settlement of equity awards</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(467)</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w:t>
            </w: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907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907</w:t>
            </w: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5,277</w:t>
            </w:r>
          </w:p>
        </w:tc>
      </w:tr>
      <w:tr>
        <w:trPr>
          <w:trHeight w:val="129"/>
        </w:trPr>
        <w:tc>
          <w:tcPr>
            <w:tcW w:w="424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January 31, 2021</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17,686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165,487</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94,789</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1,432</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261,726</w:t>
            </w:r>
          </w:p>
        </w:tc>
      </w:tr>
      <w:tr>
        <w:trPr>
          <w:trHeight w:val="20"/>
        </w:trPr>
        <w:tc>
          <w:tcPr>
            <w:tcW w:w="4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4220" w:type="dxa"/>
            <w:vAlign w:val="bottom"/>
          </w:tcPr>
          <w:p>
            <w:pPr>
              <w:spacing w:after="0"/>
              <w:rPr>
                <w:sz w:val="13"/>
                <w:szCs w:val="13"/>
                <w:color w:val="auto"/>
              </w:rPr>
            </w:pPr>
          </w:p>
        </w:tc>
        <w:tc>
          <w:tcPr>
            <w:tcW w:w="146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4"/>
              </w:rPr>
              <w:t>Noncontrolling</w:t>
            </w:r>
          </w:p>
        </w:tc>
        <w:tc>
          <w:tcPr>
            <w:tcW w:w="660" w:type="dxa"/>
            <w:vAlign w:val="bottom"/>
          </w:tcPr>
          <w:p>
            <w:pPr>
              <w:spacing w:after="0"/>
              <w:rPr>
                <w:sz w:val="13"/>
                <w:szCs w:val="13"/>
                <w:color w:val="auto"/>
              </w:rPr>
            </w:pPr>
          </w:p>
        </w:tc>
      </w:tr>
      <w:tr>
        <w:trPr>
          <w:trHeight w:val="129"/>
        </w:trPr>
        <w:tc>
          <w:tcPr>
            <w:tcW w:w="4220" w:type="dxa"/>
            <w:vAlign w:val="bottom"/>
          </w:tcPr>
          <w:p>
            <w:pPr>
              <w:spacing w:after="0"/>
              <w:rPr>
                <w:sz w:val="11"/>
                <w:szCs w:val="11"/>
                <w:color w:val="auto"/>
              </w:rPr>
            </w:pPr>
          </w:p>
        </w:tc>
        <w:tc>
          <w:tcPr>
            <w:tcW w:w="7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86"/>
              </w:rPr>
              <w:t>Earnings</w:t>
            </w:r>
          </w:p>
        </w:tc>
        <w:tc>
          <w:tcPr>
            <w:tcW w:w="80" w:type="dxa"/>
            <w:vAlign w:val="bottom"/>
          </w:tcPr>
          <w:p>
            <w:pPr>
              <w:spacing w:after="0"/>
              <w:rPr>
                <w:sz w:val="11"/>
                <w:szCs w:val="11"/>
                <w:color w:val="auto"/>
              </w:rPr>
            </w:pPr>
          </w:p>
        </w:tc>
        <w:tc>
          <w:tcPr>
            <w:tcW w:w="1000" w:type="dxa"/>
            <w:vAlign w:val="bottom"/>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Interest</w:t>
            </w:r>
          </w:p>
        </w:tc>
        <w:tc>
          <w:tcPr>
            <w:tcW w:w="66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2021</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  168,133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57,364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1,368</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  226,883</w:t>
            </w: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Payment of min. withholding of taxes on net share settlement of equity awards</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556</w:t>
            </w: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 contribution</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(117)</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(4,043)</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(4,043)</w:t>
            </w:r>
          </w:p>
        </w:tc>
      </w:tr>
      <w:tr>
        <w:trPr>
          <w:trHeight w:val="128"/>
        </w:trPr>
        <w:tc>
          <w:tcPr>
            <w:tcW w:w="42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January 31, 2022</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17,716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168,692</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53,321</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1,251</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223,282</w:t>
            </w:r>
          </w:p>
        </w:tc>
      </w:tr>
      <w:tr>
        <w:trPr>
          <w:trHeight w:val="20"/>
        </w:trPr>
        <w:tc>
          <w:tcPr>
            <w:tcW w:w="4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66" w:lineRule="exact"/>
        <w:rPr>
          <w:sz w:val="20"/>
          <w:szCs w:val="20"/>
          <w:color w:val="auto"/>
        </w:rPr>
      </w:pPr>
    </w:p>
    <w:p>
      <w:pPr>
        <w:ind w:left="40" w:right="159" w:firstLine="259"/>
        <w:spacing w:after="0" w:line="269"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239" w:firstLine="225"/>
        <w:spacing w:after="0" w:line="257" w:lineRule="auto"/>
        <w:rPr>
          <w:sz w:val="20"/>
          <w:szCs w:val="20"/>
          <w:color w:val="auto"/>
        </w:rPr>
      </w:pPr>
      <w:r>
        <w:rPr>
          <w:rFonts w:ascii="Arial" w:cs="Arial" w:eastAsia="Arial" w:hAnsi="Arial"/>
          <w:sz w:val="18"/>
          <w:szCs w:val="18"/>
          <w:color w:val="auto"/>
        </w:rPr>
        <w:t>In December 2019, the Financial Accounting Standards Board ("FASB") issued ASU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16" w:lineRule="exact"/>
        <w:rPr>
          <w:sz w:val="20"/>
          <w:szCs w:val="20"/>
          <w:color w:val="auto"/>
        </w:rPr>
      </w:pPr>
    </w:p>
    <w:p>
      <w:pPr>
        <w:ind w:left="40" w:right="199" w:firstLine="259"/>
        <w:spacing w:after="0" w:line="291" w:lineRule="auto"/>
        <w:rPr>
          <w:sz w:val="20"/>
          <w:szCs w:val="20"/>
          <w:color w:val="auto"/>
        </w:rPr>
      </w:pPr>
      <w:r>
        <w:rPr>
          <w:rFonts w:ascii="Arial" w:cs="Arial" w:eastAsia="Arial" w:hAnsi="Arial"/>
          <w:sz w:val="16"/>
          <w:szCs w:val="16"/>
          <w:color w:val="auto"/>
        </w:rPr>
        <w:t>We report our operations in three different business segments: (1) Fresh products, (2) RFG, and (3) Calavo Foods.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RFG segment represents operations related to the manufacturing and distribution of fresh-cut fruit, fresh-cut vegetables, and prepared foods. The Calavo Foods segment represents operations related to the purchase, manufacturing, and distribution of prepared avocado products, including guacamole, and salsa. Selling, general and administrative expenses, as well as other non-operating income/expense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right="460"/>
        <w:spacing w:after="0" w:line="308" w:lineRule="auto"/>
        <w:rPr>
          <w:sz w:val="20"/>
          <w:szCs w:val="20"/>
          <w:color w:val="auto"/>
        </w:rPr>
      </w:pPr>
      <w:r>
        <w:rPr>
          <w:rFonts w:ascii="Arial" w:cs="Arial" w:eastAsia="Arial" w:hAnsi="Arial"/>
          <w:sz w:val="17"/>
          <w:szCs w:val="17"/>
          <w:color w:val="auto"/>
        </w:rPr>
        <w:t>items, are evaluated by our Chief Executive Officer in the aggregate. We do not allocate assets, or specifically identify them, to our operating segments. The sales data in the following tables is presented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Borders>
              <w:bottom w:val="single" w:sz="8" w:color="auto"/>
            </w:tcBorders>
            <w:gridSpan w:val="9"/>
          </w:tcPr>
          <w:p>
            <w:pPr>
              <w:jc w:val="right"/>
              <w:ind w:right="282"/>
              <w:spacing w:after="0"/>
              <w:rPr>
                <w:sz w:val="20"/>
                <w:szCs w:val="20"/>
                <w:color w:val="auto"/>
              </w:rPr>
            </w:pPr>
            <w:r>
              <w:rPr>
                <w:rFonts w:ascii="Arial" w:cs="Arial" w:eastAsia="Arial" w:hAnsi="Arial"/>
                <w:sz w:val="14"/>
                <w:szCs w:val="14"/>
                <w:b w:val="1"/>
                <w:bCs w:val="1"/>
                <w:color w:val="auto"/>
              </w:rPr>
              <w:t>Three months ended January 31, 2022</w:t>
            </w:r>
          </w:p>
        </w:tc>
        <w:tc>
          <w:tcPr>
            <w:tcW w:w="160" w:type="dxa"/>
            <w:vAlign w:val="bottom"/>
          </w:tcPr>
          <w:p>
            <w:pPr>
              <w:spacing w:after="0"/>
              <w:rPr>
                <w:sz w:val="14"/>
                <w:szCs w:val="14"/>
                <w:color w:val="auto"/>
              </w:rPr>
            </w:pPr>
          </w:p>
        </w:tc>
        <w:tc>
          <w:tcPr>
            <w:tcW w:w="3160" w:type="dxa"/>
            <w:vAlign w:val="bottom"/>
            <w:tcBorders>
              <w:bottom w:val="single" w:sz="8" w:color="auto"/>
            </w:tcBorders>
            <w:gridSpan w:val="10"/>
          </w:tcPr>
          <w:p>
            <w:pPr>
              <w:jc w:val="right"/>
              <w:ind w:right="342"/>
              <w:spacing w:after="0"/>
              <w:rPr>
                <w:sz w:val="20"/>
                <w:szCs w:val="20"/>
                <w:color w:val="auto"/>
              </w:rPr>
            </w:pPr>
            <w:r>
              <w:rPr>
                <w:rFonts w:ascii="Arial" w:cs="Arial" w:eastAsia="Arial" w:hAnsi="Arial"/>
                <w:sz w:val="14"/>
                <w:szCs w:val="14"/>
                <w:b w:val="1"/>
                <w:bCs w:val="1"/>
                <w:color w:val="auto"/>
              </w:rPr>
              <w:t>Three months ended January 31, 2021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b w:val="1"/>
                <w:bCs w:val="1"/>
                <w:color w:val="auto"/>
                <w:w w:val="91"/>
              </w:rPr>
              <w:t>Calavo</w:t>
            </w:r>
          </w:p>
        </w:tc>
        <w:tc>
          <w:tcPr>
            <w:tcW w:w="140" w:type="dxa"/>
            <w:vAlign w:val="bottom"/>
          </w:tcPr>
          <w:p>
            <w:pPr>
              <w:spacing w:after="0"/>
              <w:rPr>
                <w:sz w:val="23"/>
                <w:szCs w:val="23"/>
                <w:color w:val="auto"/>
              </w:rPr>
            </w:pPr>
          </w:p>
        </w:tc>
        <w:tc>
          <w:tcPr>
            <w:tcW w:w="7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Calavo</w:t>
            </w:r>
          </w:p>
        </w:tc>
        <w:tc>
          <w:tcPr>
            <w:tcW w:w="20" w:type="dxa"/>
            <w:vAlign w:val="bottom"/>
          </w:tcPr>
          <w:p>
            <w:pPr>
              <w:spacing w:after="0"/>
              <w:rPr>
                <w:sz w:val="23"/>
                <w:szCs w:val="23"/>
                <w:color w:val="auto"/>
              </w:rPr>
            </w:pPr>
          </w:p>
        </w:tc>
        <w:tc>
          <w:tcPr>
            <w:tcW w:w="7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Foods</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Foods</w:t>
            </w: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$ 150,505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$ 150,505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$ 103,858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$ 103,858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Tomatoes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9,987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9,987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9,187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Other fresh income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Fresh-cut fruit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43,373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43,373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42,944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Fresh-cut vegetables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28,086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28,086</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29,589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Prepared products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24,818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18,409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43,227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18,718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16,838</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Salsa</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712</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gross sales</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163,557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96,277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18,830</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278,664</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116,122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91,251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17,550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Less sales allowances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(3,187)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(1,092)</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Less inter-company eliminations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196"/>
        </w:trPr>
        <w:tc>
          <w:tcPr>
            <w:tcW w:w="240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3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$ 161,982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95,764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16,346</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$ 274,092</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$ 114,933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90,306</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15,339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$ 220,578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5"/>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RFG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Calavo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Interco.</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products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Foods</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Elimins.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80" w:type="dxa"/>
            <w:vAlign w:val="bottom"/>
            <w:gridSpan w:val="9"/>
          </w:tcPr>
          <w:p>
            <w:pPr>
              <w:jc w:val="right"/>
              <w:spacing w:after="0" w:line="129" w:lineRule="exact"/>
              <w:rPr>
                <w:sz w:val="20"/>
                <w:szCs w:val="20"/>
                <w:color w:val="auto"/>
              </w:rPr>
            </w:pPr>
            <w:r>
              <w:rPr>
                <w:rFonts w:ascii="Arial" w:cs="Arial" w:eastAsia="Arial" w:hAnsi="Arial"/>
                <w:sz w:val="14"/>
                <w:szCs w:val="14"/>
                <w:b w:val="1"/>
                <w:bCs w:val="1"/>
                <w:color w:val="auto"/>
                <w:w w:val="89"/>
              </w:rPr>
              <w:t>(All amounts are presented in thousands)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2022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162,585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95,764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17,128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150,919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96,416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14,914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260,864</w:t>
            </w:r>
          </w:p>
        </w:tc>
        <w:tc>
          <w:tcPr>
            <w:tcW w:w="0" w:type="dxa"/>
            <w:vAlign w:val="bottom"/>
          </w:tcPr>
          <w:p>
            <w:pPr>
              <w:spacing w:after="0"/>
              <w:rPr>
                <w:sz w:val="1"/>
                <w:szCs w:val="1"/>
                <w:color w:val="auto"/>
              </w:rPr>
            </w:pPr>
          </w:p>
        </w:tc>
      </w:tr>
      <w:tr>
        <w:trPr>
          <w:trHeight w:val="250"/>
        </w:trPr>
        <w:tc>
          <w:tcPr>
            <w:tcW w:w="386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9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Three months ended January 31, 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90,306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102,314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90,329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11,741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0" w:right="340" w:firstLine="225"/>
        <w:spacing w:after="0" w:line="311" w:lineRule="auto"/>
        <w:rPr>
          <w:sz w:val="20"/>
          <w:szCs w:val="20"/>
          <w:color w:val="auto"/>
        </w:rPr>
      </w:pPr>
      <w:r>
        <w:rPr>
          <w:rFonts w:ascii="Arial" w:cs="Arial" w:eastAsia="Arial" w:hAnsi="Arial"/>
          <w:sz w:val="16"/>
          <w:szCs w:val="16"/>
          <w:color w:val="auto"/>
        </w:rPr>
        <w:t>For the three months ended January 31, 2022 and 2021, intercompany sales and cost of sales of $0.6 million and $0.5 million between Fresh products and RFG were eliminated. For the three months ended January 31, 2022 and 2021, intercompany sales and cost of sales of $0.8 million and $1.1 million between Calavo Foods and RFG were eliminated.</w:t>
      </w:r>
    </w:p>
    <w:p>
      <w:pPr>
        <w:spacing w:after="0" w:line="81" w:lineRule="exact"/>
        <w:rPr>
          <w:sz w:val="20"/>
          <w:szCs w:val="20"/>
          <w:color w:val="auto"/>
        </w:rPr>
      </w:pPr>
    </w:p>
    <w:p>
      <w:pPr>
        <w:ind w:left="80" w:right="580" w:firstLine="259"/>
        <w:spacing w:after="0" w:line="277" w:lineRule="auto"/>
        <w:rPr>
          <w:sz w:val="20"/>
          <w:szCs w:val="20"/>
          <w:color w:val="auto"/>
        </w:rPr>
      </w:pPr>
      <w:r>
        <w:rPr>
          <w:rFonts w:ascii="Arial" w:cs="Arial" w:eastAsia="Arial" w:hAnsi="Arial"/>
          <w:sz w:val="18"/>
          <w:szCs w:val="18"/>
          <w:color w:val="auto"/>
        </w:rPr>
        <w:t>Sales to customers outside the U.S. were approximately $7.1 million, and $8.1 million for the three months ended January 31, 2022 and 2021.</w:t>
      </w:r>
    </w:p>
    <w:p>
      <w:pPr>
        <w:spacing w:after="0" w:line="103" w:lineRule="exact"/>
        <w:rPr>
          <w:sz w:val="20"/>
          <w:szCs w:val="20"/>
          <w:color w:val="auto"/>
        </w:rPr>
      </w:pPr>
    </w:p>
    <w:p>
      <w:pPr>
        <w:ind w:left="80" w:right="180" w:firstLine="270"/>
        <w:spacing w:after="0" w:line="270" w:lineRule="auto"/>
        <w:rPr>
          <w:sz w:val="20"/>
          <w:szCs w:val="20"/>
          <w:color w:val="auto"/>
        </w:rPr>
      </w:pPr>
      <w:r>
        <w:rPr>
          <w:rFonts w:ascii="Arial" w:cs="Arial" w:eastAsia="Arial" w:hAnsi="Arial"/>
          <w:sz w:val="17"/>
          <w:szCs w:val="17"/>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losses in the current quarter. These losses were due primarily to certain long-term net peso receivables. Foreign currency remeasurement losses, net of gains, for the three months ended January 31, 2022 was $0.6 million. Foreign currency remeasurement gains, net of losses, for the three months ended January 31, 2021 was $1.0 million.</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firstLine="259"/>
        <w:spacing w:after="0" w:line="277" w:lineRule="auto"/>
        <w:rPr>
          <w:sz w:val="20"/>
          <w:szCs w:val="20"/>
          <w:color w:val="auto"/>
        </w:rPr>
      </w:pPr>
      <w:r>
        <w:rPr>
          <w:rFonts w:ascii="Arial" w:cs="Arial" w:eastAsia="Arial" w:hAnsi="Arial"/>
          <w:sz w:val="18"/>
          <w:szCs w:val="18"/>
          <w:color w:val="auto"/>
        </w:rPr>
        <w:t>Long-lived assets attributed to geographic areas as of January 31, 2022 and October 31, 2021, are as follows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31, 2022</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94"/>
              </w:rPr>
              <w:t>79,245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36,789</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116,034</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October 31, 2021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00"/>
              <w:spacing w:after="0"/>
              <w:rPr>
                <w:sz w:val="20"/>
                <w:szCs w:val="20"/>
                <w:color w:val="auto"/>
              </w:rPr>
            </w:pPr>
            <w:r>
              <w:rPr>
                <w:rFonts w:ascii="Arial" w:cs="Arial" w:eastAsia="Arial" w:hAnsi="Arial"/>
                <w:sz w:val="18"/>
                <w:szCs w:val="18"/>
                <w:color w:val="auto"/>
                <w:w w:val="94"/>
              </w:rPr>
              <w:t>81,059</w:t>
            </w:r>
          </w:p>
        </w:tc>
        <w:tc>
          <w:tcPr>
            <w:tcW w:w="18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37,221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118,280</w:t>
            </w:r>
          </w:p>
        </w:tc>
        <w:tc>
          <w:tcPr>
            <w:tcW w:w="0" w:type="dxa"/>
            <w:vAlign w:val="bottom"/>
          </w:tcPr>
          <w:p>
            <w:pPr>
              <w:spacing w:after="0"/>
              <w:rPr>
                <w:sz w:val="1"/>
                <w:szCs w:val="1"/>
                <w:color w:val="auto"/>
              </w:rPr>
            </w:pPr>
          </w:p>
        </w:tc>
      </w:tr>
      <w:tr>
        <w:trPr>
          <w:trHeight w:val="44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October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29,704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14,642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13,088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52,402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40,757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Inventories are stated at the lower of cost or net realizable value. We periodically review the value of items in inventory and record any necessary write downs of inventory based on our assessment of market conditions. Inventory includes reserves of $0.5 million and $0.2 million in slow moving and obsolete packing supply inventory as of January 31, 2022 and October 31, 2021. No additional inventory reserve was considered necessary as of January 31, 2022 and October 31, 2021.</w:t>
      </w:r>
    </w:p>
    <w:p>
      <w:pPr>
        <w:spacing w:after="0" w:line="15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right="179" w:firstLine="259"/>
        <w:spacing w:after="0" w:line="293" w:lineRule="auto"/>
        <w:rPr>
          <w:sz w:val="20"/>
          <w:szCs w:val="20"/>
          <w:color w:val="auto"/>
        </w:rPr>
      </w:pPr>
      <w:r>
        <w:rPr>
          <w:rFonts w:ascii="Arial" w:cs="Arial" w:eastAsia="Arial" w:hAnsi="Arial"/>
          <w:sz w:val="16"/>
          <w:szCs w:val="16"/>
          <w:color w:val="auto"/>
        </w:rPr>
        <w:t>Certain members of our Board of Directors market California avocados through Calavo pursuant to marketing agreements substantially similar to the marketing agreements that we enter into with other growers. For the three months ended January 31, 2022, the aggregate amount of avocados procured from entities owned or controlled by members of our Board of Directors was $0.2 million. There were no avocados procured from entities owned or controlled by members of our Board of directors for the three months ended January 31, 2021. Amounts payable to these Board members were $0.2 million as of January 31, 2022. We did not have any amounts payable to these Board members as of October 31, 2021.</w:t>
      </w:r>
    </w:p>
    <w:p>
      <w:pPr>
        <w:spacing w:after="0" w:line="164"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During the three months ended January 31, 2022 and 2021, we received $0.1 million as dividend income from Limoneira Company (Limoneira). In addition, we lease office space from Limoneira for our corporate office. We paid rent expense to Limoneira totaling $0.1 million for the three months ended January 31, 2022 and 2021. Harold Edwards, who resigned as a member of our Board of Directors in February 2022, is the Chief Executive Officer of Limoneira Company. As of January 31, 2022, we own approximately 9% of Limoneira’s outstanding shares. In February 2022, Limoneira ended its marketing agreement with Calavo. The termination of this agreement is not expected to have a significant effect on either sales or results of operations.</w:t>
      </w:r>
    </w:p>
    <w:p>
      <w:pPr>
        <w:spacing w:after="0" w:line="195" w:lineRule="exact"/>
        <w:rPr>
          <w:sz w:val="20"/>
          <w:szCs w:val="20"/>
          <w:color w:val="auto"/>
        </w:rPr>
      </w:pPr>
    </w:p>
    <w:p>
      <w:pPr>
        <w:jc w:val="both"/>
        <w:ind w:left="40" w:right="139" w:firstLine="259"/>
        <w:spacing w:after="0" w:line="263" w:lineRule="auto"/>
        <w:rPr>
          <w:sz w:val="20"/>
          <w:szCs w:val="20"/>
          <w:color w:val="auto"/>
        </w:rPr>
      </w:pPr>
      <w:r>
        <w:rPr>
          <w:rFonts w:ascii="Arial" w:cs="Arial" w:eastAsia="Arial" w:hAnsi="Arial"/>
          <w:sz w:val="18"/>
          <w:szCs w:val="18"/>
          <w:color w:val="auto"/>
        </w:rPr>
        <w:t>Calavo and Agricola Belher (“Belher”) have an equal one-half ownership interest in Agricola Don Memo, S.A. de C.V. (“Don Memo”). Pursuant to a management service agreement, Belher, through its officers and employees, has day-to-day power and authority to manage the operations.</w:t>
      </w:r>
    </w:p>
    <w:p>
      <w:pPr>
        <w:spacing w:after="0" w:line="184" w:lineRule="exact"/>
        <w:rPr>
          <w:sz w:val="20"/>
          <w:szCs w:val="20"/>
          <w:color w:val="auto"/>
        </w:rPr>
      </w:pPr>
    </w:p>
    <w:p>
      <w:pPr>
        <w:ind w:left="40" w:right="79" w:firstLine="259"/>
        <w:spacing w:after="0" w:line="291" w:lineRule="auto"/>
        <w:rPr>
          <w:sz w:val="20"/>
          <w:szCs w:val="20"/>
          <w:color w:val="auto"/>
        </w:rPr>
      </w:pPr>
      <w:r>
        <w:rPr>
          <w:rFonts w:ascii="Arial" w:cs="Arial" w:eastAsia="Arial" w:hAnsi="Arial"/>
          <w:sz w:val="16"/>
          <w:szCs w:val="16"/>
          <w:color w:val="auto"/>
        </w:rPr>
        <w:t>As of January 31, 2022, and October 31, 2021, we had an investment of $3.8 million and $4.3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January 31, 2022 and October 31, 2021, we had outstanding advances of $4.2 million and $4.2 million to Don Memo. In October 2020, we entered into an infrastructure loan agreement with Don Memo for up to $2.4 million secured by certain property and equipment of Don Memo. This infrastructure loan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accrues interest at 7.25%. In October 2020, we funded $0.7 million related to this loan agreement, and we funded an additional $0.7 million, and $0.6 million in the first, and second quarters of fiscal 2021, for a total outstanding balance at January 31, 2022 of $2.0 million ($0.4 million is included in prepaids and other current assets and $1.6 million in other assets). This infrastructure loan agreement will mature in fiscal 2024. During the three months ended January 31, 2022 and 2021, we incurred $3.4 million and $3.5 million of cost of sales to Don Memo pursuant to our purchase consignment agreement.</w:t>
      </w:r>
    </w:p>
    <w:p>
      <w:pPr>
        <w:spacing w:after="0" w:line="192" w:lineRule="exact"/>
        <w:rPr>
          <w:sz w:val="20"/>
          <w:szCs w:val="20"/>
          <w:color w:val="auto"/>
        </w:rPr>
      </w:pPr>
    </w:p>
    <w:p>
      <w:pPr>
        <w:ind w:left="160" w:right="140" w:firstLine="259"/>
        <w:spacing w:after="0" w:line="287" w:lineRule="auto"/>
        <w:rPr>
          <w:sz w:val="20"/>
          <w:szCs w:val="20"/>
          <w:color w:val="auto"/>
        </w:rPr>
      </w:pPr>
      <w:r>
        <w:rPr>
          <w:rFonts w:ascii="Arial" w:cs="Arial" w:eastAsia="Arial" w:hAnsi="Arial"/>
          <w:sz w:val="16"/>
          <w:szCs w:val="16"/>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$4.5 million and $4.5 million as of January 31, 2022 and October 31, 2021, which are netted against the grower payable. In addition, we had infrastructure advances due from Belher of $0.9 million as of January 31, 2022 and October 31, 2021. These infrastructure advances were recorded as a receivable in prepaid and other current assets as of January 31, 2022 and October 31, 2021. In July 2021, we made a bridge loan of $3.5 million to Belher. This loan is secured by certain farmland in Mexico and accrues interest at 10%. In the first quarter of fiscal 2022, this loan has been amended to be due with installments of $0.9 million on July 31, 2022, $0.9 million on July 31, 2023 and $1.7 million on July 31, 2024. This bridge loan has been recorded as $0.9 million in prepaid expenses and other current assets and $2.6 million in other assets. During the three months ended January 31, 2022 and 2021, we incurred $3.4 million and $3.3 million of cost of sales to Belher pursuant to our purchase consignment agreement.</w:t>
      </w:r>
    </w:p>
    <w:p>
      <w:pPr>
        <w:spacing w:after="0" w:line="172" w:lineRule="exact"/>
        <w:rPr>
          <w:sz w:val="20"/>
          <w:szCs w:val="20"/>
          <w:color w:val="auto"/>
        </w:rPr>
      </w:pPr>
    </w:p>
    <w:p>
      <w:pPr>
        <w:ind w:left="160" w:right="140" w:firstLine="259"/>
        <w:spacing w:after="0" w:line="273" w:lineRule="auto"/>
        <w:rPr>
          <w:sz w:val="20"/>
          <w:szCs w:val="20"/>
          <w:color w:val="auto"/>
        </w:rPr>
      </w:pPr>
      <w:r>
        <w:rPr>
          <w:rFonts w:ascii="Arial" w:cs="Arial" w:eastAsia="Arial" w:hAnsi="Arial"/>
          <w:sz w:val="17"/>
          <w:szCs w:val="17"/>
          <w:color w:val="auto"/>
        </w:rPr>
        <w:t>In August 2015, we entered into a Shareholder’s Agreement with various Mexican partners and created Avocados de Jalisco, S.A.P.I. de C.V. (“Avocados de Jalisco”). Avocados de Jalisco is a Mexican corporation created to engage in procuring, packing and selling avocados. As of January 31, 2022, this entity was approximately 83% owned by Calavo and was consolidated in our financial statements. Avocados de Jalisco built a packinghouse located in Jalisco, Mexico, which began operations in June of 2017. During the three months ended January 31, 2022 and 2021, we purchased approximately $3.5 million and $2.2 million of avocados from the partners of Avocados de Jalisco.</w:t>
      </w:r>
    </w:p>
    <w:p>
      <w:pPr>
        <w:spacing w:after="0" w:line="187"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 and Intangibles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6"/>
                <w:szCs w:val="16"/>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October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0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w w:val="96"/>
              </w:rPr>
              <w:t>Infrastructure advances to Agricola Belher</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6"/>
              </w:rPr>
              <w:t>Bridge loan to Agricola Belher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43,408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6"/>
            <w:vMerge w:val="restart"/>
          </w:tcPr>
          <w:p>
            <w:pPr>
              <w:ind w:left="460"/>
              <w:spacing w:after="0"/>
              <w:rPr>
                <w:sz w:val="20"/>
                <w:szCs w:val="20"/>
                <w:color w:val="auto"/>
              </w:rPr>
            </w:pPr>
            <w:r>
              <w:rPr>
                <w:rFonts w:ascii="Arial" w:cs="Arial" w:eastAsia="Arial" w:hAnsi="Arial"/>
                <w:sz w:val="18"/>
                <w:szCs w:val="18"/>
                <w:color w:val="auto"/>
              </w:rPr>
              <w:t>Intangible assets consist of the following (in thousands):</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rPr>
              <w:t>January 31, 2022</w:t>
            </w: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October 31, 2021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w w:val="97"/>
              </w:rPr>
              <w:t>Net</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Accum.</w:t>
            </w:r>
          </w:p>
        </w:tc>
        <w:tc>
          <w:tcPr>
            <w:tcW w:w="720" w:type="dxa"/>
            <w:vAlign w:val="bottom"/>
            <w:gridSpan w:val="3"/>
          </w:tcPr>
          <w:p>
            <w:pPr>
              <w:jc w:val="center"/>
              <w:ind w:right="156"/>
              <w:spacing w:after="0"/>
              <w:rPr>
                <w:sz w:val="20"/>
                <w:szCs w:val="20"/>
                <w:color w:val="auto"/>
              </w:rPr>
            </w:pPr>
            <w:r>
              <w:rPr>
                <w:rFonts w:ascii="Arial" w:cs="Arial" w:eastAsia="Arial" w:hAnsi="Arial"/>
                <w:sz w:val="14"/>
                <w:szCs w:val="14"/>
                <w:b w:val="1"/>
                <w:bCs w:val="1"/>
                <w:color w:val="auto"/>
                <w:w w:val="91"/>
              </w:rPr>
              <w:t>Book</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Useful Life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(10,335)$ 7,005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$ 17,340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$ 7,351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 years</w:t>
            </w:r>
          </w:p>
        </w:tc>
        <w:tc>
          <w:tcPr>
            <w:tcW w:w="680" w:type="dxa"/>
            <w:vAlign w:val="bottom"/>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(3,010)</w:t>
            </w:r>
          </w:p>
        </w:tc>
        <w:tc>
          <w:tcPr>
            <w:tcW w:w="520" w:type="dxa"/>
            <w:vAlign w:val="bottom"/>
          </w:tcPr>
          <w:p>
            <w:pPr>
              <w:jc w:val="right"/>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(2,980)</w:t>
            </w:r>
          </w:p>
        </w:tc>
        <w:tc>
          <w:tcPr>
            <w:tcW w:w="6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Brand name intangibles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indefinite</w:t>
            </w: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(13,924)</w:t>
            </w:r>
            <w:r>
              <w:rPr>
                <w:rFonts w:ascii="Arial" w:cs="Arial" w:eastAsia="Arial" w:hAnsi="Arial"/>
                <w:sz w:val="18"/>
                <w:szCs w:val="18"/>
                <w:color w:val="auto"/>
                <w:w w:val="95"/>
              </w:rPr>
              <w:t>$ 8,381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$ 22,305</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$ 8,769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 w:right="400" w:firstLine="259"/>
        <w:spacing w:after="0" w:line="308" w:lineRule="auto"/>
        <w:rPr>
          <w:sz w:val="20"/>
          <w:szCs w:val="20"/>
          <w:color w:val="auto"/>
        </w:rPr>
      </w:pPr>
      <w:r>
        <w:rPr>
          <w:rFonts w:ascii="Arial" w:cs="Arial" w:eastAsia="Arial" w:hAnsi="Arial"/>
          <w:sz w:val="17"/>
          <w:szCs w:val="17"/>
          <w:color w:val="auto"/>
        </w:rPr>
        <w:t>We anticipate recording amortization expense of $1.2 million for the remainder of fiscal 2022, $1.5 million for fiscal year 2023, $1.5 million for fiscal year 2024, $1.5 million for fiscal year 2025, and $2.4 million thereafter.</w:t>
      </w:r>
    </w:p>
    <w:p>
      <w:pPr>
        <w:sectPr>
          <w:pgSz w:w="11900" w:h="16838" w:orient="portrait"/>
          <w:cols w:equalWidth="0" w:num="1">
            <w:col w:w="9220"/>
          </w:cols>
          <w:pgMar w:left="1320" w:top="517" w:right="1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20"/>
          </w:cols>
          <w:pgMar w:left="1320" w:top="517" w:right="1359"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78"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On December 13, 2021, certain of our officers were granted a total of 5,355 restricted shares. These shares have full voting rights and participate in dividends as if unrestricted. The closing price of our stock on such date was $40.53. These shares vest over two years, on an annual basis, beginning December 13, 2022. These shares were granted pursuant to our 2020 Plan. The total recognized stock-based compensation expense for these grants was less than $0.1 million for the three months ended January 31, 2022.</w:t>
      </w:r>
    </w:p>
    <w:p>
      <w:pPr>
        <w:spacing w:after="0" w:line="188" w:lineRule="exact"/>
        <w:rPr>
          <w:sz w:val="20"/>
          <w:szCs w:val="20"/>
          <w:color w:val="auto"/>
        </w:rPr>
      </w:pPr>
    </w:p>
    <w:p>
      <w:pPr>
        <w:ind w:left="40" w:right="79" w:firstLine="304"/>
        <w:spacing w:after="0" w:line="257" w:lineRule="auto"/>
        <w:rPr>
          <w:sz w:val="20"/>
          <w:szCs w:val="20"/>
          <w:color w:val="auto"/>
        </w:rPr>
      </w:pPr>
      <w:r>
        <w:rPr>
          <w:rFonts w:ascii="Arial" w:cs="Arial" w:eastAsia="Arial" w:hAnsi="Arial"/>
          <w:sz w:val="18"/>
          <w:szCs w:val="18"/>
          <w:color w:val="auto"/>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 The total recognized stock-based compensation expense for these grants was $0.1 million for the three months ended January 31, 2022.</w:t>
      </w:r>
    </w:p>
    <w:p>
      <w:pPr>
        <w:spacing w:after="0" w:line="188" w:lineRule="exact"/>
        <w:rPr>
          <w:sz w:val="20"/>
          <w:szCs w:val="20"/>
          <w:color w:val="auto"/>
        </w:rPr>
      </w:pPr>
    </w:p>
    <w:p>
      <w:pPr>
        <w:ind w:left="40" w:right="59" w:firstLine="315"/>
        <w:spacing w:after="0" w:line="259" w:lineRule="auto"/>
        <w:rPr>
          <w:sz w:val="20"/>
          <w:szCs w:val="20"/>
          <w:color w:val="auto"/>
        </w:rPr>
      </w:pPr>
      <w:r>
        <w:rPr>
          <w:rFonts w:ascii="Arial" w:cs="Arial" w:eastAsia="Arial" w:hAnsi="Arial"/>
          <w:sz w:val="18"/>
          <w:szCs w:val="18"/>
          <w:color w:val="auto"/>
        </w:rPr>
        <w:t>On January 20, 2022, one of our current directors was granted 1,500 unrestricted shares as a component of her compensation for services rendered during the 2021 fiscal year. The closing share price of our stock on such grant date was $41.73. The total recognized stock-based compensation expense for this grant was $0.1 million for the three months ended January 31, 2022.</w:t>
      </w:r>
    </w:p>
    <w:p>
      <w:pPr>
        <w:spacing w:after="0" w:line="187" w:lineRule="exact"/>
        <w:rPr>
          <w:sz w:val="20"/>
          <w:szCs w:val="20"/>
          <w:color w:val="auto"/>
        </w:rPr>
      </w:pPr>
    </w:p>
    <w:p>
      <w:pPr>
        <w:jc w:val="both"/>
        <w:ind w:left="40" w:right="179" w:firstLine="315"/>
        <w:spacing w:after="0" w:line="263" w:lineRule="auto"/>
        <w:rPr>
          <w:sz w:val="20"/>
          <w:szCs w:val="20"/>
          <w:color w:val="auto"/>
        </w:rPr>
      </w:pPr>
      <w:r>
        <w:rPr>
          <w:rFonts w:ascii="Arial" w:cs="Arial" w:eastAsia="Arial" w:hAnsi="Arial"/>
          <w:sz w:val="18"/>
          <w:szCs w:val="18"/>
          <w:color w:val="auto"/>
        </w:rPr>
        <w:t>On February 1, 2022, Brian Kocher, our new Chief Executive Officer, was granted 28,993 of restricted shares as part of his employment agreement. The closing share price of our stock on such grant date was $41.39. These shares will vest over three years on an annual basis, beginning February 1, 2023.</w:t>
      </w:r>
    </w:p>
    <w:p>
      <w:pPr>
        <w:spacing w:after="0" w:line="184"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A combined summary of restricted stock activity, related to our 2011 and 2020 Plans, is as follows (in thousands, except for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Number of Shares</w:t>
            </w:r>
          </w:p>
        </w:tc>
        <w:tc>
          <w:tcPr>
            <w:tcW w:w="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Outstanding at January 31,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The total recognized stock-based compensation expense for restricted stock was $0.6 million and $0.9 million for the three months ended January 31, 2022 and 2021. Total unrecognized stock-based compensation expense totaled $2.5 million as of January 31, 2022 and will be amortized through fiscal year 2024.</w:t>
      </w:r>
    </w:p>
    <w:p>
      <w:pPr>
        <w:spacing w:after="0" w:line="184"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right="100" w:firstLine="259"/>
        <w:spacing w:after="0" w:line="277" w:lineRule="auto"/>
        <w:rPr>
          <w:sz w:val="20"/>
          <w:szCs w:val="20"/>
          <w:color w:val="auto"/>
        </w:rPr>
      </w:pPr>
      <w:r>
        <w:rPr>
          <w:rFonts w:ascii="Arial" w:cs="Arial" w:eastAsia="Arial" w:hAnsi="Arial"/>
          <w:sz w:val="18"/>
          <w:szCs w:val="18"/>
          <w:color w:val="auto"/>
        </w:rPr>
        <w:t>A summary of stock option activity, related to our 2011 and 2020 Plans, is as follows (in thousands, except for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January 31, 2022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51.12</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right="80" w:firstLine="259"/>
        <w:spacing w:after="0" w:line="263" w:lineRule="auto"/>
        <w:rPr>
          <w:sz w:val="20"/>
          <w:szCs w:val="20"/>
          <w:color w:val="auto"/>
        </w:rPr>
      </w:pPr>
      <w:r>
        <w:rPr>
          <w:rFonts w:ascii="Arial" w:cs="Arial" w:eastAsia="Arial" w:hAnsi="Arial"/>
          <w:sz w:val="18"/>
          <w:szCs w:val="18"/>
          <w:color w:val="auto"/>
        </w:rPr>
        <w:t>At January 31, 2022, outstanding and exercisable stock options had a weighted-average remaining contractual term of 2.2 years. The total recognized and unrecognized stock-based compensation expense was insignificant for the three months ended January 31, 2022 and 2021.</w:t>
      </w:r>
    </w:p>
    <w:p>
      <w:pPr>
        <w:spacing w:after="0" w:line="180" w:lineRule="exact"/>
        <w:rPr>
          <w:sz w:val="20"/>
          <w:szCs w:val="20"/>
          <w:color w:val="auto"/>
        </w:rPr>
      </w:pPr>
    </w:p>
    <w:p>
      <w:pPr>
        <w:ind w:left="400" w:hanging="316"/>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left="80" w:right="220" w:firstLine="259"/>
        <w:spacing w:after="0" w:line="277" w:lineRule="auto"/>
        <w:rPr>
          <w:sz w:val="20"/>
          <w:szCs w:val="20"/>
          <w:color w:val="auto"/>
        </w:rPr>
      </w:pPr>
      <w:r>
        <w:rPr>
          <w:rFonts w:ascii="Arial" w:cs="Arial" w:eastAsia="Arial" w:hAnsi="Arial"/>
          <w:sz w:val="18"/>
          <w:szCs w:val="18"/>
          <w:color w:val="auto"/>
        </w:rPr>
        <w:t>On December 3, 2021, we paid a $1.15 per share dividend in the aggregate amount of $20.3 million to shareholders of record on November 12,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80" w:right="400"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80" w:right="120"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2011 Assessment</w:t>
      </w:r>
    </w:p>
    <w:p>
      <w:pPr>
        <w:spacing w:after="0" w:line="221" w:lineRule="exact"/>
        <w:rPr>
          <w:sz w:val="20"/>
          <w:szCs w:val="20"/>
          <w:color w:val="auto"/>
        </w:rPr>
      </w:pPr>
    </w:p>
    <w:p>
      <w:pPr>
        <w:ind w:left="80" w:right="160" w:firstLine="259"/>
        <w:spacing w:after="0" w:line="296" w:lineRule="auto"/>
        <w:rPr>
          <w:sz w:val="20"/>
          <w:szCs w:val="20"/>
          <w:color w:val="auto"/>
        </w:rPr>
      </w:pPr>
      <w:r>
        <w:rPr>
          <w:rFonts w:ascii="Arial" w:cs="Arial" w:eastAsia="Arial" w:hAnsi="Arial"/>
          <w:sz w:val="16"/>
          <w:szCs w:val="16"/>
          <w:color w:val="auto"/>
        </w:rPr>
        <w:t>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As a result, in April 2019, the MFM issued a final tax assessment to CDM (the “2011 Assessment”) totaling approximately $2.2 billion Mexican pesos related to Income Tax, Flat Rate Business Tax, and value added tax, corresponding to the fiscal year 2011 tax audit.</w:t>
      </w:r>
    </w:p>
    <w:p>
      <w:pPr>
        <w:spacing w:after="0" w:line="161" w:lineRule="exact"/>
        <w:rPr>
          <w:sz w:val="20"/>
          <w:szCs w:val="20"/>
          <w:color w:val="auto"/>
        </w:rPr>
      </w:pPr>
    </w:p>
    <w:p>
      <w:pPr>
        <w:ind w:left="80" w:right="100" w:firstLine="259"/>
        <w:spacing w:after="0" w:line="273" w:lineRule="auto"/>
        <w:rPr>
          <w:sz w:val="20"/>
          <w:szCs w:val="20"/>
          <w:color w:val="auto"/>
        </w:rPr>
      </w:pPr>
      <w:r>
        <w:rPr>
          <w:rFonts w:ascii="Arial" w:cs="Arial" w:eastAsia="Arial" w:hAnsi="Arial"/>
          <w:sz w:val="17"/>
          <w:szCs w:val="17"/>
          <w:color w:val="auto"/>
        </w:rPr>
        <w:t>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financial statements as a discrete item in Income Tax Provision and in Expenses related to Mexican tax matters, respectively.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2013 Assessment</w:t>
      </w:r>
    </w:p>
    <w:p>
      <w:pPr>
        <w:spacing w:after="0" w:line="234" w:lineRule="exact"/>
        <w:rPr>
          <w:sz w:val="20"/>
          <w:szCs w:val="20"/>
          <w:color w:val="auto"/>
        </w:rPr>
      </w:pPr>
    </w:p>
    <w:p>
      <w:pPr>
        <w:ind w:left="80" w:right="240" w:firstLine="259"/>
        <w:spacing w:after="0" w:line="311" w:lineRule="auto"/>
        <w:rPr>
          <w:sz w:val="20"/>
          <w:szCs w:val="20"/>
          <w:color w:val="auto"/>
        </w:rPr>
      </w:pPr>
      <w:r>
        <w:rPr>
          <w:rFonts w:ascii="Arial" w:cs="Arial" w:eastAsia="Arial" w:hAnsi="Arial"/>
          <w:sz w:val="16"/>
          <w:szCs w:val="16"/>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w:t>
      </w:r>
    </w:p>
    <w:p>
      <w:pPr>
        <w:sectPr>
          <w:pgSz w:w="11900" w:h="16838" w:orient="portrait"/>
          <w:cols w:equalWidth="0" w:num="1">
            <w:col w:w="9080"/>
          </w:cols>
          <w:pgMar w:left="1400" w:top="517" w:right="14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these preliminary observations during our second fiscal quarter of 2017. During the period from our third fiscal quarter 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88" w:lineRule="exact"/>
        <w:rPr>
          <w:sz w:val="20"/>
          <w:szCs w:val="20"/>
          <w:color w:val="auto"/>
        </w:rPr>
      </w:pPr>
    </w:p>
    <w:p>
      <w:pPr>
        <w:ind w:left="40" w:right="259" w:firstLine="259"/>
        <w:spacing w:after="0" w:line="254"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$126.6 million USD at January 31, 2022) related to Income Tax, Flat Rate Business Tax, and value added tax, related to this fiscal 2013 tax audit. This amount has been adjusted for inflation as of January 31, 2022 to the amount of $3.08 billion Mexican pesos (approx. $148.6 million USD). Additionally, the tax authorities have determined that we owe our employee’s profit-sharing liability, totaling approximately $118 million Mexican pesos (approx. $5.7 million USD at January 31, 2022).</w:t>
      </w:r>
    </w:p>
    <w:p>
      <w:pPr>
        <w:spacing w:after="0" w:line="195"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Note 11 regarding IVA refunds) indicating that they believe that our legal interpretation is accurate on a matter that is also central to the 2013 Assessment. We believe this recent ruling significantly undermines the 2013 Assessment.</w:t>
      </w:r>
    </w:p>
    <w:p>
      <w:pPr>
        <w:spacing w:after="0" w:line="195"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77"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We strongly disagree with above actions taken and conclusions reached by the SAT. We have taken several measures in vigorous defense of our position, as explained below.</w:t>
      </w:r>
    </w:p>
    <w:p>
      <w:pPr>
        <w:spacing w:after="0" w:line="170"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 xml:space="preserve">On August 27, 2021, we filed a formal complaint, or </w:t>
      </w:r>
      <w:r>
        <w:rPr>
          <w:rFonts w:ascii="Arial" w:cs="Arial" w:eastAsia="Arial" w:hAnsi="Arial"/>
          <w:sz w:val="17"/>
          <w:szCs w:val="17"/>
          <w:i w:val="1"/>
          <w:iCs w:val="1"/>
          <w:color w:val="auto"/>
        </w:rPr>
        <w:t>queja</w:t>
      </w:r>
      <w:r>
        <w:rPr>
          <w:rFonts w:ascii="Arial" w:cs="Arial" w:eastAsia="Arial" w:hAnsi="Arial"/>
          <w:sz w:val="17"/>
          <w:szCs w:val="17"/>
          <w:color w:val="auto"/>
        </w:rPr>
        <w:t>, (the Complaint) before the PRODECON to request its assistance with having the SAT act upon the Reconsideration. This complaint was withdrawn in September, but may still be reinstated if deemed appropriate in the future. It should be noted that although the SAT is not obligated to act upon the Reconsideration, however, we believe that having the option of re-filing the PRODECON Complaint makes it likely that the SAT will respond to the Administrative Reconsideration and be open to settlement discussions.</w:t>
      </w:r>
    </w:p>
    <w:p>
      <w:pPr>
        <w:spacing w:after="0" w:line="176" w:lineRule="exact"/>
        <w:rPr>
          <w:sz w:val="20"/>
          <w:szCs w:val="20"/>
          <w:color w:val="auto"/>
        </w:rPr>
      </w:pPr>
    </w:p>
    <w:p>
      <w:pPr>
        <w:ind w:left="40" w:right="359" w:firstLine="259"/>
        <w:spacing w:after="0" w:line="255" w:lineRule="auto"/>
        <w:rPr>
          <w:sz w:val="20"/>
          <w:szCs w:val="20"/>
          <w:color w:val="auto"/>
        </w:rPr>
      </w:pPr>
      <w:r>
        <w:rPr>
          <w:rFonts w:ascii="Arial" w:cs="Arial" w:eastAsia="Arial" w:hAnsi="Arial"/>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5" w:lineRule="auto"/>
        <w:tabs>
          <w:tab w:leader="none" w:pos="162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Failure to recognize CDM as a “maquiladora”</w:t>
      </w:r>
    </w:p>
    <w:p>
      <w:pPr>
        <w:ind w:left="1620" w:hanging="321"/>
        <w:spacing w:after="0" w:line="232" w:lineRule="auto"/>
        <w:tabs>
          <w:tab w:leader="none" w:pos="162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Considering the Company to have a permanent establishment in Mexico,</w:t>
      </w:r>
    </w:p>
    <w:p>
      <w:pPr>
        <w:ind w:left="1620" w:hanging="321"/>
        <w:spacing w:after="0" w:line="232" w:lineRule="auto"/>
        <w:tabs>
          <w:tab w:leader="none" w:pos="162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Including fruit purchase deposits transferred by the Company to CDM as taxable,</w:t>
      </w:r>
    </w:p>
    <w:p>
      <w:pPr>
        <w:ind w:left="1620" w:hanging="321"/>
        <w:spacing w:after="0" w:line="232" w:lineRule="auto"/>
        <w:tabs>
          <w:tab w:leader="none" w:pos="162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Application of 16% IVA tax to fruit purchase deposits</w:t>
      </w:r>
    </w:p>
    <w:p>
      <w:pPr>
        <w:ind w:left="1620" w:hanging="321"/>
        <w:spacing w:after="0" w:line="232" w:lineRule="auto"/>
        <w:tabs>
          <w:tab w:leader="none" w:pos="162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Imposing double-taxation on the fruit purchase transactions</w:t>
      </w:r>
    </w:p>
    <w:p>
      <w:pPr>
        <w:spacing w:after="0" w:line="202" w:lineRule="exact"/>
        <w:rPr>
          <w:sz w:val="20"/>
          <w:szCs w:val="20"/>
          <w:color w:val="auto"/>
        </w:rPr>
      </w:pPr>
    </w:p>
    <w:p>
      <w:pPr>
        <w:ind w:left="40" w:right="219" w:firstLine="259"/>
        <w:spacing w:after="0" w:line="293" w:lineRule="auto"/>
        <w:rPr>
          <w:sz w:val="20"/>
          <w:szCs w:val="20"/>
          <w:color w:val="auto"/>
        </w:rPr>
      </w:pPr>
      <w:r>
        <w:rPr>
          <w:rFonts w:ascii="Arial" w:cs="Arial" w:eastAsia="Arial" w:hAnsi="Arial"/>
          <w:sz w:val="16"/>
          <w:szCs w:val="16"/>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t>
      </w:r>
      <w:r>
        <w:rPr>
          <w:rFonts w:ascii="Arial" w:cs="Arial" w:eastAsia="Arial" w:hAnsi="Arial"/>
          <w:sz w:val="16"/>
          <w:szCs w:val="16"/>
          <w:i w:val="1"/>
          <w:iCs w:val="1"/>
          <w:color w:val="auto"/>
        </w:rPr>
        <w:t>Juicio de Amparo</w:t>
      </w:r>
      <w:r>
        <w:rPr>
          <w:rFonts w:ascii="Arial" w:cs="Arial" w:eastAsia="Arial" w:hAnsi="Arial"/>
          <w:sz w:val="16"/>
          <w:szCs w:val="16"/>
          <w:color w:val="auto"/>
        </w:rPr>
        <w:t>) with a federal district court seeking to nullify the arguments against the Reconsideration made by the SAT on constitutional grounds. On February 25, 2022, we filed a supplemental Injunction Suit in which we seek to have the liens against the bank accounts of CDM lifted. The injunction suits have been accepted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96" w:lineRule="auto"/>
        <w:rPr>
          <w:sz w:val="20"/>
          <w:szCs w:val="20"/>
          <w:color w:val="auto"/>
        </w:rPr>
      </w:pPr>
      <w:r>
        <w:rPr>
          <w:rFonts w:ascii="Arial" w:cs="Arial" w:eastAsia="Arial" w:hAnsi="Arial"/>
          <w:sz w:val="16"/>
          <w:szCs w:val="16"/>
          <w:color w:val="auto"/>
        </w:rPr>
        <w:t>by the court and we are expecting a response by September 2022. The main purpose of the Amparo was to challenge the response issued to the Reconsideration, and with that, to keep the Reconsideration alive until the Amparo is decided. This would allow time to continue the discussions with SAT at the administrative level and would give SAT the legal basis to issue a new resolution in terms of what may be agreed in the ongoing discussions with SAT. This Amparo represents a further opportunity as well for a Court of Law to analyze this matter from a constitutional perspective.</w:t>
      </w:r>
    </w:p>
    <w:p>
      <w:pPr>
        <w:spacing w:after="0" w:line="161" w:lineRule="exact"/>
        <w:rPr>
          <w:sz w:val="20"/>
          <w:szCs w:val="20"/>
          <w:color w:val="auto"/>
        </w:rPr>
      </w:pPr>
    </w:p>
    <w:p>
      <w:pPr>
        <w:ind w:left="40" w:right="179" w:firstLine="259"/>
        <w:spacing w:after="0" w:line="291" w:lineRule="auto"/>
        <w:rPr>
          <w:sz w:val="20"/>
          <w:szCs w:val="20"/>
          <w:color w:val="auto"/>
        </w:rPr>
      </w:pPr>
      <w:r>
        <w:rPr>
          <w:rFonts w:ascii="Arial" w:cs="Arial" w:eastAsia="Arial" w:hAnsi="Arial"/>
          <w:sz w:val="16"/>
          <w:szCs w:val="16"/>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 On March 10, 2022, we met with the SAT and offered an Administrative Guaranty (</w:t>
      </w:r>
      <w:r>
        <w:rPr>
          <w:rFonts w:ascii="Arial" w:cs="Arial" w:eastAsia="Arial" w:hAnsi="Arial"/>
          <w:sz w:val="16"/>
          <w:szCs w:val="16"/>
          <w:i w:val="1"/>
          <w:iCs w:val="1"/>
          <w:color w:val="auto"/>
        </w:rPr>
        <w:t>Embargo en Via Administrativa)</w:t>
      </w:r>
      <w:r>
        <w:rPr>
          <w:rFonts w:ascii="Arial" w:cs="Arial" w:eastAsia="Arial" w:hAnsi="Arial"/>
          <w:sz w:val="16"/>
          <w:szCs w:val="16"/>
          <w:color w:val="auto"/>
        </w:rPr>
        <w:t xml:space="preserve"> to secure the 2013 Assessment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provides the SAT with certain administrative rights to CDM assets in the unlikely event we do not prevail in our actions through the Federal Tax Court (see below) or in the Reconsideration process. Once the Administrative Guaranty is in place, the existing liens over the assets of CDM will be removed and the SAT collection process will be suspended.</w:t>
      </w:r>
    </w:p>
    <w:p>
      <w:pPr>
        <w:spacing w:after="0" w:line="166" w:lineRule="exact"/>
        <w:rPr>
          <w:sz w:val="20"/>
          <w:szCs w:val="20"/>
          <w:color w:val="auto"/>
        </w:rPr>
      </w:pPr>
    </w:p>
    <w:p>
      <w:pPr>
        <w:ind w:left="40" w:right="59" w:firstLine="225"/>
        <w:spacing w:after="0" w:line="257" w:lineRule="auto"/>
        <w:rPr>
          <w:sz w:val="20"/>
          <w:szCs w:val="20"/>
          <w:color w:val="auto"/>
        </w:rPr>
      </w:pPr>
      <w:r>
        <w:rPr>
          <w:rFonts w:ascii="Arial" w:cs="Arial" w:eastAsia="Arial" w:hAnsi="Arial"/>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8"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 The Company has presented the Federal Tax Court with evidence of the above offer of the Administrative Guaranty to the SAT, and in connection therewith, expects that the Federal Tax Court will issue a definitive suspension of collections proceedings.</w:t>
      </w:r>
    </w:p>
    <w:p>
      <w:pPr>
        <w:spacing w:after="0" w:line="161" w:lineRule="exact"/>
        <w:rPr>
          <w:sz w:val="20"/>
          <w:szCs w:val="20"/>
          <w:color w:val="auto"/>
        </w:rPr>
      </w:pPr>
    </w:p>
    <w:p>
      <w:pPr>
        <w:ind w:left="40" w:right="179" w:firstLine="259"/>
        <w:spacing w:after="0" w:line="269" w:lineRule="auto"/>
        <w:rPr>
          <w:sz w:val="20"/>
          <w:szCs w:val="20"/>
          <w:color w:val="auto"/>
        </w:rPr>
      </w:pPr>
      <w:r>
        <w:rPr>
          <w:rFonts w:ascii="Arial" w:cs="Arial" w:eastAsia="Arial" w:hAnsi="Arial"/>
          <w:sz w:val="17"/>
          <w:szCs w:val="17"/>
          <w:color w:val="auto"/>
        </w:rPr>
        <w:t>While we continue to believe that the 2013 Assessment is completely without merit, and that we will prevail on the Annulment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January 31, 2022 based on or cumulative probability analysis. We incurred $0.4 million of related professional fees for the three months ended January 31, 2022, which have been recorded in Expenses related to Mexican Tax matters.</w:t>
      </w:r>
    </w:p>
    <w:p>
      <w:pPr>
        <w:spacing w:after="0" w:line="181"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January 31, 2022 that are measured on a recurring basis during the period, segregated by level within the fair value hierarchy:</w:t>
      </w:r>
    </w:p>
    <w:p>
      <w:pPr>
        <w:spacing w:after="0" w:line="243"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9"/>
          </w:tcPr>
          <w:p>
            <w:pPr>
              <w:jc w:val="right"/>
              <w:ind w:right="76"/>
              <w:spacing w:after="0"/>
              <w:rPr>
                <w:sz w:val="20"/>
                <w:szCs w:val="20"/>
                <w:color w:val="auto"/>
              </w:rPr>
            </w:pPr>
            <w:r>
              <w:rPr>
                <w:rFonts w:ascii="Arial" w:cs="Arial" w:eastAsia="Arial" w:hAnsi="Arial"/>
                <w:sz w:val="14"/>
                <w:szCs w:val="14"/>
                <w:b w:val="1"/>
                <w:bCs w:val="1"/>
                <w:color w:val="auto"/>
                <w:w w:val="95"/>
              </w:rPr>
              <w:t>(All amounts are pres</w:t>
            </w:r>
            <w:r>
              <w:rPr>
                <w:rFonts w:ascii="Arial" w:cs="Arial" w:eastAsia="Arial" w:hAnsi="Arial"/>
                <w:sz w:val="14"/>
                <w:szCs w:val="14"/>
                <w:color w:val="auto"/>
                <w:w w:val="95"/>
              </w:rPr>
              <w:t>e</w:t>
            </w:r>
            <w:r>
              <w:rPr>
                <w:rFonts w:ascii="Arial" w:cs="Arial" w:eastAsia="Arial" w:hAnsi="Arial"/>
                <w:sz w:val="14"/>
                <w:szCs w:val="14"/>
                <w:b w:val="1"/>
                <w:bCs w:val="1"/>
                <w:color w:val="auto"/>
                <w:w w:val="95"/>
              </w:rPr>
              <w:t>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January 31, 2022: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$ 24,925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$ 24,925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$ 24,925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2021: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$ 27,055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$ 27,055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$ 27,055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1260" w:right="99" w:hanging="322"/>
        <w:spacing w:after="0" w:line="233" w:lineRule="auto"/>
        <w:tabs>
          <w:tab w:leader="none" w:pos="1247"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January 31, 2022 and 2021, we recognized losses of $2.1 million and gains of $3.6 million on the consolidated condensed statement of operations.</w:t>
      </w:r>
    </w:p>
    <w:p>
      <w:pPr>
        <w:spacing w:after="0" w:line="117" w:lineRule="exact"/>
        <w:rPr>
          <w:rFonts w:ascii="Arial" w:cs="Arial" w:eastAsia="Arial" w:hAnsi="Arial"/>
          <w:sz w:val="14"/>
          <w:szCs w:val="14"/>
          <w:color w:val="auto"/>
        </w:rPr>
      </w:pPr>
    </w:p>
    <w:p>
      <w:pPr>
        <w:ind w:left="340" w:hanging="296"/>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January 31,</w:t>
            </w:r>
          </w:p>
        </w:tc>
      </w:tr>
      <w:tr>
        <w:trPr>
          <w:trHeight w:val="142"/>
        </w:trPr>
        <w:tc>
          <w:tcPr>
            <w:tcW w:w="54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CCEEFF"/>
            </w:tcBorders>
          </w:tcPr>
          <w:p>
            <w:pPr>
              <w:spacing w:after="0"/>
              <w:rPr>
                <w:sz w:val="12"/>
                <w:szCs w:val="12"/>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5,277</w:t>
            </w:r>
          </w:p>
        </w:tc>
        <w:tc>
          <w:tcPr>
            <w:tcW w:w="7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17,599</w:t>
            </w:r>
          </w:p>
        </w:tc>
        <w:tc>
          <w:tcPr>
            <w:tcW w:w="7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stock/options (1)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80" w:type="dxa"/>
            <w:vAlign w:val="bottom"/>
            <w:shd w:val="clear" w:color="auto" w:fill="CCEEFF"/>
          </w:tcPr>
          <w:p>
            <w:pPr>
              <w:spacing w:after="0"/>
              <w:rPr>
                <w:sz w:val="18"/>
                <w:szCs w:val="18"/>
                <w:color w:val="auto"/>
              </w:rPr>
            </w:pPr>
          </w:p>
        </w:tc>
      </w:tr>
      <w:tr>
        <w:trPr>
          <w:trHeight w:val="25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w:t>
            </w:r>
          </w:p>
        </w:tc>
        <w:tc>
          <w:tcPr>
            <w:tcW w:w="780" w:type="dxa"/>
            <w:vAlign w:val="bottom"/>
            <w:tcBorders>
              <w:bottom w:val="single" w:sz="8" w:color="CCEEFF"/>
            </w:tcBorders>
          </w:tcPr>
          <w:p>
            <w:pPr>
              <w:spacing w:after="0"/>
              <w:rPr>
                <w:sz w:val="21"/>
                <w:szCs w:val="2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Net income (loss) per share attributable to Calavo Growers, Inc:</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0.30</w:t>
            </w:r>
          </w:p>
        </w:tc>
        <w:tc>
          <w:tcPr>
            <w:tcW w:w="7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7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720" w:right="319" w:hanging="325"/>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January 31, 2022, approximately 43,000 shares of common stock equivalents were excluded in the computation of diluted net loss per share, as the effect would be anti-dilutive since the Company reported a net loss.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left="40" w:right="49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65" w:lineRule="exact"/>
        <w:rPr>
          <w:sz w:val="20"/>
          <w:szCs w:val="20"/>
          <w:color w:val="auto"/>
        </w:rPr>
      </w:pPr>
    </w:p>
    <w:p>
      <w:pPr>
        <w:ind w:left="40" w:right="199" w:firstLine="259"/>
        <w:spacing w:after="0" w:line="253" w:lineRule="auto"/>
        <w:rPr>
          <w:sz w:val="20"/>
          <w:szCs w:val="20"/>
          <w:color w:val="auto"/>
        </w:rPr>
      </w:pPr>
      <w:r>
        <w:rPr>
          <w:rFonts w:ascii="Arial" w:cs="Arial" w:eastAsia="Arial" w:hAnsi="Arial"/>
          <w:sz w:val="18"/>
          <w:szCs w:val="18"/>
          <w:color w:val="auto"/>
        </w:rPr>
        <w:t>As of January 31, 2022, and October 31, 2021, CDM IVA receivables totaled $38.2 million (792.6 million Mexican pesos) and $37.5 million (762.1 million Mexican pesos). Historically, CDM received IVA refund payments from the Mexican tax authorities on a timely basis. Beginning in fiscal 2014 and continuing into fiscal 2022,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96"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59" w:firstLine="259"/>
        <w:spacing w:after="0" w:line="271" w:lineRule="auto"/>
        <w:rPr>
          <w:sz w:val="20"/>
          <w:szCs w:val="20"/>
          <w:color w:val="auto"/>
        </w:rPr>
      </w:pPr>
      <w:r>
        <w:rPr>
          <w:rFonts w:ascii="Arial" w:cs="Arial" w:eastAsia="Arial" w:hAnsi="Arial"/>
          <w:sz w:val="17"/>
          <w:szCs w:val="17"/>
          <w:color w:val="auto"/>
        </w:rPr>
        <w:t>In spite of the favorable ruling from the SAT’s Legal Administration in Michoacan, as discussed above, the local SAT office continues to believe that CDM is not properly documented relative to its declared tax structure. As a result, they believe CDM cannot claim certain refundable IVA balances, specifically regarding our IVA refunds related to 2013, 2014, 2015, and 2016, and January and February of 2017. CDM has strong arguments and supporting documentation to sustain its declared tax structure for IVA and income tax purposes. With assistance from our internationally recognized tax advisory firm, as of January 31, 2022, CDM has filed Administrative Appeals for months for which IVA refunds have been denied by the SAT, and will continue filing such appeals for any months for which refunds are denied in the future. A response to these Administrative Appeals is currently pending resolution.</w:t>
      </w:r>
    </w:p>
    <w:p>
      <w:pPr>
        <w:spacing w:after="0" w:line="178" w:lineRule="exact"/>
        <w:rPr>
          <w:sz w:val="20"/>
          <w:szCs w:val="20"/>
          <w:color w:val="auto"/>
        </w:rPr>
      </w:pPr>
    </w:p>
    <w:p>
      <w:pPr>
        <w:ind w:left="40" w:right="199" w:firstLine="259"/>
        <w:spacing w:after="0" w:line="279" w:lineRule="auto"/>
        <w:rPr>
          <w:sz w:val="20"/>
          <w:szCs w:val="20"/>
          <w:color w:val="auto"/>
        </w:rPr>
      </w:pPr>
      <w:r>
        <w:rPr>
          <w:rFonts w:ascii="Arial" w:cs="Arial" w:eastAsia="Arial" w:hAnsi="Arial"/>
          <w:sz w:val="17"/>
          <w:szCs w:val="17"/>
          <w:color w:val="auto"/>
        </w:rPr>
        <w:t>In light of the foregoing, the Company is currently considering its options for resolution of the VAT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71" w:lineRule="exact"/>
        <w:rPr>
          <w:sz w:val="20"/>
          <w:szCs w:val="20"/>
          <w:color w:val="auto"/>
        </w:rPr>
      </w:pPr>
    </w:p>
    <w:p>
      <w:pPr>
        <w:jc w:val="both"/>
        <w:ind w:left="40" w:right="59" w:firstLine="259"/>
        <w:spacing w:after="0" w:line="286" w:lineRule="auto"/>
        <w:rPr>
          <w:sz w:val="20"/>
          <w:szCs w:val="20"/>
          <w:color w:val="auto"/>
        </w:rPr>
      </w:pPr>
      <w:r>
        <w:rPr>
          <w:rFonts w:ascii="Arial" w:cs="Arial" w:eastAsia="Arial" w:hAnsi="Arial"/>
          <w:sz w:val="17"/>
          <w:szCs w:val="17"/>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Credit Facility</w:t>
      </w:r>
    </w:p>
    <w:p>
      <w:pPr>
        <w:spacing w:after="0" w:line="229" w:lineRule="exact"/>
        <w:rPr>
          <w:sz w:val="20"/>
          <w:szCs w:val="20"/>
          <w:color w:val="auto"/>
        </w:rPr>
      </w:pPr>
    </w:p>
    <w:p>
      <w:pPr>
        <w:ind w:left="40" w:right="99" w:firstLine="225"/>
        <w:spacing w:after="0" w:line="257" w:lineRule="auto"/>
        <w:rPr>
          <w:sz w:val="20"/>
          <w:szCs w:val="20"/>
          <w:color w:val="auto"/>
        </w:rPr>
      </w:pPr>
      <w:r>
        <w:rPr>
          <w:rFonts w:ascii="Arial" w:cs="Arial" w:eastAsia="Arial" w:hAnsi="Arial"/>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Calavo de Mexico (CDM) as a guarantor, increased the interest rate by 0.5% and amended the financial covenant requirements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25"/>
        <w:spacing w:after="0" w:line="29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Fixed Charge Coverage Ratio (FCCR) covenant will be waived for the quarters ended October 31, 2021, January 31, 2022 and April 30, 2022. The covenant will resume for the quarter ended July 31, 2022.</w:t>
      </w:r>
    </w:p>
    <w:p>
      <w:pPr>
        <w:jc w:val="both"/>
        <w:ind w:left="720" w:right="659" w:hanging="325"/>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FCCR covenant will be replaced by a cumulative monthly minimum Consolidated EBITDA covenant, with the first measurement to occur as of January 31, 2022 for the three months then ended, and continuing monthly thereafter through June 2022.</w:t>
      </w:r>
    </w:p>
    <w:p>
      <w:pPr>
        <w:spacing w:after="0" w:line="1" w:lineRule="exact"/>
        <w:rPr>
          <w:rFonts w:ascii="Arial" w:cs="Arial" w:eastAsia="Arial" w:hAnsi="Arial"/>
          <w:sz w:val="18"/>
          <w:szCs w:val="18"/>
          <w:color w:val="auto"/>
        </w:rPr>
      </w:pPr>
    </w:p>
    <w:p>
      <w:pPr>
        <w:ind w:left="720" w:right="299" w:hanging="325"/>
        <w:spacing w:after="0" w:line="323"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Consolidated financial statements must be submitted monthly for the month and year-to-date period, beginning with the financial statements for the month of November 2021 and continuing through June 2022.</w:t>
      </w:r>
    </w:p>
    <w:p>
      <w:pPr>
        <w:spacing w:after="0" w:line="138" w:lineRule="exact"/>
        <w:rPr>
          <w:sz w:val="20"/>
          <w:szCs w:val="20"/>
          <w:color w:val="auto"/>
        </w:rPr>
      </w:pPr>
    </w:p>
    <w:p>
      <w:pPr>
        <w:ind w:left="40" w:right="259" w:firstLine="180"/>
        <w:spacing w:after="0" w:line="277" w:lineRule="auto"/>
        <w:rPr>
          <w:sz w:val="20"/>
          <w:szCs w:val="20"/>
          <w:color w:val="auto"/>
        </w:rPr>
      </w:pPr>
      <w:r>
        <w:rPr>
          <w:rFonts w:ascii="Arial" w:cs="Arial" w:eastAsia="Arial" w:hAnsi="Arial"/>
          <w:sz w:val="18"/>
          <w:szCs w:val="18"/>
          <w:color w:val="auto"/>
        </w:rPr>
        <w:t>The Company also pledged the 1,677,000 shares it holds of Limoneira stock as collateral (which was in addition to the general business assets of the Company that already secure the credit facility).</w:t>
      </w:r>
    </w:p>
    <w:p>
      <w:pPr>
        <w:spacing w:after="0" w:line="170" w:lineRule="exact"/>
        <w:rPr>
          <w:sz w:val="20"/>
          <w:szCs w:val="20"/>
          <w:color w:val="auto"/>
        </w:rPr>
      </w:pPr>
    </w:p>
    <w:p>
      <w:pPr>
        <w:ind w:left="80" w:right="379" w:firstLine="135"/>
        <w:spacing w:after="0" w:line="277" w:lineRule="auto"/>
        <w:rPr>
          <w:sz w:val="20"/>
          <w:szCs w:val="20"/>
          <w:color w:val="auto"/>
        </w:rPr>
      </w:pPr>
      <w:r>
        <w:rPr>
          <w:rFonts w:ascii="Arial" w:cs="Arial" w:eastAsia="Arial" w:hAnsi="Arial"/>
          <w:sz w:val="18"/>
          <w:szCs w:val="18"/>
          <w:color w:val="auto"/>
        </w:rPr>
        <w:t>The above terms and conditions will remain in effect until such time as the Company has certified compliance with a 1.15 to 1.0 minimum FCCR for two consecutive fiscal quarters.</w:t>
      </w:r>
    </w:p>
    <w:p>
      <w:pPr>
        <w:spacing w:after="0" w:line="170" w:lineRule="exact"/>
        <w:rPr>
          <w:sz w:val="20"/>
          <w:szCs w:val="20"/>
          <w:color w:val="auto"/>
        </w:rPr>
      </w:pPr>
    </w:p>
    <w:p>
      <w:pPr>
        <w:ind w:left="40" w:right="239" w:firstLine="225"/>
        <w:spacing w:after="0" w:line="275" w:lineRule="auto"/>
        <w:rPr>
          <w:sz w:val="20"/>
          <w:szCs w:val="20"/>
          <w:color w:val="auto"/>
        </w:rPr>
      </w:pPr>
      <w:r>
        <w:rPr>
          <w:rFonts w:ascii="Arial" w:cs="Arial" w:eastAsia="Arial" w:hAnsi="Arial"/>
          <w:sz w:val="17"/>
          <w:szCs w:val="17"/>
          <w:color w:val="auto"/>
        </w:rPr>
        <w:t>As of January 31, 2022, the Company was not in compliance with the cumulative monthly minimum Consolidated EBITDA covenant, and the Consolidated Leverage Ratio (CLR) covenant. In March 2022, the Company and the Lenders entered into the Sixth Amendment, Limited Waiver, and Limited Consent to Credit Agreement (the “sixth Amendment”). The Sixth Amendment, among other terms, waived the non-compliance of the financial covenants as of January 31, 2022 and amended the financial covenant requirements as follows:</w:t>
      </w:r>
    </w:p>
    <w:p>
      <w:pPr>
        <w:spacing w:after="0" w:line="176" w:lineRule="exact"/>
        <w:rPr>
          <w:sz w:val="20"/>
          <w:szCs w:val="20"/>
          <w:color w:val="auto"/>
        </w:rPr>
      </w:pPr>
    </w:p>
    <w:p>
      <w:pPr>
        <w:ind w:left="980" w:right="419" w:hanging="329"/>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cumulative monthly minimum Consolidated EBITDA testing has been waived and the CLR covenant testing is waived through July 31, 2022.</w:t>
      </w:r>
    </w:p>
    <w:p>
      <w:pPr>
        <w:spacing w:after="0" w:line="1" w:lineRule="exact"/>
        <w:rPr>
          <w:rFonts w:ascii="Arial" w:cs="Arial" w:eastAsia="Arial" w:hAnsi="Arial"/>
          <w:sz w:val="18"/>
          <w:szCs w:val="18"/>
          <w:color w:val="auto"/>
        </w:rPr>
      </w:pPr>
    </w:p>
    <w:p>
      <w:pPr>
        <w:ind w:left="980" w:right="179" w:hanging="329"/>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Consolidated EBITDA of $3 million, $3 million and $5 million for the months of February, March and April 2022 will be required.</w:t>
      </w:r>
    </w:p>
    <w:p>
      <w:pPr>
        <w:ind w:left="980" w:right="339" w:hanging="329"/>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Monthly cumulative FCCR of 1.20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230" w:lineRule="exact"/>
        <w:rPr>
          <w:sz w:val="20"/>
          <w:szCs w:val="20"/>
          <w:color w:val="auto"/>
        </w:rPr>
      </w:pPr>
    </w:p>
    <w:p>
      <w:pPr>
        <w:ind w:left="40" w:right="199" w:firstLine="180"/>
        <w:spacing w:after="0" w:line="257" w:lineRule="auto"/>
        <w:rPr>
          <w:sz w:val="20"/>
          <w:szCs w:val="20"/>
          <w:color w:val="auto"/>
        </w:rPr>
      </w:pPr>
      <w:r>
        <w:rPr>
          <w:rFonts w:ascii="Arial" w:cs="Arial" w:eastAsia="Arial" w:hAnsi="Arial"/>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plus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expect to remain in compliance with the Credit Agreement, as so amended, through March 2023.</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COVID-19 Pandemic Impact</w:t>
      </w:r>
    </w:p>
    <w:p>
      <w:pPr>
        <w:spacing w:after="0" w:line="229"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79" w:firstLine="180"/>
        <w:spacing w:after="0" w:line="270" w:lineRule="auto"/>
        <w:rPr>
          <w:sz w:val="20"/>
          <w:szCs w:val="20"/>
          <w:color w:val="auto"/>
        </w:rPr>
      </w:pPr>
      <w:r>
        <w:rPr>
          <w:rFonts w:ascii="Arial" w:cs="Arial" w:eastAsia="Arial" w:hAnsi="Arial"/>
          <w:sz w:val="17"/>
          <w:szCs w:val="17"/>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however, that we are well-positioned for the future as we continue to navigate the crisis and have successfully implemented contingency plans in the U.S. and in Mexico to monitor the evolving needs of our businesses, as well as those related to our Peru partner in consignment avocado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25"/>
        <w:spacing w:after="0" w:line="263" w:lineRule="auto"/>
        <w:rPr>
          <w:sz w:val="20"/>
          <w:szCs w:val="20"/>
          <w:color w:val="auto"/>
        </w:rPr>
      </w:pPr>
      <w:r>
        <w:rPr>
          <w:rFonts w:ascii="Arial" w:cs="Arial" w:eastAsia="Arial" w:hAnsi="Arial"/>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84" w:lineRule="exact"/>
        <w:rPr>
          <w:sz w:val="20"/>
          <w:szCs w:val="20"/>
          <w:color w:val="auto"/>
        </w:rPr>
      </w:pPr>
    </w:p>
    <w:p>
      <w:pPr>
        <w:ind w:left="40" w:right="219" w:firstLine="225"/>
        <w:spacing w:after="0" w:line="257" w:lineRule="auto"/>
        <w:rPr>
          <w:sz w:val="20"/>
          <w:szCs w:val="20"/>
          <w:color w:val="auto"/>
        </w:rPr>
      </w:pPr>
      <w:r>
        <w:rPr>
          <w:rFonts w:ascii="Arial" w:cs="Arial" w:eastAsia="Arial" w:hAnsi="Arial"/>
          <w:sz w:val="18"/>
          <w:szCs w:val="18"/>
          <w:color w:val="auto"/>
        </w:rPr>
        <w:t>In early 2021, health agencies approved vaccines for combating the COVID-19 virus. In November 2021, the omicron variant of the SARS-COV-2 virus has started to spread throughout the world, which led to further pandemic restrictions. While many of such restrictions have since been lifted, the pace of the recovery from the COVID-19 pandemic is not presently known. We cannot reasonably estimate the duration or extent of the pandemic’s adverse impact on our business, operating results, and long-term liquidity position.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Closure of RFG Florida facility</w:t>
      </w:r>
    </w:p>
    <w:p>
      <w:pPr>
        <w:spacing w:after="0" w:line="229" w:lineRule="exact"/>
        <w:rPr>
          <w:sz w:val="20"/>
          <w:szCs w:val="20"/>
          <w:color w:val="auto"/>
        </w:rPr>
      </w:pPr>
    </w:p>
    <w:p>
      <w:pPr>
        <w:ind w:left="40" w:right="519" w:firstLine="180"/>
        <w:spacing w:after="0" w:line="263" w:lineRule="auto"/>
        <w:rPr>
          <w:sz w:val="20"/>
          <w:szCs w:val="20"/>
          <w:color w:val="auto"/>
        </w:rPr>
      </w:pPr>
      <w:r>
        <w:rPr>
          <w:rFonts w:ascii="Arial" w:cs="Arial" w:eastAsia="Arial" w:hAnsi="Arial"/>
          <w:sz w:val="18"/>
          <w:szCs w:val="18"/>
          <w:color w:val="auto"/>
        </w:rPr>
        <w:t>On November 15, 2021,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84" w:lineRule="exact"/>
        <w:rPr>
          <w:sz w:val="20"/>
          <w:szCs w:val="20"/>
          <w:color w:val="auto"/>
        </w:rPr>
      </w:pPr>
    </w:p>
    <w:p>
      <w:pPr>
        <w:ind w:left="40" w:right="99" w:firstLine="180"/>
        <w:spacing w:after="0" w:line="273" w:lineRule="auto"/>
        <w:rPr>
          <w:sz w:val="20"/>
          <w:szCs w:val="20"/>
          <w:color w:val="auto"/>
        </w:rPr>
      </w:pPr>
      <w:r>
        <w:rPr>
          <w:rFonts w:ascii="Arial" w:cs="Arial" w:eastAsia="Arial" w:hAnsi="Arial"/>
          <w:sz w:val="17"/>
          <w:szCs w:val="17"/>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RFG Florida closure has been recorded on the face of the income statement under “Impairment and charges related to RFG Florida facility closure”.</w:t>
      </w:r>
    </w:p>
    <w:p>
      <w:pPr>
        <w:spacing w:after="0" w:line="178" w:lineRule="exact"/>
        <w:rPr>
          <w:sz w:val="20"/>
          <w:szCs w:val="20"/>
          <w:color w:val="auto"/>
        </w:rPr>
      </w:pPr>
    </w:p>
    <w:p>
      <w:pPr>
        <w:ind w:left="40" w:right="99" w:firstLine="180"/>
        <w:spacing w:after="0" w:line="291" w:lineRule="auto"/>
        <w:rPr>
          <w:sz w:val="20"/>
          <w:szCs w:val="20"/>
          <w:color w:val="auto"/>
        </w:rPr>
      </w:pPr>
      <w:r>
        <w:rPr>
          <w:rFonts w:ascii="Arial" w:cs="Arial" w:eastAsia="Arial" w:hAnsi="Arial"/>
          <w:sz w:val="16"/>
          <w:szCs w:val="16"/>
          <w:color w:val="auto"/>
        </w:rPr>
        <w:t>As of January 31, 2022 and October 31, 2021, the Company had right of use assets with a net book value of $4.4 million and $4.8 million respectively, and lease liabilities of $5.5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pacing w:after="0" w:line="166" w:lineRule="exact"/>
        <w:rPr>
          <w:sz w:val="20"/>
          <w:szCs w:val="20"/>
          <w:color w:val="auto"/>
        </w:rPr>
      </w:pPr>
    </w:p>
    <w:p>
      <w:pPr>
        <w:ind w:left="40" w:right="179" w:firstLine="180"/>
        <w:spacing w:after="0" w:line="277" w:lineRule="auto"/>
        <w:rPr>
          <w:sz w:val="20"/>
          <w:szCs w:val="20"/>
          <w:color w:val="auto"/>
        </w:rPr>
      </w:pPr>
      <w:r>
        <w:rPr>
          <w:rFonts w:ascii="Arial" w:cs="Arial" w:eastAsia="Arial" w:hAnsi="Arial"/>
          <w:sz w:val="18"/>
          <w:szCs w:val="18"/>
          <w:color w:val="auto"/>
        </w:rPr>
        <w:t>During the first quarter of fiscal 2022, we incurred $0.7 million of incremental restructuring and related costs due to the transition to other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2021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Mexican Avocado Imports</w:t>
      </w:r>
    </w:p>
    <w:p>
      <w:pPr>
        <w:spacing w:after="0" w:line="225" w:lineRule="exact"/>
        <w:rPr>
          <w:sz w:val="20"/>
          <w:szCs w:val="20"/>
          <w:color w:val="auto"/>
        </w:rPr>
      </w:pPr>
    </w:p>
    <w:p>
      <w:pPr>
        <w:jc w:val="both"/>
        <w:ind w:left="40" w:right="539" w:firstLine="135"/>
        <w:spacing w:after="0" w:line="311" w:lineRule="auto"/>
        <w:rPr>
          <w:sz w:val="20"/>
          <w:szCs w:val="20"/>
          <w:color w:val="auto"/>
        </w:rPr>
      </w:pPr>
      <w:r>
        <w:rPr>
          <w:rFonts w:ascii="Arial" w:cs="Arial" w:eastAsia="Arial" w:hAnsi="Arial"/>
          <w:sz w:val="16"/>
          <w:szCs w:val="16"/>
          <w:color w:val="auto"/>
        </w:rPr>
        <w:t>On February 11, 2022, the United States Department of Agriculture halted all imports of avocados coming into the United States from Mexico. This ban was lifted on February 18, 2022. This stoppage of imports did not significantly impact our operations or our customers and we do not expect this to have a negative impact on our financial results.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Pandemic Impact</w:t>
      </w:r>
    </w:p>
    <w:p>
      <w:pPr>
        <w:spacing w:after="0" w:line="225"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119" w:firstLine="180"/>
        <w:spacing w:after="0" w:line="270" w:lineRule="auto"/>
        <w:rPr>
          <w:sz w:val="20"/>
          <w:szCs w:val="20"/>
          <w:color w:val="auto"/>
        </w:rPr>
      </w:pPr>
      <w:r>
        <w:rPr>
          <w:rFonts w:ascii="Arial" w:cs="Arial" w:eastAsia="Arial" w:hAnsi="Arial"/>
          <w:sz w:val="17"/>
          <w:szCs w:val="17"/>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that we are well-positioned for the future as we continue to navigate the crisis and have successfully implemented contingency plans in the U.S. and in Mexico to monitor the evolving needs of our businesses in those countries, as well as those related to our Peru partner in consignment avocado sales.</w:t>
      </w:r>
    </w:p>
    <w:p>
      <w:pPr>
        <w:spacing w:after="0" w:line="181" w:lineRule="exact"/>
        <w:rPr>
          <w:sz w:val="20"/>
          <w:szCs w:val="20"/>
          <w:color w:val="auto"/>
        </w:rPr>
      </w:pPr>
    </w:p>
    <w:p>
      <w:pPr>
        <w:ind w:left="40" w:right="79" w:firstLine="225"/>
        <w:spacing w:after="0" w:line="263" w:lineRule="auto"/>
        <w:rPr>
          <w:sz w:val="20"/>
          <w:szCs w:val="20"/>
          <w:color w:val="auto"/>
        </w:rPr>
      </w:pPr>
      <w:r>
        <w:rPr>
          <w:rFonts w:ascii="Arial" w:cs="Arial" w:eastAsia="Arial" w:hAnsi="Arial"/>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84" w:lineRule="exact"/>
        <w:rPr>
          <w:sz w:val="20"/>
          <w:szCs w:val="20"/>
          <w:color w:val="auto"/>
        </w:rPr>
      </w:pPr>
    </w:p>
    <w:p>
      <w:pPr>
        <w:ind w:left="40" w:right="219" w:firstLine="225"/>
        <w:spacing w:after="0" w:line="257" w:lineRule="auto"/>
        <w:rPr>
          <w:sz w:val="20"/>
          <w:szCs w:val="20"/>
          <w:color w:val="auto"/>
        </w:rPr>
      </w:pPr>
      <w:r>
        <w:rPr>
          <w:rFonts w:ascii="Arial" w:cs="Arial" w:eastAsia="Arial" w:hAnsi="Arial"/>
          <w:sz w:val="18"/>
          <w:szCs w:val="18"/>
          <w:color w:val="auto"/>
        </w:rPr>
        <w:t>In early 2021, health agencies approved vaccines for combating the COVID-19 virus. In November 2021, the omicron variant of the SARS-COV-2 virus has started to spread throughout the world, which led to further pandemic restrictions. While many of such restrictions have since been lifted, the pace of the recovery from the COVID-19 pandemic is not presently known. We cannot reasonably estimate the duration or extent of the pandemic’s adverse impact on our business, operating results, and long-term liquidity position.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Recovery Economic Impact</w:t>
      </w:r>
    </w:p>
    <w:p>
      <w:pPr>
        <w:spacing w:after="0" w:line="225" w:lineRule="exact"/>
        <w:rPr>
          <w:sz w:val="20"/>
          <w:szCs w:val="20"/>
          <w:color w:val="auto"/>
        </w:rPr>
      </w:pPr>
    </w:p>
    <w:p>
      <w:pPr>
        <w:ind w:left="40" w:right="79" w:firstLine="243"/>
        <w:spacing w:after="0" w:line="259" w:lineRule="auto"/>
        <w:rPr>
          <w:sz w:val="20"/>
          <w:szCs w:val="20"/>
          <w:color w:val="auto"/>
        </w:rPr>
      </w:pPr>
      <w:r>
        <w:rPr>
          <w:rFonts w:ascii="Arial" w:cs="Arial" w:eastAsia="Arial" w:hAnsi="Arial"/>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225"/>
        <w:spacing w:after="0" w:line="279" w:lineRule="auto"/>
        <w:rPr>
          <w:sz w:val="20"/>
          <w:szCs w:val="20"/>
          <w:color w:val="auto"/>
        </w:rPr>
      </w:pPr>
      <w:r>
        <w:rPr>
          <w:rFonts w:ascii="Arial" w:cs="Arial" w:eastAsia="Arial" w:hAnsi="Arial"/>
          <w:sz w:val="17"/>
          <w:szCs w:val="17"/>
          <w:color w:val="auto"/>
        </w:rPr>
        <w:t>In response to the inflationary costs described above, we notified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3, 2021, we paid a $1.15 per share dividend in the aggregate amount of $20.3 million to shareholders of record on November 12,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Project Uno</w:t>
      </w:r>
    </w:p>
    <w:p>
      <w:pPr>
        <w:spacing w:after="0" w:line="225"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RFG Florida plant and transfer of its viable operations into RFG Georgia,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 The Company will continue to carry out the existing productivity initiatives as well as additional initiatives under this strategy in fiscal 2022.</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2011 Assessment</w:t>
      </w:r>
    </w:p>
    <w:p>
      <w:pPr>
        <w:spacing w:after="0" w:line="217" w:lineRule="exact"/>
        <w:rPr>
          <w:sz w:val="20"/>
          <w:szCs w:val="20"/>
          <w:color w:val="auto"/>
        </w:rPr>
      </w:pPr>
    </w:p>
    <w:p>
      <w:pPr>
        <w:ind w:left="40" w:right="139" w:firstLine="259"/>
        <w:spacing w:after="0" w:line="296" w:lineRule="auto"/>
        <w:rPr>
          <w:sz w:val="20"/>
          <w:szCs w:val="20"/>
          <w:color w:val="auto"/>
        </w:rPr>
      </w:pPr>
      <w:r>
        <w:rPr>
          <w:rFonts w:ascii="Arial" w:cs="Arial" w:eastAsia="Arial" w:hAnsi="Arial"/>
          <w:sz w:val="16"/>
          <w:szCs w:val="16"/>
          <w:color w:val="auto"/>
        </w:rPr>
        <w:t>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As a result, in April 2019, the MFM issued a final tax assessment to CDM (the “2011 Assessment”) totaling approximately $2.2 billion Mexican pesos related to Income Tax, Flat Rate Business Tax, and value added tax, corresponding to the fiscal year 2011 tax audit.</w:t>
      </w:r>
    </w:p>
    <w:p>
      <w:pPr>
        <w:spacing w:after="0" w:line="161"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On June 16, 2021, Calavo reached a settlement agreement with the MFM regarding the 2011 Assessment. Under the terms of the settlement, Calavo agreed to pay approximately $47.8 million Mexican pesos (approximately $2.4 million USD) as a full and final settlement of all taxes, fines and penalties asserted by the MFM. The settlement included $1.5 million USD of income taxes and $0.9 million USD of value added taxes, with both amounts including penalties and interest and inflationary adjustments, which have been recorded in the financial statements as a discrete item in Income Tax Provision and in Expenses related to Mexican tax matters, respectively.</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2013 Assessment</w:t>
      </w:r>
    </w:p>
    <w:p>
      <w:pPr>
        <w:spacing w:after="0" w:line="217" w:lineRule="exact"/>
        <w:rPr>
          <w:sz w:val="20"/>
          <w:szCs w:val="20"/>
          <w:color w:val="auto"/>
        </w:rPr>
      </w:pPr>
    </w:p>
    <w:p>
      <w:pPr>
        <w:ind w:left="40" w:right="219" w:firstLine="259"/>
        <w:spacing w:after="0" w:line="301" w:lineRule="auto"/>
        <w:rPr>
          <w:sz w:val="20"/>
          <w:szCs w:val="20"/>
          <w:color w:val="auto"/>
        </w:rPr>
      </w:pPr>
      <w:r>
        <w:rPr>
          <w:rFonts w:ascii="Arial" w:cs="Arial" w:eastAsia="Arial" w:hAnsi="Arial"/>
          <w:sz w:val="16"/>
          <w:szCs w:val="16"/>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of 2017 through our third fiscal quarter of 2018, we attempted to resolve our case with the SAT through the conclusive agreement submitted before PRODECON, having several working meetings attended by representatives of the SAT, CDM and the PRODECON. However, we were unable to materially resolve our case with the SAT through the PRODECON process.</w:t>
      </w:r>
    </w:p>
    <w:p>
      <w:pPr>
        <w:spacing w:after="0" w:line="187" w:lineRule="exact"/>
        <w:rPr>
          <w:sz w:val="20"/>
          <w:szCs w:val="20"/>
          <w:color w:val="auto"/>
        </w:rPr>
      </w:pPr>
    </w:p>
    <w:p>
      <w:pPr>
        <w:ind w:left="40" w:right="259" w:firstLine="259"/>
        <w:spacing w:after="0" w:line="254"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$126.6 million USD at January 31, 2022) related to Income Tax, Flat Rate Business Tax, and value added tax, related to this fiscal 2013 tax audit. This amount has been adjusted for inflation as of January 31, 2022 to the amount of $3.08 billion Mexican pesos (approx. $148.6 million USD). Additionally, the tax authorities have determined that we owe our employee’s profit-sharing liability, totaling approximately $118 million Mexican pesos (approx. $5.7 million USD at January 31, 2022).</w:t>
      </w:r>
    </w:p>
    <w:p>
      <w:pPr>
        <w:spacing w:after="0" w:line="195"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appealing our case to the SAT’s central legal department in Michoacan. Furthermore, in August 2018, we received a favorable ruling from the SAT’s central legal department in Michoacan on another tax matter (see Note 11 regarding IVA refunds) indicating that they believe that our legal interpretation is accurate on a matter that is also central to the 2013 Assessment. We believe this recent ruling significantly undermines the 2013 Assessment.</w:t>
      </w:r>
    </w:p>
    <w:p>
      <w:pPr>
        <w:spacing w:after="0" w:line="195"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 In addition, the SAT has placed liens on the fixed assets of CDM, with a net book value of approximately $26 million USD, and on bank accounts of CDM totaling approximately $1 million USD in order to guaranty the 2013 Assessment. For reasons explained below, we do not believe that these liens pose a risk to the ongoing business operations of CDM.</w:t>
      </w:r>
    </w:p>
    <w:p>
      <w:pPr>
        <w:spacing w:after="0" w:line="177"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We strongly disagree with above actions taken and conclusions reached by the SAT. We have taken several measures in vigorous defense of our position, as explained below.</w:t>
      </w:r>
    </w:p>
    <w:p>
      <w:pPr>
        <w:spacing w:after="0" w:line="170" w:lineRule="exact"/>
        <w:rPr>
          <w:sz w:val="20"/>
          <w:szCs w:val="20"/>
          <w:color w:val="auto"/>
        </w:rPr>
      </w:pPr>
    </w:p>
    <w:p>
      <w:pPr>
        <w:ind w:left="40" w:right="199" w:firstLine="259"/>
        <w:spacing w:after="0" w:line="296" w:lineRule="auto"/>
        <w:rPr>
          <w:sz w:val="20"/>
          <w:szCs w:val="20"/>
          <w:color w:val="auto"/>
        </w:rPr>
      </w:pPr>
      <w:r>
        <w:rPr>
          <w:rFonts w:ascii="Arial" w:cs="Arial" w:eastAsia="Arial" w:hAnsi="Arial"/>
          <w:sz w:val="16"/>
          <w:szCs w:val="16"/>
          <w:color w:val="auto"/>
        </w:rPr>
        <w:t xml:space="preserve">On August 27, 2021, we filed a formal complaint, or </w:t>
      </w:r>
      <w:r>
        <w:rPr>
          <w:rFonts w:ascii="Arial" w:cs="Arial" w:eastAsia="Arial" w:hAnsi="Arial"/>
          <w:sz w:val="16"/>
          <w:szCs w:val="16"/>
          <w:i w:val="1"/>
          <w:iCs w:val="1"/>
          <w:color w:val="auto"/>
        </w:rPr>
        <w:t>queja</w:t>
      </w:r>
      <w:r>
        <w:rPr>
          <w:rFonts w:ascii="Arial" w:cs="Arial" w:eastAsia="Arial" w:hAnsi="Arial"/>
          <w:sz w:val="16"/>
          <w:szCs w:val="16"/>
          <w:color w:val="auto"/>
        </w:rPr>
        <w:t>, (the Complaint) before the PRODECON to request their assistance with having the SAT act upon the Reconsideration. This complaint was later withdrawn in September, but may still be reinstated if deemed appropriate in the future. It should be noted that although the SAT is not obligated to act upon the Reconsideration, however, we believe that having the option of re-filing the PRODECON Complaint makes it likely that the SAT will respond to the Administrative Reconsideration and be open to settlement discussions.</w:t>
      </w:r>
    </w:p>
    <w:p>
      <w:pPr>
        <w:spacing w:after="0" w:line="161" w:lineRule="exact"/>
        <w:rPr>
          <w:sz w:val="20"/>
          <w:szCs w:val="20"/>
          <w:color w:val="auto"/>
        </w:rPr>
      </w:pPr>
    </w:p>
    <w:p>
      <w:pPr>
        <w:ind w:left="40" w:right="359" w:firstLine="259"/>
        <w:spacing w:after="0" w:line="255" w:lineRule="auto"/>
        <w:rPr>
          <w:sz w:val="20"/>
          <w:szCs w:val="20"/>
          <w:color w:val="auto"/>
        </w:rPr>
      </w:pPr>
      <w:r>
        <w:rPr>
          <w:rFonts w:ascii="Arial" w:cs="Arial" w:eastAsia="Arial" w:hAnsi="Arial"/>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5" w:lineRule="auto"/>
        <w:tabs>
          <w:tab w:leader="none" w:pos="162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Failure to recognize CDM as a “maquiladora”</w:t>
      </w:r>
    </w:p>
    <w:p>
      <w:pPr>
        <w:ind w:left="1620" w:hanging="321"/>
        <w:spacing w:after="0" w:line="232" w:lineRule="auto"/>
        <w:tabs>
          <w:tab w:leader="none" w:pos="162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Considering the Company to have a permanent establishment in Mexico,</w:t>
      </w:r>
    </w:p>
    <w:p>
      <w:pPr>
        <w:ind w:left="1620" w:hanging="321"/>
        <w:spacing w:after="0" w:line="232" w:lineRule="auto"/>
        <w:tabs>
          <w:tab w:leader="none" w:pos="162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Including fruit purchase deposits transferred by the Company to CDM as taxable,</w:t>
      </w:r>
    </w:p>
    <w:p>
      <w:pPr>
        <w:ind w:left="1620" w:hanging="321"/>
        <w:spacing w:after="0" w:line="232" w:lineRule="auto"/>
        <w:tabs>
          <w:tab w:leader="none" w:pos="162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Application of 16% IVA tax to fruit purchase deposits</w:t>
      </w:r>
    </w:p>
    <w:p>
      <w:pPr>
        <w:ind w:left="1620" w:hanging="321"/>
        <w:spacing w:after="0" w:line="232" w:lineRule="auto"/>
        <w:tabs>
          <w:tab w:leader="none" w:pos="162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Imposing double-taxation on the fruit purchase transactions</w:t>
      </w:r>
    </w:p>
    <w:p>
      <w:pPr>
        <w:spacing w:after="0" w:line="202" w:lineRule="exact"/>
        <w:rPr>
          <w:sz w:val="20"/>
          <w:szCs w:val="20"/>
          <w:color w:val="auto"/>
        </w:rPr>
      </w:pPr>
    </w:p>
    <w:p>
      <w:pPr>
        <w:ind w:left="40" w:right="219" w:firstLine="259"/>
        <w:spacing w:after="0" w:line="291" w:lineRule="auto"/>
        <w:rPr>
          <w:sz w:val="20"/>
          <w:szCs w:val="20"/>
          <w:color w:val="auto"/>
        </w:rPr>
      </w:pPr>
      <w:r>
        <w:rPr>
          <w:rFonts w:ascii="Arial" w:cs="Arial" w:eastAsia="Arial" w:hAnsi="Arial"/>
          <w:sz w:val="16"/>
          <w:szCs w:val="16"/>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t>
      </w:r>
      <w:r>
        <w:rPr>
          <w:rFonts w:ascii="Arial" w:cs="Arial" w:eastAsia="Arial" w:hAnsi="Arial"/>
          <w:sz w:val="16"/>
          <w:szCs w:val="16"/>
          <w:i w:val="1"/>
          <w:iCs w:val="1"/>
          <w:color w:val="auto"/>
        </w:rPr>
        <w:t>Juicio de Amparo</w:t>
      </w:r>
      <w:r>
        <w:rPr>
          <w:rFonts w:ascii="Arial" w:cs="Arial" w:eastAsia="Arial" w:hAnsi="Arial"/>
          <w:sz w:val="16"/>
          <w:szCs w:val="16"/>
          <w:color w:val="auto"/>
        </w:rPr>
        <w:t>) with a federal district court seeking to nullify the arguments against the Reconsideration made by the SAT on constitutional grounds. On February 25, 2022, we filed a supplemental Injunction Suit in which we seek to have the liens against the bank accounts of CDM lifted. The injunction suits have been accepted by the court and we are expecting a response by September 2022. The main purpose of the Amparo was to challenge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response issued to the Reconsideration, and with that, to keep the Reconsideration alive until the Amparo is decided. This would allow time to continue the discussions with SAT at the administrative level and would give SAT the legal basis to issue a new resolution in terms of what may be agreed in the ongoing discussions with SAT. This Amparo represents a further opportunity as well for a Court of Law to analyze this matter from a constitutional perspective.</w:t>
      </w:r>
    </w:p>
    <w:p>
      <w:pPr>
        <w:spacing w:after="0" w:line="157" w:lineRule="exact"/>
        <w:rPr>
          <w:sz w:val="20"/>
          <w:szCs w:val="20"/>
          <w:color w:val="auto"/>
        </w:rPr>
      </w:pPr>
    </w:p>
    <w:p>
      <w:pPr>
        <w:ind w:left="40" w:right="179" w:firstLine="259"/>
        <w:spacing w:after="0" w:line="291" w:lineRule="auto"/>
        <w:rPr>
          <w:sz w:val="20"/>
          <w:szCs w:val="20"/>
          <w:color w:val="auto"/>
        </w:rPr>
      </w:pPr>
      <w:r>
        <w:rPr>
          <w:rFonts w:ascii="Arial" w:cs="Arial" w:eastAsia="Arial" w:hAnsi="Arial"/>
          <w:sz w:val="16"/>
          <w:szCs w:val="16"/>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 On March 10, 2022, we met with the SAT and offered an Administrative Guaranty (</w:t>
      </w:r>
      <w:r>
        <w:rPr>
          <w:rFonts w:ascii="Arial" w:cs="Arial" w:eastAsia="Arial" w:hAnsi="Arial"/>
          <w:sz w:val="16"/>
          <w:szCs w:val="16"/>
          <w:i w:val="1"/>
          <w:iCs w:val="1"/>
          <w:color w:val="auto"/>
        </w:rPr>
        <w:t>Embargo en Via Administrativa)</w:t>
      </w:r>
      <w:r>
        <w:rPr>
          <w:rFonts w:ascii="Arial" w:cs="Arial" w:eastAsia="Arial" w:hAnsi="Arial"/>
          <w:sz w:val="16"/>
          <w:szCs w:val="16"/>
          <w:color w:val="auto"/>
        </w:rPr>
        <w:t xml:space="preserve"> to secure the 2013 Assessment</w:t>
      </w:r>
      <w:r>
        <w:rPr>
          <w:rFonts w:ascii="Arial" w:cs="Arial" w:eastAsia="Arial" w:hAnsi="Arial"/>
          <w:sz w:val="16"/>
          <w:szCs w:val="16"/>
          <w:i w:val="1"/>
          <w:iCs w:val="1"/>
          <w:color w:val="auto"/>
        </w:rPr>
        <w:t>,</w:t>
      </w:r>
      <w:r>
        <w:rPr>
          <w:rFonts w:ascii="Arial" w:cs="Arial" w:eastAsia="Arial" w:hAnsi="Arial"/>
          <w:sz w:val="16"/>
          <w:szCs w:val="16"/>
          <w:color w:val="auto"/>
        </w:rPr>
        <w:t xml:space="preserve"> which provides the SAT with certain administrative rights to CDM assets in the unlikely event we do not prevail in our actions through the Federal Tax Court (see below) or in the Reconsideration process. Once the Administrative Guaranty is in place, the existing liens over the assets of CDM will be removed and the SAT collection process will be suspended.</w:t>
      </w:r>
    </w:p>
    <w:p>
      <w:pPr>
        <w:spacing w:after="0" w:line="166" w:lineRule="exact"/>
        <w:rPr>
          <w:sz w:val="20"/>
          <w:szCs w:val="20"/>
          <w:color w:val="auto"/>
        </w:rPr>
      </w:pPr>
    </w:p>
    <w:p>
      <w:pPr>
        <w:ind w:left="40" w:right="59" w:firstLine="225"/>
        <w:spacing w:after="0" w:line="257" w:lineRule="auto"/>
        <w:rPr>
          <w:sz w:val="20"/>
          <w:szCs w:val="20"/>
          <w:color w:val="auto"/>
        </w:rPr>
      </w:pPr>
      <w:r>
        <w:rPr>
          <w:rFonts w:ascii="Arial" w:cs="Arial" w:eastAsia="Arial" w:hAnsi="Arial"/>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8"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 The Company has presented the Federal Tax Court with evidence of the above offer of the Administrative Guaranty to the SAT, and in connection therewith, expects that the Federal Tax Court will issue a definitive suspension of collections proceedings.</w:t>
      </w:r>
    </w:p>
    <w:p>
      <w:pPr>
        <w:spacing w:after="0" w:line="161" w:lineRule="exact"/>
        <w:rPr>
          <w:sz w:val="20"/>
          <w:szCs w:val="20"/>
          <w:color w:val="auto"/>
        </w:rPr>
      </w:pPr>
    </w:p>
    <w:p>
      <w:pPr>
        <w:ind w:left="40" w:right="179" w:firstLine="259"/>
        <w:spacing w:after="0" w:line="269" w:lineRule="auto"/>
        <w:rPr>
          <w:sz w:val="20"/>
          <w:szCs w:val="20"/>
          <w:color w:val="auto"/>
        </w:rPr>
      </w:pPr>
      <w:r>
        <w:rPr>
          <w:rFonts w:ascii="Arial" w:cs="Arial" w:eastAsia="Arial" w:hAnsi="Arial"/>
          <w:sz w:val="17"/>
          <w:szCs w:val="17"/>
          <w:color w:val="auto"/>
        </w:rPr>
        <w:t>While we continue to believe that the 2013 Assessment is completely without merit, and that we will prevail on the Annulment Suit in the Tax Court, we also believe it is in the best interest of CDM and the Company to settle the 2013 Assessment as quickly as possible. Furthermore, we believe that the above actions taken by CDM will encourage the SAT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January 31, 2022 based on or cumulative probability analysis. We incurred $0.4 million of related professional fees for the three months ended January 31, 2022, which have been recorded in Expenses related to Mexican Tax matters.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Closure of RFG Florida facility</w:t>
      </w:r>
    </w:p>
    <w:p>
      <w:pPr>
        <w:spacing w:after="0" w:line="225" w:lineRule="exact"/>
        <w:rPr>
          <w:sz w:val="20"/>
          <w:szCs w:val="20"/>
          <w:color w:val="auto"/>
        </w:rPr>
      </w:pPr>
    </w:p>
    <w:p>
      <w:pPr>
        <w:ind w:left="40" w:right="519" w:firstLine="180"/>
        <w:spacing w:after="0" w:line="263" w:lineRule="auto"/>
        <w:rPr>
          <w:sz w:val="20"/>
          <w:szCs w:val="20"/>
          <w:color w:val="auto"/>
        </w:rPr>
      </w:pPr>
      <w:r>
        <w:rPr>
          <w:rFonts w:ascii="Arial" w:cs="Arial" w:eastAsia="Arial" w:hAnsi="Arial"/>
          <w:sz w:val="18"/>
          <w:szCs w:val="18"/>
          <w:color w:val="auto"/>
        </w:rPr>
        <w:t>On November 15, 2021,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84" w:lineRule="exact"/>
        <w:rPr>
          <w:sz w:val="20"/>
          <w:szCs w:val="20"/>
          <w:color w:val="auto"/>
        </w:rPr>
      </w:pPr>
    </w:p>
    <w:p>
      <w:pPr>
        <w:ind w:left="40" w:right="99" w:firstLine="180"/>
        <w:spacing w:after="0" w:line="273" w:lineRule="auto"/>
        <w:rPr>
          <w:sz w:val="20"/>
          <w:szCs w:val="20"/>
          <w:color w:val="auto"/>
        </w:rPr>
      </w:pPr>
      <w:r>
        <w:rPr>
          <w:rFonts w:ascii="Arial" w:cs="Arial" w:eastAsia="Arial" w:hAnsi="Arial"/>
          <w:sz w:val="17"/>
          <w:szCs w:val="17"/>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RFG Florida closure has been recorded on the face of the income statement under “Impairment and charges related to RFG Florida facility closure”.</w:t>
      </w:r>
    </w:p>
    <w:p>
      <w:pPr>
        <w:spacing w:after="0" w:line="178" w:lineRule="exact"/>
        <w:rPr>
          <w:sz w:val="20"/>
          <w:szCs w:val="20"/>
          <w:color w:val="auto"/>
        </w:rPr>
      </w:pPr>
    </w:p>
    <w:p>
      <w:pPr>
        <w:ind w:left="40" w:right="119" w:firstLine="180"/>
        <w:spacing w:after="0" w:line="301" w:lineRule="auto"/>
        <w:rPr>
          <w:sz w:val="20"/>
          <w:szCs w:val="20"/>
          <w:color w:val="auto"/>
        </w:rPr>
      </w:pPr>
      <w:r>
        <w:rPr>
          <w:rFonts w:ascii="Arial" w:cs="Arial" w:eastAsia="Arial" w:hAnsi="Arial"/>
          <w:sz w:val="16"/>
          <w:szCs w:val="16"/>
          <w:color w:val="auto"/>
        </w:rPr>
        <w:t>As of January 31, 2022 and October 31, 2021, the Company had right of use assets with a net book value of $4.4 million and $4.8 million respectively, and lease liabilities of $5.5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311" w:lineRule="auto"/>
        <w:rPr>
          <w:sz w:val="20"/>
          <w:szCs w:val="20"/>
          <w:color w:val="auto"/>
        </w:rPr>
      </w:pPr>
      <w:r>
        <w:rPr>
          <w:rFonts w:ascii="Arial" w:cs="Arial" w:eastAsia="Arial" w:hAnsi="Arial"/>
          <w:sz w:val="16"/>
          <w:szCs w:val="16"/>
          <w:color w:val="auto"/>
        </w:rPr>
        <w:t>rate, and for a lease period, sufficient to realize the right of use asset.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pacing w:after="0" w:line="149" w:lineRule="exact"/>
        <w:rPr>
          <w:sz w:val="20"/>
          <w:szCs w:val="20"/>
          <w:color w:val="auto"/>
        </w:rPr>
      </w:pPr>
    </w:p>
    <w:p>
      <w:pPr>
        <w:ind w:left="40" w:right="179" w:firstLine="180"/>
        <w:spacing w:after="0" w:line="277" w:lineRule="auto"/>
        <w:rPr>
          <w:sz w:val="20"/>
          <w:szCs w:val="20"/>
          <w:color w:val="auto"/>
        </w:rPr>
      </w:pPr>
      <w:r>
        <w:rPr>
          <w:rFonts w:ascii="Arial" w:cs="Arial" w:eastAsia="Arial" w:hAnsi="Arial"/>
          <w:sz w:val="18"/>
          <w:szCs w:val="18"/>
          <w:color w:val="auto"/>
        </w:rPr>
        <w:t>During the first quarter of fiscal 2022, we incurred $0.7 million of incremental restructuring and related costs due to the transition to other facilities.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70" w:lineRule="exact"/>
        <w:rPr>
          <w:sz w:val="20"/>
          <w:szCs w:val="20"/>
          <w:color w:val="auto"/>
        </w:rPr>
      </w:pPr>
    </w:p>
    <w:p>
      <w:pPr>
        <w:ind w:left="40" w:right="139" w:firstLine="180"/>
        <w:spacing w:after="0" w:line="254"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62" w:lineRule="exact"/>
        <w:rPr>
          <w:sz w:val="20"/>
          <w:szCs w:val="20"/>
          <w:color w:val="auto"/>
        </w:rPr>
      </w:pPr>
    </w:p>
    <w:p>
      <w:pPr>
        <w:ind w:left="40" w:right="99" w:firstLine="180"/>
        <w:spacing w:after="0" w:line="259" w:lineRule="auto"/>
        <w:rPr>
          <w:sz w:val="20"/>
          <w:szCs w:val="20"/>
          <w:color w:val="auto"/>
        </w:rPr>
      </w:pPr>
      <w:r>
        <w:rPr>
          <w:rFonts w:ascii="Arial" w:cs="Arial" w:eastAsia="Arial" w:hAnsi="Arial"/>
          <w:sz w:val="18"/>
          <w:szCs w:val="18"/>
          <w:color w:val="auto"/>
        </w:rPr>
        <w:t>There have been no material changes in our critical accounting estimates during the three months ended January 31, 2022, as compared to those disclosed in the “Management’s Discussion and Analysis of Financial Condition and Results of Operations—Critical Accounting Estimates” in our Annual Report on Form 10-K for our fiscal year ended October 31, 2021.</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0" w:right="219" w:firstLine="259"/>
        <w:spacing w:after="0" w:line="308" w:lineRule="auto"/>
        <w:rPr>
          <w:sz w:val="20"/>
          <w:szCs w:val="20"/>
          <w:color w:val="auto"/>
        </w:rPr>
      </w:pPr>
      <w:r>
        <w:rPr>
          <w:rFonts w:ascii="Arial" w:cs="Arial" w:eastAsia="Arial" w:hAnsi="Arial"/>
          <w:sz w:val="17"/>
          <w:szCs w:val="17"/>
          <w:color w:val="auto"/>
        </w:rPr>
        <w:t>The below tables include non-GAAP measures EBITDA, adjusted EBITDA, adjusted net income and adjusted diluted EPS, which are not prepared in accordance with U.S. generally accepted accounting principles, or “GAAP.”</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40" w:right="119" w:firstLine="4"/>
        <w:spacing w:after="0" w:line="268" w:lineRule="auto"/>
        <w:tabs>
          <w:tab w:leader="none" w:pos="2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1" w:lineRule="exact"/>
        <w:rPr>
          <w:sz w:val="20"/>
          <w:szCs w:val="20"/>
          <w:color w:val="auto"/>
        </w:rPr>
      </w:pPr>
    </w:p>
    <w:p>
      <w:pPr>
        <w:ind w:left="40" w:right="119" w:firstLine="259"/>
        <w:spacing w:after="0" w:line="271"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78" w:lineRule="exact"/>
        <w:rPr>
          <w:sz w:val="20"/>
          <w:szCs w:val="20"/>
          <w:color w:val="auto"/>
        </w:rPr>
      </w:pPr>
    </w:p>
    <w:p>
      <w:pPr>
        <w:ind w:left="40" w:right="639" w:firstLine="25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 (Non-GAAP, Unaudited)</w:t>
      </w:r>
    </w:p>
    <w:p>
      <w:pPr>
        <w:spacing w:after="0" w:line="225" w:lineRule="exact"/>
        <w:rPr>
          <w:sz w:val="20"/>
          <w:szCs w:val="20"/>
          <w:color w:val="auto"/>
        </w:rPr>
      </w:pPr>
    </w:p>
    <w:p>
      <w:pPr>
        <w:ind w:left="40" w:right="159" w:firstLine="259"/>
        <w:spacing w:after="0" w:line="311"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Loss (Recovery) from FreshRealm and other related expenses (b)</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(gain) loss on Limoneira shares (d)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8"/>
              </w:rPr>
              <w:t>Restructure costs - consulting, management recruiting and severance (f)</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tax matters (g)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Impairment and charges related to closure of RFG Florida facility (h)</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(i)</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gridSpan w:val="3"/>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5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Adjusted Diluted EPS</w:t>
            </w:r>
          </w:p>
        </w:tc>
        <w:tc>
          <w:tcPr>
            <w:tcW w:w="5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gridSpan w:val="3"/>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4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560" w:right="259" w:hanging="327"/>
        <w:spacing w:after="0" w:line="263"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For the three months ended January 31, 2022 and 2021, we realized losses from Agricola Don Memo totaling $0.5 million and $0.2 million.</w:t>
      </w:r>
    </w:p>
    <w:p>
      <w:pPr>
        <w:spacing w:after="0" w:line="84" w:lineRule="exact"/>
        <w:rPr>
          <w:rFonts w:ascii="Arial" w:cs="Arial" w:eastAsia="Arial" w:hAnsi="Arial"/>
          <w:sz w:val="18"/>
          <w:szCs w:val="18"/>
          <w:color w:val="auto"/>
        </w:rPr>
      </w:pPr>
    </w:p>
    <w:p>
      <w:pPr>
        <w:ind w:left="560" w:right="239" w:hanging="327"/>
        <w:spacing w:after="0" w:line="278"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part of the FreshRealm Separation Agreement, we received $0.1 million of previously reserved receivables for the three months ended January 31, 2021. Partially offsetting this benefit, we had professional fees related to the FreshRealm Separation Agreement.</w:t>
      </w:r>
    </w:p>
    <w:p>
      <w:pPr>
        <w:spacing w:after="0" w:line="76" w:lineRule="exact"/>
        <w:rPr>
          <w:rFonts w:ascii="Arial" w:cs="Arial" w:eastAsia="Arial" w:hAnsi="Arial"/>
          <w:sz w:val="16"/>
          <w:szCs w:val="16"/>
          <w:color w:val="auto"/>
        </w:rPr>
      </w:pPr>
    </w:p>
    <w:p>
      <w:pPr>
        <w:ind w:left="560" w:hanging="327"/>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first quarter of 2021, we incurred professional service costs related to a considered but non-consummated acquisition.</w:t>
      </w:r>
    </w:p>
    <w:p>
      <w:pPr>
        <w:spacing w:after="0" w:line="138" w:lineRule="exact"/>
        <w:rPr>
          <w:rFonts w:ascii="Arial" w:cs="Arial" w:eastAsia="Arial" w:hAnsi="Arial"/>
          <w:sz w:val="15"/>
          <w:szCs w:val="15"/>
          <w:color w:val="auto"/>
        </w:rPr>
      </w:pPr>
    </w:p>
    <w:p>
      <w:pPr>
        <w:ind w:left="560" w:right="599" w:hanging="327"/>
        <w:spacing w:after="0" w:line="293"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January 31, 2022 and 2021, we recorded $2.1 million in unrealized losses and $3.6 million in unrealized gains related to these mark-to-market adjustments, respectively.</w:t>
      </w:r>
    </w:p>
    <w:p>
      <w:pPr>
        <w:spacing w:after="0" w:line="63" w:lineRule="exact"/>
        <w:rPr>
          <w:rFonts w:ascii="Arial" w:cs="Arial" w:eastAsia="Arial" w:hAnsi="Arial"/>
          <w:sz w:val="16"/>
          <w:szCs w:val="16"/>
          <w:color w:val="auto"/>
        </w:rPr>
      </w:pPr>
    </w:p>
    <w:p>
      <w:pPr>
        <w:ind w:left="560" w:right="299" w:hanging="327"/>
        <w:spacing w:after="0" w:line="293"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January 31, 2022 and 2021, we incurred $0.1 million related to rent paid for RFG corporate office space that we have vacated and plan to sublease.</w:t>
      </w:r>
    </w:p>
    <w:p>
      <w:pPr>
        <w:spacing w:after="0" w:line="63" w:lineRule="exact"/>
        <w:rPr>
          <w:rFonts w:ascii="Arial" w:cs="Arial" w:eastAsia="Arial" w:hAnsi="Arial"/>
          <w:sz w:val="16"/>
          <w:szCs w:val="16"/>
          <w:color w:val="auto"/>
        </w:rPr>
      </w:pPr>
    </w:p>
    <w:p>
      <w:pPr>
        <w:ind w:left="560" w:right="419" w:hanging="327"/>
        <w:spacing w:after="0" w:line="305"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 the three months ended January 31, 2022, we recorded $1.1 million of consulting expenses related to an enterprise-wide strategic business operations study conducted by a third-party management consulting organization for the purpose of restructuring to improve the profitability of the organization and efficiency of our operations.</w:t>
      </w:r>
    </w:p>
    <w:p>
      <w:pPr>
        <w:spacing w:after="0" w:line="57" w:lineRule="exact"/>
        <w:rPr>
          <w:rFonts w:ascii="Arial" w:cs="Arial" w:eastAsia="Arial" w:hAnsi="Arial"/>
          <w:sz w:val="15"/>
          <w:szCs w:val="15"/>
          <w:color w:val="auto"/>
        </w:rPr>
      </w:pPr>
    </w:p>
    <w:p>
      <w:pPr>
        <w:ind w:left="560" w:right="99" w:hanging="327"/>
        <w:spacing w:after="0" w:line="369" w:lineRule="auto"/>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months ended January 31, 2022, we incurred $0.4 million of related professional fees related to the Mexican tax matters. See Note 7 to the consolidated condensed financial statements included in this Quarterly Report for further information.</w:t>
      </w:r>
    </w:p>
    <w:p>
      <w:pPr>
        <w:sectPr>
          <w:pgSz w:w="11900" w:h="16838" w:orient="portrait"/>
          <w:cols w:equalWidth="0" w:num="1">
            <w:col w:w="9019"/>
          </w:cols>
          <w:pgMar w:left="1440" w:top="517" w:right="1440"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right="459" w:hanging="327"/>
        <w:spacing w:after="0" w:line="273"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18, 2021, we announced the closure of RFG’s food processing operations at our Green Cove Springs (near Jacksonville), Florida facility, as part of our Project Uno profit improvement program. As of November 15, the Green Cove facility of RFG has ceased operations. We incurred $0.7 million of expenses in the first quarter of fiscal 2022, related to the closure of this facility.</w:t>
      </w:r>
    </w:p>
    <w:p>
      <w:pPr>
        <w:spacing w:after="0" w:line="80" w:lineRule="exact"/>
        <w:rPr>
          <w:rFonts w:ascii="Arial" w:cs="Arial" w:eastAsia="Arial" w:hAnsi="Arial"/>
          <w:sz w:val="16"/>
          <w:szCs w:val="16"/>
          <w:color w:val="auto"/>
        </w:rPr>
      </w:pPr>
    </w:p>
    <w:p>
      <w:pPr>
        <w:ind w:left="560" w:hanging="327"/>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Tax impact of non-GAAP adjustments are based on effective year-to-date tax rates.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Reconciliation of EBITDA and Adjusted EBITDA (Non-GAAP, Unaudited)</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 (d)</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Loss (Recovery) from FreshRealm and other related expenses (b)</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Acquisition costs (c)</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Restructure costs - consulting and management recruiting and severance (f)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Expenses related to Mexican tax matters (g)</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charges related to closure of RFG Florida facility (h)</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220" w:type="dxa"/>
            <w:vAlign w:val="bottom"/>
            <w:tcBorders>
              <w:top w:val="single" w:sz="8" w:color="auto"/>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months ended January 31, 2022 and 2021:</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January 31,</w:t>
            </w:r>
          </w:p>
        </w:tc>
      </w:tr>
      <w:tr>
        <w:trPr>
          <w:trHeight w:val="142"/>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7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sales:</w:t>
            </w:r>
          </w:p>
        </w:tc>
        <w:tc>
          <w:tcPr>
            <w:tcW w:w="1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$ 162,585</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41 %</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$ 115,459</w:t>
            </w:r>
          </w:p>
        </w:tc>
        <w:tc>
          <w:tcPr>
            <w:tcW w:w="26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95,764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90,306</w:t>
            </w:r>
          </w:p>
        </w:tc>
        <w:tc>
          <w:tcPr>
            <w:tcW w:w="26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17,128</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780" w:type="dxa"/>
            <w:vAlign w:val="bottom"/>
          </w:tcPr>
          <w:p>
            <w:pPr>
              <w:jc w:val="right"/>
              <w:spacing w:after="0"/>
              <w:rPr>
                <w:sz w:val="20"/>
                <w:szCs w:val="20"/>
                <w:color w:val="auto"/>
              </w:rPr>
            </w:pPr>
            <w:r>
              <w:rPr>
                <w:rFonts w:ascii="Arial" w:cs="Arial" w:eastAsia="Arial" w:hAnsi="Arial"/>
                <w:sz w:val="18"/>
                <w:szCs w:val="18"/>
                <w:color w:val="auto"/>
              </w:rPr>
              <w:t>16,458</w:t>
            </w:r>
          </w:p>
        </w:tc>
        <w:tc>
          <w:tcPr>
            <w:tcW w:w="26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intercompany eliminations</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(1,645)</w:t>
            </w:r>
          </w:p>
        </w:tc>
      </w:tr>
      <w:tr>
        <w:trPr>
          <w:trHeight w:val="249"/>
        </w:trPr>
        <w:tc>
          <w:tcPr>
            <w:tcW w:w="4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16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$ 274,092</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24 %</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$ 220,578</w:t>
            </w:r>
          </w:p>
        </w:tc>
        <w:tc>
          <w:tcPr>
            <w:tcW w:w="260" w:type="dxa"/>
            <w:vAlign w:val="bottom"/>
            <w:tcBorders>
              <w:bottom w:val="single" w:sz="8" w:color="CCEEFF"/>
            </w:tcBorders>
          </w:tcPr>
          <w:p>
            <w:pPr>
              <w:spacing w:after="0"/>
              <w:rPr>
                <w:sz w:val="21"/>
                <w:szCs w:val="21"/>
                <w:color w:val="auto"/>
              </w:rPr>
            </w:pPr>
          </w:p>
        </w:tc>
      </w:tr>
      <w:tr>
        <w:trPr>
          <w:trHeight w:val="197"/>
        </w:trPr>
        <w:tc>
          <w:tcPr>
            <w:tcW w:w="4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As a percentage of sales: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Fresh products</w:t>
            </w:r>
          </w:p>
        </w:tc>
        <w:tc>
          <w:tcPr>
            <w:tcW w:w="17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59.0 %</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52.0 %</w:t>
            </w: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RFG</w:t>
            </w:r>
          </w:p>
        </w:tc>
        <w:tc>
          <w:tcPr>
            <w:tcW w:w="1760" w:type="dxa"/>
            <w:vAlign w:val="bottom"/>
            <w:gridSpan w:val="2"/>
          </w:tcPr>
          <w:p>
            <w:pPr>
              <w:jc w:val="right"/>
              <w:ind w:right="730"/>
              <w:spacing w:after="0"/>
              <w:rPr>
                <w:sz w:val="20"/>
                <w:szCs w:val="20"/>
                <w:color w:val="auto"/>
              </w:rPr>
            </w:pPr>
            <w:r>
              <w:rPr>
                <w:rFonts w:ascii="Arial" w:cs="Arial" w:eastAsia="Arial" w:hAnsi="Arial"/>
                <w:sz w:val="18"/>
                <w:szCs w:val="18"/>
                <w:color w:val="auto"/>
              </w:rPr>
              <w:t>34.8 %</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40.6 %</w:t>
            </w: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17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6.2 %</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7.4 %</w:t>
            </w:r>
          </w:p>
        </w:tc>
      </w:tr>
      <w:tr>
        <w:trPr>
          <w:trHeight w:val="209"/>
        </w:trPr>
        <w:tc>
          <w:tcPr>
            <w:tcW w:w="58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5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79" w:firstLine="259"/>
        <w:spacing w:after="0" w:line="263" w:lineRule="auto"/>
        <w:rPr>
          <w:sz w:val="20"/>
          <w:szCs w:val="20"/>
          <w:color w:val="auto"/>
        </w:rPr>
      </w:pPr>
      <w:r>
        <w:rPr>
          <w:rFonts w:ascii="Arial" w:cs="Arial" w:eastAsia="Arial" w:hAnsi="Arial"/>
          <w:sz w:val="18"/>
          <w:szCs w:val="18"/>
          <w:color w:val="auto"/>
        </w:rPr>
        <w:t>Net sales for the three months ended January 31, 2022, compared to the corresponding period in fiscal 2021, increased by $53.5 million, or approximately 24%. The increase was due to increases across all segments, but most significantly in Fresh products.</w:t>
      </w:r>
    </w:p>
    <w:p>
      <w:pPr>
        <w:spacing w:after="0" w:line="184"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For the three months ended January 31, 2022, the increase in Fresh product sales was primarily due to an increase in sales of avocados. For the three months ended January 31, 2022, the increase in RFG sales was due primarily to increased sales from fresh-cut fruit &amp; vegetables and prepared foods products. For the three months ended January 31, 2022, the increase in Calavo Foods was due primarily to an increase in the sales of prepared avocado products. See discussion below for further details.</w:t>
      </w:r>
    </w:p>
    <w:p>
      <w:pPr>
        <w:spacing w:after="0" w:line="188" w:lineRule="exact"/>
        <w:rPr>
          <w:sz w:val="20"/>
          <w:szCs w:val="20"/>
          <w:color w:val="auto"/>
        </w:rPr>
      </w:pPr>
    </w:p>
    <w:p>
      <w:pPr>
        <w:jc w:val="center"/>
        <w:ind w:left="40" w:right="9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Three Months Ended January 31, 2022 vs. Three Months Ended January 31, 2021</w:t>
      </w:r>
    </w:p>
    <w:p>
      <w:pPr>
        <w:spacing w:after="0" w:line="225" w:lineRule="exact"/>
        <w:rPr>
          <w:sz w:val="20"/>
          <w:szCs w:val="20"/>
          <w:color w:val="auto"/>
        </w:rPr>
      </w:pPr>
    </w:p>
    <w:p>
      <w:pPr>
        <w:ind w:left="40" w:right="459" w:firstLine="259"/>
        <w:spacing w:after="0" w:line="257" w:lineRule="auto"/>
        <w:rPr>
          <w:sz w:val="20"/>
          <w:szCs w:val="20"/>
          <w:color w:val="auto"/>
        </w:rPr>
      </w:pPr>
      <w:r>
        <w:rPr>
          <w:rFonts w:ascii="Arial" w:cs="Arial" w:eastAsia="Arial" w:hAnsi="Arial"/>
          <w:sz w:val="18"/>
          <w:szCs w:val="18"/>
          <w:color w:val="auto"/>
        </w:rPr>
        <w:t>Net sales for the Fresh products business increased by approximately $47.1 million, or 41%, for the first quarter of fiscal 2022 compared to the corresponding period in fiscal 2021. This increase in Fresh product sales during the first quarter of fiscal 2022 was primarily related to increased sales prices of avocados due to increased demand and lower overall supply of avocados in the marketplace. In addition, tomato sales increased due to an increase in overall sales volume, partially offset by a decrease in sales prices.</w:t>
      </w:r>
    </w:p>
    <w:p>
      <w:pPr>
        <w:spacing w:after="0" w:line="188"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Sales of avocados increased $46.3 million, or 45%, for the first quarter of 2022 compared to the prior year period. The average avocado sales price per carton increased 64% compared to the prior year period. This increase in the sales price per carton was mainly due to a decrease of supply of avocados in the marketplace. The volume of avocados sold in the first quarter of 2022 decreased 12% compared to the prior year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Sales of tomatoes increased $0.8 million, or 9%, for the first quarter of 2022, when compared to the prior year period. This increase in tomato sales was primarily due to a 24% increase in the cartons sold of tomatoes, partially offset by a 12% decline in the sales price per carton.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Three Months Ended January 31, 2022 vs. Three Months Ended January 31, 2021</w:t>
      </w:r>
    </w:p>
    <w:p>
      <w:pPr>
        <w:spacing w:after="0" w:line="225"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Net sales for RFG for the quarter ended January 31, 2022, compared to the corresponding period in fiscal 2021, increased $5.5 million, or 6%. This increase was primarily reflecting a volume increase of 2%, favorable product mix and price increases.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Three Months Ended January 31, 2022 vs. Three Months Ended January 31, 2021</w:t>
      </w:r>
    </w:p>
    <w:p>
      <w:pPr>
        <w:spacing w:after="0" w:line="225" w:lineRule="exact"/>
        <w:rPr>
          <w:sz w:val="20"/>
          <w:szCs w:val="20"/>
          <w:color w:val="auto"/>
        </w:rPr>
      </w:pPr>
    </w:p>
    <w:p>
      <w:pPr>
        <w:ind w:left="40" w:right="179" w:firstLine="259"/>
        <w:spacing w:after="0" w:line="263" w:lineRule="auto"/>
        <w:rPr>
          <w:sz w:val="20"/>
          <w:szCs w:val="20"/>
          <w:color w:val="auto"/>
        </w:rPr>
      </w:pPr>
      <w:r>
        <w:rPr>
          <w:rFonts w:ascii="Arial" w:cs="Arial" w:eastAsia="Arial" w:hAnsi="Arial"/>
          <w:sz w:val="18"/>
          <w:szCs w:val="18"/>
          <w:color w:val="auto"/>
        </w:rPr>
        <w:t>Net sales for Calavo Foods for the quarter ended January 31, 2022, compared to the corresponding period in fiscal 2021, increased $0.7 million, or 4%. Sales of prepared avocado products increased by approximately $1.0 million, or 6%, primarily related to an increase in the total volume of pounds sold.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months ended January 31, 2022 and 2021:</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7"/>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4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$ 11,666</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$ 13,145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2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n/m %</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2,214</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profit</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$ 13,228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$ 17,839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profit (loss) percentages:</w:t>
            </w:r>
          </w:p>
        </w:tc>
        <w:tc>
          <w:tcPr>
            <w:tcW w:w="1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2760" w:type="dxa"/>
            <w:vAlign w:val="bottom"/>
            <w:gridSpan w:val="3"/>
          </w:tcPr>
          <w:p>
            <w:pPr>
              <w:jc w:val="right"/>
              <w:ind w:right="80"/>
              <w:spacing w:after="0"/>
              <w:rPr>
                <w:sz w:val="20"/>
                <w:szCs w:val="20"/>
                <w:color w:val="auto"/>
              </w:rPr>
            </w:pPr>
            <w:r>
              <w:rPr>
                <w:rFonts w:ascii="Arial" w:cs="Arial" w:eastAsia="Arial" w:hAnsi="Arial"/>
                <w:sz w:val="18"/>
                <w:szCs w:val="18"/>
                <w:color w:val="auto"/>
              </w:rPr>
              <w:t>7.2 %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2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2760" w:type="dxa"/>
            <w:vAlign w:val="bottom"/>
            <w:gridSpan w:val="3"/>
          </w:tcPr>
          <w:p>
            <w:pPr>
              <w:jc w:val="right"/>
              <w:ind w:right="80"/>
              <w:spacing w:after="0"/>
              <w:rPr>
                <w:sz w:val="20"/>
                <w:szCs w:val="20"/>
                <w:color w:val="auto"/>
              </w:rPr>
            </w:pPr>
            <w:r>
              <w:rPr>
                <w:rFonts w:ascii="Arial" w:cs="Arial" w:eastAsia="Arial" w:hAnsi="Arial"/>
                <w:sz w:val="18"/>
                <w:szCs w:val="18"/>
                <w:color w:val="auto"/>
              </w:rPr>
              <w:t>12.9 %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4.8 %</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239" w:firstLine="259"/>
        <w:spacing w:after="0" w:line="263" w:lineRule="auto"/>
        <w:rPr>
          <w:sz w:val="20"/>
          <w:szCs w:val="20"/>
          <w:color w:val="auto"/>
        </w:rPr>
      </w:pPr>
      <w:r>
        <w:rPr>
          <w:rFonts w:ascii="Arial" w:cs="Arial" w:eastAsia="Arial" w:hAnsi="Arial"/>
          <w:sz w:val="18"/>
          <w:szCs w:val="18"/>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w:t>
      </w:r>
    </w:p>
    <w:p>
      <w:pPr>
        <w:spacing w:after="0" w:line="184" w:lineRule="exact"/>
        <w:rPr>
          <w:sz w:val="20"/>
          <w:szCs w:val="20"/>
          <w:color w:val="auto"/>
        </w:rPr>
      </w:pPr>
    </w:p>
    <w:p>
      <w:pPr>
        <w:jc w:val="center"/>
        <w:ind w:left="40" w:right="319"/>
        <w:spacing w:after="0" w:line="342" w:lineRule="auto"/>
        <w:rPr>
          <w:sz w:val="20"/>
          <w:szCs w:val="20"/>
          <w:color w:val="auto"/>
        </w:rPr>
      </w:pPr>
      <w:r>
        <w:rPr>
          <w:rFonts w:ascii="Arial" w:cs="Arial" w:eastAsia="Arial" w:hAnsi="Arial"/>
          <w:sz w:val="16"/>
          <w:szCs w:val="16"/>
          <w:color w:val="auto"/>
        </w:rPr>
        <w:t>Gross profit decreased by approximately $4.6 million, or 26%, for the first quarter of fiscal 2022 compared to the corresponding period in fiscal 2021. The decrease was primarily attributable to gross profit declines across all segments.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40" w:right="279" w:firstLine="259"/>
        <w:spacing w:after="0" w:line="342" w:lineRule="auto"/>
        <w:rPr>
          <w:sz w:val="20"/>
          <w:szCs w:val="20"/>
          <w:color w:val="auto"/>
        </w:rPr>
      </w:pPr>
      <w:r>
        <w:rPr>
          <w:rFonts w:ascii="Arial" w:cs="Arial" w:eastAsia="Arial" w:hAnsi="Arial"/>
          <w:sz w:val="16"/>
          <w:szCs w:val="16"/>
          <w:color w:val="auto"/>
        </w:rPr>
        <w:t>The decrease in our Fresh products segment gross profit percentage for the quarter ended January 31, 2022, was the result of decreased gross profit for avocados. For the first quarter of fiscal 2022, the gross profit percentage for avocados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was 7. 2% compared to 11.4% for the first quarter of 2021. Gross profit change is the result of lower volumes and increases in labor, and freight costs.</w:t>
      </w:r>
    </w:p>
    <w:p>
      <w:pPr>
        <w:spacing w:after="0" w:line="170" w:lineRule="exact"/>
        <w:rPr>
          <w:sz w:val="20"/>
          <w:szCs w:val="20"/>
          <w:color w:val="auto"/>
        </w:rPr>
      </w:pPr>
    </w:p>
    <w:p>
      <w:pPr>
        <w:ind w:left="40" w:right="59" w:firstLine="304"/>
        <w:spacing w:after="0" w:line="286" w:lineRule="auto"/>
        <w:rPr>
          <w:sz w:val="20"/>
          <w:szCs w:val="20"/>
          <w:color w:val="auto"/>
        </w:rPr>
      </w:pPr>
      <w:r>
        <w:rPr>
          <w:rFonts w:ascii="Arial" w:cs="Arial" w:eastAsia="Arial" w:hAnsi="Arial"/>
          <w:sz w:val="17"/>
          <w:szCs w:val="17"/>
          <w:color w:val="auto"/>
        </w:rPr>
        <w:t>Gross profit for the quarter was also affected by the weakening of the U.S. dollar in relation to the Mexican peso during the quarter, resulting in a $0.6 million net loss related the remeasurement of peso-dominated net assets at our Mexican subsidiaries. During the same period last year, we had a remeasurement gain of $1.1 million.</w:t>
      </w:r>
    </w:p>
    <w:p>
      <w:pPr>
        <w:spacing w:after="0" w:line="165"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Note that any additional significant fluctuations in the exchange rate between the U.S. dollar and the Mexican peso may have a material impact on future gross profits for our Fresh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40" w:right="159" w:firstLine="324"/>
        <w:spacing w:after="0" w:line="257" w:lineRule="auto"/>
        <w:rPr>
          <w:sz w:val="20"/>
          <w:szCs w:val="20"/>
          <w:color w:val="auto"/>
        </w:rPr>
      </w:pPr>
      <w:r>
        <w:rPr>
          <w:rFonts w:ascii="Arial" w:cs="Arial" w:eastAsia="Arial" w:hAnsi="Arial"/>
          <w:sz w:val="18"/>
          <w:szCs w:val="18"/>
          <w:color w:val="auto"/>
        </w:rPr>
        <w:t>RFG’s gross profit (loss) percentage for the quarter ended January 31, 2022 was (0.7)%, compared to less than (0.0)% for the prior year period. The declines in gross profit for the quarter ended January 31, 2022, were due to increased commodity costs, lack of availability of key commodities, lower supply and higher turnover of labor</w:t>
      </w:r>
      <w:r>
        <w:rPr>
          <w:rFonts w:ascii="Arial" w:cs="Arial" w:eastAsia="Arial" w:hAnsi="Arial"/>
          <w:sz w:val="18"/>
          <w:szCs w:val="18"/>
          <w:color w:val="212529"/>
        </w:rPr>
        <w:t>. In addition,</w:t>
      </w:r>
      <w:r>
        <w:rPr>
          <w:rFonts w:ascii="Arial" w:cs="Arial" w:eastAsia="Arial" w:hAnsi="Arial"/>
          <w:sz w:val="18"/>
          <w:szCs w:val="18"/>
          <w:color w:val="auto"/>
        </w:rPr>
        <w:t xml:space="preserve"> results were negatively impacted by costs associated with the consolidation of our Jacksonville, Florida facility into our Georgia facility.</w:t>
      </w:r>
    </w:p>
    <w:p>
      <w:pPr>
        <w:spacing w:after="0" w:line="188" w:lineRule="exact"/>
        <w:rPr>
          <w:sz w:val="20"/>
          <w:szCs w:val="20"/>
          <w:color w:val="auto"/>
        </w:rPr>
      </w:pPr>
    </w:p>
    <w:p>
      <w:pPr>
        <w:jc w:val="both"/>
        <w:ind w:left="40" w:right="219" w:firstLine="243"/>
        <w:spacing w:after="0" w:line="263" w:lineRule="auto"/>
        <w:rPr>
          <w:sz w:val="20"/>
          <w:szCs w:val="20"/>
          <w:color w:val="auto"/>
        </w:rPr>
      </w:pPr>
      <w:r>
        <w:rPr>
          <w:rFonts w:ascii="Arial" w:cs="Arial" w:eastAsia="Arial" w:hAnsi="Arial"/>
          <w:sz w:val="18"/>
          <w:szCs w:val="18"/>
          <w:color w:val="auto"/>
        </w:rPr>
        <w:t>We continue to experience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w:t>
      </w:r>
    </w:p>
    <w:p>
      <w:pPr>
        <w:spacing w:after="0" w:line="184" w:lineRule="exact"/>
        <w:rPr>
          <w:sz w:val="20"/>
          <w:szCs w:val="20"/>
          <w:color w:val="auto"/>
        </w:rPr>
      </w:pPr>
    </w:p>
    <w:p>
      <w:pPr>
        <w:ind w:left="40" w:right="79" w:firstLine="225"/>
        <w:spacing w:after="0" w:line="255" w:lineRule="auto"/>
        <w:rPr>
          <w:sz w:val="20"/>
          <w:szCs w:val="20"/>
          <w:color w:val="auto"/>
        </w:rPr>
      </w:pPr>
      <w:r>
        <w:rPr>
          <w:rFonts w:ascii="Arial" w:cs="Arial" w:eastAsia="Arial" w:hAnsi="Arial"/>
          <w:sz w:val="18"/>
          <w:szCs w:val="18"/>
          <w:color w:val="auto"/>
        </w:rPr>
        <w:t>In response to the inflationary costs described above, we notified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 However, we cannot assure you that such price increases will not cause a loss of sales, will improve margins in our RFG and Foods segments or that we will be able to undertake future initiatives to drive growth.</w:t>
      </w:r>
    </w:p>
    <w:p>
      <w:pPr>
        <w:spacing w:after="0" w:line="192" w:lineRule="exact"/>
        <w:rPr>
          <w:sz w:val="20"/>
          <w:szCs w:val="20"/>
          <w:color w:val="auto"/>
        </w:rPr>
      </w:pPr>
    </w:p>
    <w:p>
      <w:pPr>
        <w:ind w:left="40" w:right="99" w:firstLine="243"/>
        <w:spacing w:after="0" w:line="291" w:lineRule="auto"/>
        <w:rPr>
          <w:sz w:val="20"/>
          <w:szCs w:val="20"/>
          <w:color w:val="auto"/>
        </w:rPr>
      </w:pPr>
      <w:r>
        <w:rPr>
          <w:rFonts w:ascii="Arial" w:cs="Arial" w:eastAsia="Arial" w:hAnsi="Arial"/>
          <w:sz w:val="16"/>
          <w:szCs w:val="16"/>
          <w:color w:val="auto"/>
        </w:rPr>
        <w:t>Management has considered the impact of current operating results as well as expected future results and has concluded that there were no impairment indicators with regard to intangible assets carried on the balance sheet as of January 31,</w:t>
      </w:r>
    </w:p>
    <w:p>
      <w:pPr>
        <w:ind w:left="40" w:right="59"/>
        <w:spacing w:after="0" w:line="277" w:lineRule="auto"/>
        <w:rPr>
          <w:sz w:val="20"/>
          <w:szCs w:val="20"/>
          <w:color w:val="auto"/>
        </w:rPr>
      </w:pPr>
      <w:r>
        <w:rPr>
          <w:rFonts w:ascii="Arial" w:cs="Arial" w:eastAsia="Arial" w:hAnsi="Arial"/>
          <w:sz w:val="17"/>
          <w:szCs w:val="17"/>
          <w:color w:val="auto"/>
        </w:rPr>
        <w:t>2022. This is consistent with the Company’s previous assessments which had reflected a significant cushion between the Company’s fair value determinations and the recorded carrying values of the respective intangible assets. Management will continue to evaluate the impact of operating results on these considerations in future quarters.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40" w:right="279" w:firstLine="259"/>
        <w:spacing w:after="0" w:line="257" w:lineRule="auto"/>
        <w:rPr>
          <w:sz w:val="20"/>
          <w:szCs w:val="20"/>
          <w:color w:val="auto"/>
        </w:rPr>
      </w:pPr>
      <w:r>
        <w:rPr>
          <w:rFonts w:ascii="Arial" w:cs="Arial" w:eastAsia="Arial" w:hAnsi="Arial"/>
          <w:sz w:val="18"/>
          <w:szCs w:val="18"/>
          <w:color w:val="auto"/>
        </w:rPr>
        <w:t>Calavo Foods’ gross profit percentage for the first quarter of fiscal 2022 was 12.9%, compared to 28.7% for the prior year period. The decreases in Calavo Foods gross profit percentage were due primarily to higher fruit costs and manufacturing costs. Any significant fluctuation in the cost of fruit used in the production process or the exchange rate between the U.S. dollar and the Mexican peso may have a material impact on future gross profit for our Calavo Foods segment.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2"/>
              </w:rPr>
              <w:t>Three months ended January 31,</w:t>
            </w:r>
          </w:p>
        </w:tc>
      </w:tr>
      <w:tr>
        <w:trPr>
          <w:trHeight w:val="142"/>
        </w:trPr>
        <w:tc>
          <w:tcPr>
            <w:tcW w:w="3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gridSpan w:val="4"/>
          </w:tcPr>
          <w:p>
            <w:pPr>
              <w:jc w:val="right"/>
              <w:ind w:right="396"/>
              <w:spacing w:after="0" w:line="129" w:lineRule="exact"/>
              <w:rPr>
                <w:sz w:val="20"/>
                <w:szCs w:val="20"/>
                <w:color w:val="auto"/>
              </w:rPr>
            </w:pPr>
            <w:r>
              <w:rPr>
                <w:rFonts w:ascii="Arial" w:cs="Arial" w:eastAsia="Arial" w:hAnsi="Arial"/>
                <w:sz w:val="14"/>
                <w:szCs w:val="14"/>
                <w:b w:val="1"/>
                <w:bCs w:val="1"/>
                <w:color w:val="auto"/>
                <w:w w:val="97"/>
              </w:rPr>
              <w:t>(Dollars in thousands)</w:t>
            </w:r>
          </w:p>
        </w:tc>
        <w:tc>
          <w:tcPr>
            <w:tcW w:w="560" w:type="dxa"/>
            <w:vAlign w:val="bottom"/>
          </w:tcPr>
          <w:p>
            <w:pPr>
              <w:spacing w:after="0"/>
              <w:rPr>
                <w:sz w:val="11"/>
                <w:szCs w:val="1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$ 15,337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$ 14,174</w:t>
            </w:r>
          </w:p>
        </w:tc>
        <w:tc>
          <w:tcPr>
            <w:tcW w:w="56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500" w:type="dxa"/>
            <w:vAlign w:val="bottom"/>
            <w:gridSpan w:val="3"/>
          </w:tcPr>
          <w:p>
            <w:pPr>
              <w:jc w:val="right"/>
              <w:ind w:right="128"/>
              <w:spacing w:after="0"/>
              <w:rPr>
                <w:sz w:val="20"/>
                <w:szCs w:val="20"/>
                <w:color w:val="auto"/>
              </w:rPr>
            </w:pPr>
            <w:r>
              <w:rPr>
                <w:rFonts w:ascii="Arial" w:cs="Arial" w:eastAsia="Arial" w:hAnsi="Arial"/>
                <w:sz w:val="18"/>
                <w:szCs w:val="18"/>
                <w:color w:val="auto"/>
              </w:rPr>
              <w:t>5.6 %</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6.4 %</w:t>
            </w:r>
          </w:p>
        </w:tc>
      </w:tr>
    </w:tbl>
    <w:p>
      <w:pPr>
        <w:spacing w:after="0" w:line="187"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Selling, general and administrative expenses of $15.3 million for the three months ended January 31, 2022 include costs of marketing and advertising, sales expenses (including broker commissions) and other general and administrative costs. Selling, general and administrative expenses increased by $1.2 million, or 8%, for the three months ended January 31, 2022 compared to the prior year period. This increase was primarily due to an increase in consulting services related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to restructuring efforts ($1.1 million), and an increase in salaries and benefits expense related to the investment in key personnel to advance Project Uno ($0.6 million). Partially offsetting this increase was a decrease of stock-based compensation due to less amortization related to Management Incentive stock awards from prior years ($0.4 million), and a decrease in the bonus accrual ($0.4 million).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January 31,</w:t>
            </w:r>
          </w:p>
        </w:tc>
      </w:tr>
      <w:tr>
        <w:trPr>
          <w:trHeight w:val="142"/>
        </w:trPr>
        <w:tc>
          <w:tcPr>
            <w:tcW w:w="4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4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w w:val="83"/>
              </w:rPr>
              <w:t>(Dollars in thousands)</w:t>
            </w:r>
          </w:p>
        </w:tc>
        <w:tc>
          <w:tcPr>
            <w:tcW w:w="800" w:type="dxa"/>
            <w:vAlign w:val="bottom"/>
          </w:tcPr>
          <w:p>
            <w:pPr>
              <w:spacing w:after="0"/>
              <w:rPr>
                <w:sz w:val="11"/>
                <w:szCs w:val="1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2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(535)</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245 %</w:t>
            </w:r>
          </w:p>
        </w:tc>
        <w:tc>
          <w:tcPr>
            <w:tcW w:w="8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(155)</w:t>
            </w:r>
          </w:p>
        </w:tc>
      </w:tr>
    </w:tbl>
    <w:p>
      <w:pPr>
        <w:spacing w:after="0" w:line="202" w:lineRule="exact"/>
        <w:rPr>
          <w:sz w:val="20"/>
          <w:szCs w:val="20"/>
          <w:color w:val="auto"/>
        </w:rPr>
      </w:pPr>
    </w:p>
    <w:p>
      <w:pPr>
        <w:jc w:val="both"/>
        <w:ind w:left="40" w:right="139" w:firstLine="180"/>
        <w:spacing w:after="0" w:line="263" w:lineRule="auto"/>
        <w:rPr>
          <w:sz w:val="20"/>
          <w:szCs w:val="20"/>
          <w:color w:val="auto"/>
        </w:rPr>
      </w:pPr>
      <w:r>
        <w:rPr>
          <w:rFonts w:ascii="Arial" w:cs="Arial" w:eastAsia="Arial" w:hAnsi="Arial"/>
          <w:sz w:val="18"/>
          <w:szCs w:val="18"/>
          <w:color w:val="auto"/>
        </w:rPr>
        <w:t>Losses from unconsolidated entities includes our participation in earnings or losses from our investments in Don Memo. For the three months ended January 31, 2022, we realized losses from Agricola Don Memo totaling $0.5 million and $0.2 million.</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(Provision) Benefit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9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7"/>
              </w:rPr>
              <w:t>Three months ended January 31,</w:t>
            </w:r>
          </w:p>
        </w:tc>
      </w:tr>
      <w:tr>
        <w:trPr>
          <w:trHeight w:val="142"/>
        </w:trPr>
        <w:tc>
          <w:tcPr>
            <w:tcW w:w="5940" w:type="dxa"/>
            <w:vAlign w:val="bottom"/>
          </w:tcPr>
          <w:p>
            <w:pPr>
              <w:spacing w:after="0"/>
              <w:rPr>
                <w:sz w:val="12"/>
                <w:szCs w:val="12"/>
                <w:color w:val="auto"/>
              </w:rPr>
            </w:pPr>
          </w:p>
        </w:tc>
        <w:tc>
          <w:tcPr>
            <w:tcW w:w="6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2"/>
                <w:szCs w:val="12"/>
                <w:color w:val="auto"/>
              </w:rPr>
            </w:pPr>
          </w:p>
        </w:tc>
      </w:tr>
      <w:tr>
        <w:trPr>
          <w:trHeight w:val="209"/>
        </w:trPr>
        <w:tc>
          <w:tcPr>
            <w:tcW w:w="59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$ 1,160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 (1,943)</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27.1 %</w:t>
            </w:r>
          </w:p>
        </w:tc>
      </w:tr>
    </w:tbl>
    <w:p>
      <w:pPr>
        <w:spacing w:after="0" w:line="187" w:lineRule="exact"/>
        <w:rPr>
          <w:sz w:val="20"/>
          <w:szCs w:val="20"/>
          <w:color w:val="auto"/>
        </w:rPr>
      </w:pPr>
    </w:p>
    <w:p>
      <w:pPr>
        <w:ind w:left="40" w:right="119" w:firstLine="225"/>
        <w:spacing w:after="0" w:line="277"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Cash provided by operating activities was $2.4 million for the three months ended January 31, 2022, compared to cash provided by operating activities of $13.2 million for the corresponding period in fiscal 2021. Cash used by operating activities for the three months ended January 31, 2022 reflect primarily our net loss of $4.2 million, plus add-backs for non-cash activities (depreciation and amortization, stock-based compensation expense, provision for losses on accounts receivable, losses from unconsolidated entities, net gains or losses on Limoneira shares, deferred taxes, loss on disposal of property, plant and equipment, and gain on the sale of the Temecula packinghouse) of $7.8 million and a net decrease in the components of our working capital of approximately $1.3 million.</w:t>
      </w:r>
    </w:p>
    <w:p>
      <w:pPr>
        <w:spacing w:after="0" w:line="177"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Decreases in operating cash flows caused by working capital changes include an increase in inventory of $11.7 million, an increase in accounts receivable of $10.6 million, an increase in advances to suppliers of $3.3 million, an increase in prepaid expenses and other current assets of $1.6 million and an increase in other assets of $0.3 million, partially offset by an increase in payable to growers of $14.8 million, a net increase in accounts payable, accrued expenses and other liabilities of $7.9 million and a decrease in income taxes receivable of $3.5 million.</w:t>
      </w:r>
    </w:p>
    <w:p>
      <w:pPr>
        <w:spacing w:after="0" w:line="176" w:lineRule="exact"/>
        <w:rPr>
          <w:sz w:val="20"/>
          <w:szCs w:val="20"/>
          <w:color w:val="auto"/>
        </w:rPr>
      </w:pPr>
    </w:p>
    <w:p>
      <w:pPr>
        <w:ind w:left="40" w:right="59" w:firstLine="259"/>
        <w:spacing w:after="0" w:line="253" w:lineRule="auto"/>
        <w:rPr>
          <w:sz w:val="20"/>
          <w:szCs w:val="20"/>
          <w:color w:val="auto"/>
        </w:rPr>
      </w:pPr>
      <w:r>
        <w:rPr>
          <w:rFonts w:ascii="Arial" w:cs="Arial" w:eastAsia="Arial" w:hAnsi="Arial"/>
          <w:sz w:val="18"/>
          <w:szCs w:val="18"/>
          <w:color w:val="auto"/>
        </w:rPr>
        <w:t>The increase in our inventory, as of January 31, 2022 when compared to October 31, 2021, is primarily due to higher inventory of California and Mexican Avocados. The increase in our accounts receivable, as of January 31, 2022, when compared to October 31, 2021, is primarily due an increase in sales in January 2022 compared to October 2021. The increase in advances to suppliers is mainly due to advances to our tomato growers in the first three months of fiscal 2022. The increase in payable to growers is mostly due to increased volumes and sales prices for California and Mexican avocados in the month of January 2022 compared to October 2021. The increase in accounts payable, accrued expenses and other liabilities is primarily related to an increase in payables related to an increase in the price of California and Mexican avocados. The decrease in income taxes receivable is due to the receipt of an income tax refund in the first quarter of fiscal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Cash used in investing activities was $2.1 million for the three months ended January 31, 2022, which primarily related to the purchases of property, plant and equipment.</w:t>
      </w:r>
    </w:p>
    <w:p>
      <w:pPr>
        <w:spacing w:after="0" w:line="170" w:lineRule="exact"/>
        <w:rPr>
          <w:sz w:val="20"/>
          <w:szCs w:val="20"/>
          <w:color w:val="auto"/>
        </w:rPr>
      </w:pPr>
    </w:p>
    <w:p>
      <w:pPr>
        <w:jc w:val="both"/>
        <w:ind w:left="40" w:right="459" w:firstLine="259"/>
        <w:spacing w:after="0" w:line="263" w:lineRule="auto"/>
        <w:rPr>
          <w:sz w:val="20"/>
          <w:szCs w:val="20"/>
          <w:color w:val="auto"/>
        </w:rPr>
      </w:pPr>
      <w:r>
        <w:rPr>
          <w:rFonts w:ascii="Arial" w:cs="Arial" w:eastAsia="Arial" w:hAnsi="Arial"/>
          <w:sz w:val="18"/>
          <w:szCs w:val="18"/>
          <w:color w:val="auto"/>
        </w:rPr>
        <w:t>Cash provided by financing activities was $5.6 million for the three months ended January 31, 2022, which related principally to the net proceeds on our credit facilities totaling $26.3 million, partially offset by, the payment of a $20.3 million dividend and payments on long-term obligations of $0.4 million.</w:t>
      </w:r>
    </w:p>
    <w:p>
      <w:pPr>
        <w:spacing w:after="0" w:line="184"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Our principal sources of liquidity are our existing cash reserves, cash generated from operations and amounts available for borrowing under our existing credit facilities. Restricted cash, cash and cash equivalents as of January 31, 2022 and October 31, 2021 totaled $8.8 million and $2.9 million. Our working capital at January 31, 2022 was $62.7 million, compared to $38.0 million at October 31, 2021.</w:t>
      </w:r>
    </w:p>
    <w:p>
      <w:pPr>
        <w:spacing w:after="0" w:line="187" w:lineRule="exact"/>
        <w:rPr>
          <w:sz w:val="20"/>
          <w:szCs w:val="20"/>
          <w:color w:val="auto"/>
        </w:rPr>
      </w:pPr>
    </w:p>
    <w:p>
      <w:pPr>
        <w:ind w:left="40" w:right="79" w:firstLine="259"/>
        <w:spacing w:after="0" w:line="270" w:lineRule="auto"/>
        <w:rPr>
          <w:sz w:val="20"/>
          <w:szCs w:val="20"/>
          <w:color w:val="auto"/>
        </w:rPr>
      </w:pPr>
      <w:r>
        <w:rPr>
          <w:rFonts w:ascii="Arial" w:cs="Arial" w:eastAsia="Arial" w:hAnsi="Arial"/>
          <w:sz w:val="17"/>
          <w:szCs w:val="17"/>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is $80 million and it expires in January 2026. For our Credit Facility, the weighted-average interest rate was 1.9% and 2.2% at January 31, 2022 and October 31, 2021. Under the Credit Facility, we had $64.0 million and $37.7 million outstanding as January 31, 2022 and October 31, 2021.</w:t>
      </w:r>
    </w:p>
    <w:p>
      <w:pPr>
        <w:spacing w:after="0" w:line="181" w:lineRule="exact"/>
        <w:rPr>
          <w:sz w:val="20"/>
          <w:szCs w:val="20"/>
          <w:color w:val="auto"/>
        </w:rPr>
      </w:pPr>
    </w:p>
    <w:p>
      <w:pPr>
        <w:ind w:left="40" w:right="99" w:firstLine="360"/>
        <w:spacing w:after="0" w:line="257" w:lineRule="auto"/>
        <w:rPr>
          <w:sz w:val="20"/>
          <w:szCs w:val="20"/>
          <w:color w:val="auto"/>
        </w:rPr>
      </w:pPr>
      <w:r>
        <w:rPr>
          <w:rFonts w:ascii="Arial" w:cs="Arial" w:eastAsia="Arial" w:hAnsi="Arial"/>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Calavo de Mexico (CDM) as a guarantor, increased the interested rate by 0.5%, and amended the financial covenant requirements as follows:</w:t>
      </w:r>
    </w:p>
    <w:p>
      <w:pPr>
        <w:spacing w:after="0" w:line="188" w:lineRule="exact"/>
        <w:rPr>
          <w:sz w:val="20"/>
          <w:szCs w:val="20"/>
          <w:color w:val="auto"/>
        </w:rPr>
      </w:pPr>
    </w:p>
    <w:p>
      <w:pPr>
        <w:ind w:left="720" w:right="439" w:hanging="325"/>
        <w:spacing w:after="0" w:line="291"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Fixed Charge Coverage Ratio (FCCR) covenant will be waived for the quarters ended October 31, 2021, January 31, 2022 and April 30, 2022. The covenant will resume for the quarter ended July 31, 2022.</w:t>
      </w:r>
    </w:p>
    <w:p>
      <w:pPr>
        <w:jc w:val="both"/>
        <w:ind w:left="720" w:right="659" w:hanging="325"/>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FCCR covenant will be replaced by a cumulative monthly minimum Consolidated EBITDA covenant, with the first measurement to occur as of January 31, 2022 for the three months then ended, and continuing monthly thereafter through June 2022.</w:t>
      </w:r>
    </w:p>
    <w:p>
      <w:pPr>
        <w:spacing w:after="0" w:line="1" w:lineRule="exact"/>
        <w:rPr>
          <w:rFonts w:ascii="Arial" w:cs="Arial" w:eastAsia="Arial" w:hAnsi="Arial"/>
          <w:sz w:val="18"/>
          <w:szCs w:val="18"/>
          <w:color w:val="auto"/>
        </w:rPr>
      </w:pPr>
    </w:p>
    <w:p>
      <w:pPr>
        <w:ind w:left="720" w:right="299" w:hanging="325"/>
        <w:spacing w:after="0" w:line="323"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Consolidated financial statements must be submitted monthly for the month and year-to-date period, beginning with the financial statements for the month of November 2021 and continuing through June 2022.</w:t>
      </w:r>
    </w:p>
    <w:p>
      <w:pPr>
        <w:spacing w:after="0" w:line="138" w:lineRule="exact"/>
        <w:rPr>
          <w:sz w:val="20"/>
          <w:szCs w:val="20"/>
          <w:color w:val="auto"/>
        </w:rPr>
      </w:pPr>
    </w:p>
    <w:p>
      <w:pPr>
        <w:ind w:left="40" w:right="299" w:firstLine="135"/>
        <w:spacing w:after="0" w:line="277" w:lineRule="auto"/>
        <w:rPr>
          <w:sz w:val="20"/>
          <w:szCs w:val="20"/>
          <w:color w:val="auto"/>
        </w:rPr>
      </w:pPr>
      <w:r>
        <w:rPr>
          <w:rFonts w:ascii="Arial" w:cs="Arial" w:eastAsia="Arial" w:hAnsi="Arial"/>
          <w:sz w:val="18"/>
          <w:szCs w:val="18"/>
          <w:color w:val="auto"/>
        </w:rPr>
        <w:t>The Company also pledged the 1,677,000 shares it holds of Limoneira stock as collateral (which was in addition to the general business assets of the Company that already secure the credit facility).</w:t>
      </w:r>
    </w:p>
    <w:p>
      <w:pPr>
        <w:spacing w:after="0" w:line="170" w:lineRule="exact"/>
        <w:rPr>
          <w:sz w:val="20"/>
          <w:szCs w:val="20"/>
          <w:color w:val="auto"/>
        </w:rPr>
      </w:pPr>
    </w:p>
    <w:p>
      <w:pPr>
        <w:ind w:left="40" w:right="379" w:firstLine="180"/>
        <w:spacing w:after="0" w:line="277" w:lineRule="auto"/>
        <w:rPr>
          <w:sz w:val="20"/>
          <w:szCs w:val="20"/>
          <w:color w:val="auto"/>
        </w:rPr>
      </w:pPr>
      <w:r>
        <w:rPr>
          <w:rFonts w:ascii="Arial" w:cs="Arial" w:eastAsia="Arial" w:hAnsi="Arial"/>
          <w:sz w:val="18"/>
          <w:szCs w:val="18"/>
          <w:color w:val="auto"/>
        </w:rPr>
        <w:t>The above terms and conditions will remain in effect until such time as the Company has certified compliance with a 1.15 to 1.0 minimum FCCR for two consecutive fiscal quarters.</w:t>
      </w:r>
    </w:p>
    <w:p>
      <w:pPr>
        <w:spacing w:after="0" w:line="170" w:lineRule="exact"/>
        <w:rPr>
          <w:sz w:val="20"/>
          <w:szCs w:val="20"/>
          <w:color w:val="auto"/>
        </w:rPr>
      </w:pPr>
    </w:p>
    <w:p>
      <w:pPr>
        <w:ind w:left="40" w:right="99" w:firstLine="180"/>
        <w:spacing w:after="0" w:line="275" w:lineRule="auto"/>
        <w:rPr>
          <w:sz w:val="20"/>
          <w:szCs w:val="20"/>
          <w:color w:val="auto"/>
        </w:rPr>
      </w:pPr>
      <w:r>
        <w:rPr>
          <w:rFonts w:ascii="Arial" w:cs="Arial" w:eastAsia="Arial" w:hAnsi="Arial"/>
          <w:sz w:val="17"/>
          <w:szCs w:val="17"/>
          <w:color w:val="auto"/>
        </w:rPr>
        <w:t>As of January 31, 2022, the Company was not in compliance with the cumulative monthly minimum Consolidated EBITDA covenant, and the Consolidated Leverage Ratio (CLR) covenant. In March 2022, the Company and Bank of America, N.A. have entered into the Sixth Amendment, Limited Waiver, and Limited Consent to Credit Agreement (the “Sixth Amendment”). The Sixth Amendment, among other terms, waived the non-compliance of the financial covenants as of January 31, 2022 and amended the financial covenant requirements as follows:</w:t>
      </w:r>
    </w:p>
    <w:p>
      <w:pPr>
        <w:spacing w:after="0" w:line="176" w:lineRule="exact"/>
        <w:rPr>
          <w:sz w:val="20"/>
          <w:szCs w:val="20"/>
          <w:color w:val="auto"/>
        </w:rPr>
      </w:pPr>
    </w:p>
    <w:p>
      <w:pPr>
        <w:ind w:left="980" w:right="419" w:hanging="329"/>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cumulative monthly minimum Consolidated EBITDA testing has been waived and the CLR covenant testing is waived through July 31, 2022.</w:t>
      </w:r>
    </w:p>
    <w:p>
      <w:pPr>
        <w:spacing w:after="0" w:line="1" w:lineRule="exact"/>
        <w:rPr>
          <w:rFonts w:ascii="Arial" w:cs="Arial" w:eastAsia="Arial" w:hAnsi="Arial"/>
          <w:sz w:val="18"/>
          <w:szCs w:val="18"/>
          <w:color w:val="auto"/>
        </w:rPr>
      </w:pPr>
    </w:p>
    <w:p>
      <w:pPr>
        <w:ind w:left="980" w:right="179" w:hanging="329"/>
        <w:spacing w:after="0" w:line="26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Consolidated EBITDA of $3 million, $3 million and $5 million for the months of February, March and April 2022, respectively, will be required.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right="139" w:hanging="329"/>
        <w:spacing w:after="0" w:line="28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Monthly cumulative FCCR of 1.20 will be required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206" w:lineRule="exact"/>
        <w:rPr>
          <w:sz w:val="20"/>
          <w:szCs w:val="20"/>
          <w:color w:val="auto"/>
        </w:rPr>
      </w:pPr>
    </w:p>
    <w:p>
      <w:pPr>
        <w:ind w:left="40" w:right="199" w:firstLine="180"/>
        <w:spacing w:after="0" w:line="257" w:lineRule="auto"/>
        <w:rPr>
          <w:sz w:val="20"/>
          <w:szCs w:val="20"/>
          <w:color w:val="auto"/>
        </w:rPr>
      </w:pPr>
      <w:r>
        <w:rPr>
          <w:rFonts w:ascii="Arial" w:cs="Arial" w:eastAsia="Arial" w:hAnsi="Arial"/>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expect to remain in compliance with the Credit Agreement, as so amended, through March 2023.</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Contractual Commitments</w:t>
      </w:r>
    </w:p>
    <w:p>
      <w:pPr>
        <w:spacing w:after="0" w:line="229" w:lineRule="exact"/>
        <w:rPr>
          <w:sz w:val="20"/>
          <w:szCs w:val="20"/>
          <w:color w:val="auto"/>
        </w:rPr>
      </w:pPr>
    </w:p>
    <w:p>
      <w:pPr>
        <w:ind w:left="40" w:right="219" w:firstLine="259"/>
        <w:spacing w:after="0" w:line="286" w:lineRule="auto"/>
        <w:rPr>
          <w:sz w:val="20"/>
          <w:szCs w:val="20"/>
          <w:color w:val="auto"/>
        </w:rPr>
      </w:pPr>
      <w:r>
        <w:rPr>
          <w:rFonts w:ascii="Arial" w:cs="Arial" w:eastAsia="Arial" w:hAnsi="Arial"/>
          <w:sz w:val="17"/>
          <w:szCs w:val="17"/>
          <w:color w:val="auto"/>
        </w:rPr>
        <w:t>There have been no other material changes to our contractual commitments from those previously disclosed in our Annual Report on Form 10-K for our fiscal year ended October 31, 2021. For a summary of the contractual commitments at October 31, 2021, see Part II, Item 7, in our 2021 Annual Report on Form 10-K.</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 to the consolidated condensed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2022.</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color w:val="auto"/>
              </w:rPr>
              <w:t>Expected maturity date January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rPr>
              <w:t>2024</w:t>
            </w:r>
          </w:p>
        </w:tc>
        <w:tc>
          <w:tcPr>
            <w:tcW w:w="1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89"/>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2026</w:t>
            </w:r>
          </w:p>
        </w:tc>
        <w:tc>
          <w:tcPr>
            <w:tcW w:w="1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rPr>
              <w:t>2027</w:t>
            </w:r>
          </w:p>
        </w:tc>
        <w:tc>
          <w:tcPr>
            <w:tcW w:w="1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Fair Value</w:t>
            </w:r>
          </w:p>
        </w:tc>
        <w:tc>
          <w:tcPr>
            <w:tcW w:w="20" w:type="dxa"/>
            <w:vAlign w:val="bottom"/>
          </w:tcPr>
          <w:p>
            <w:pPr>
              <w:spacing w:after="0"/>
              <w:rPr>
                <w:sz w:val="12"/>
                <w:szCs w:val="12"/>
                <w:color w:val="auto"/>
              </w:rPr>
            </w:pPr>
          </w:p>
        </w:tc>
      </w:tr>
      <w:tr>
        <w:trPr>
          <w:trHeight w:val="210"/>
        </w:trPr>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cash, cash and cash equivalents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8,796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8,796</w:t>
            </w:r>
          </w:p>
        </w:tc>
        <w:tc>
          <w:tcPr>
            <w:tcW w:w="2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89,467</w:t>
            </w:r>
          </w:p>
        </w:tc>
        <w:tc>
          <w:tcPr>
            <w:tcW w:w="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Advances to suppliers (1)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9,951</w:t>
            </w:r>
          </w:p>
        </w:tc>
        <w:tc>
          <w:tcPr>
            <w:tcW w:w="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37,798</w:t>
            </w:r>
          </w:p>
        </w:tc>
        <w:tc>
          <w:tcPr>
            <w:tcW w:w="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Accounts payable (1)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11,848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11,848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11,848</w:t>
            </w:r>
          </w:p>
        </w:tc>
        <w:tc>
          <w:tcPr>
            <w:tcW w:w="2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Borrowings pursuant to credit facilities (1)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64,000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64,000</w:t>
            </w:r>
          </w:p>
        </w:tc>
        <w:tc>
          <w:tcPr>
            <w:tcW w:w="20" w:type="dxa"/>
            <w:vAlign w:val="bottom"/>
            <w:shd w:val="clear" w:color="auto" w:fill="CCEEFF"/>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6" w:lineRule="exact"/>
        <w:rPr>
          <w:sz w:val="20"/>
          <w:szCs w:val="20"/>
          <w:color w:val="auto"/>
        </w:rPr>
      </w:pPr>
    </w:p>
    <w:p>
      <w:pPr>
        <w:ind w:left="360" w:right="119" w:hanging="316"/>
        <w:spacing w:after="0" w:line="238"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7"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losses for the three months ended January 31, 2022, net of gains, was $0.6 million. Total foreign currency remeasurement gains for the three months ended January 31, 2021, net of losses, was $1.1 million.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left="40" w:right="159" w:firstLine="259"/>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January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379" w:firstLine="259"/>
        <w:spacing w:after="0" w:line="263" w:lineRule="auto"/>
        <w:rPr>
          <w:sz w:val="20"/>
          <w:szCs w:val="20"/>
          <w:color w:val="auto"/>
        </w:rPr>
      </w:pPr>
      <w:r>
        <w:rPr>
          <w:rFonts w:ascii="Arial" w:cs="Arial" w:eastAsia="Arial" w:hAnsi="Arial"/>
          <w:sz w:val="18"/>
          <w:szCs w:val="18"/>
          <w:color w:val="auto"/>
        </w:rPr>
        <w:t>From time to time, we are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259"/>
        <w:spacing w:after="0" w:line="287" w:lineRule="auto"/>
        <w:rPr>
          <w:sz w:val="20"/>
          <w:szCs w:val="20"/>
          <w:color w:val="auto"/>
        </w:rPr>
      </w:pPr>
      <w:r>
        <w:rPr>
          <w:rFonts w:ascii="Arial" w:cs="Arial" w:eastAsia="Arial" w:hAnsi="Arial"/>
          <w:sz w:val="16"/>
          <w:szCs w:val="16"/>
          <w:color w:val="auto"/>
        </w:rPr>
        <w:t>For a discussion of our risk factors, see Part 1, item 1A “Risk Factors” of our Annual Report on Form 10-K for the year ended October 31, 2021. There have been no material changes from the risk factors set forth in such Annual Report on Form 10-K. However, the risks and uncertainties that we face are not limited to those set forth in the 2021 Form 10-</w:t>
      </w:r>
    </w:p>
    <w:p>
      <w:pPr>
        <w:spacing w:after="0" w:line="2" w:lineRule="exact"/>
        <w:rPr>
          <w:sz w:val="20"/>
          <w:szCs w:val="20"/>
          <w:color w:val="auto"/>
        </w:rPr>
      </w:pPr>
    </w:p>
    <w:p>
      <w:pPr>
        <w:ind w:left="40" w:right="459" w:firstLine="4"/>
        <w:spacing w:after="0" w:line="260"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risks and uncertainties not presently known to us or that we currently believe to be immaterial may also adversely affect our business and the trading price of our common stock.</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ind w:left="40" w:right="419" w:firstLine="180"/>
        <w:spacing w:after="0" w:line="259" w:lineRule="auto"/>
        <w:rPr>
          <w:sz w:val="20"/>
          <w:szCs w:val="20"/>
          <w:color w:val="auto"/>
        </w:rPr>
      </w:pPr>
      <w:r>
        <w:rPr>
          <w:rFonts w:ascii="Arial" w:cs="Arial" w:eastAsia="Arial" w:hAnsi="Arial"/>
          <w:sz w:val="18"/>
          <w:szCs w:val="18"/>
          <w:color w:val="auto"/>
        </w:rPr>
        <w:t>Because this Quarterly Report on Form 10-Q is being filed within four business days after the applicable triggering events, the information below is being disclosed under this Item 5 instead of under Item 1.01 (Entry into a Material Definitive Agreement) and Item 2.03 (Creation of a Direct Financial Obligation or an Obligation under an Off-Balance Sheet Arrangement of Registrant) of Form 8-K.</w:t>
      </w:r>
    </w:p>
    <w:p>
      <w:pPr>
        <w:spacing w:after="0" w:line="214" w:lineRule="exact"/>
        <w:rPr>
          <w:sz w:val="20"/>
          <w:szCs w:val="20"/>
          <w:color w:val="auto"/>
        </w:rPr>
      </w:pPr>
    </w:p>
    <w:p>
      <w:pPr>
        <w:ind w:left="40" w:right="99" w:firstLine="180"/>
        <w:spacing w:after="0" w:line="257" w:lineRule="auto"/>
        <w:rPr>
          <w:sz w:val="20"/>
          <w:szCs w:val="20"/>
          <w:color w:val="auto"/>
        </w:rPr>
      </w:pPr>
      <w:r>
        <w:rPr>
          <w:rFonts w:ascii="Arial" w:cs="Arial" w:eastAsia="Arial" w:hAnsi="Arial"/>
          <w:sz w:val="18"/>
          <w:szCs w:val="18"/>
          <w:color w:val="auto"/>
        </w:rPr>
        <w:t>On March 14, 2022, the Company and Bank of America, N.A., as administrative agent (“Bank of America”), and Farm Credit West, PCA (together with Bank of America, the “Lenders”) entered into the Sixth Amendment, Limited Waiver, and Limited Consent to Credit Agreement (the “Sixth Amendment”). The Sixth Amendment, among other terms, waived non-compliance with certain financial covenants as of January 31, 2022 and amended the financial covenant requirements as follows:</w:t>
      </w:r>
    </w:p>
    <w:p>
      <w:pPr>
        <w:spacing w:after="0" w:line="228" w:lineRule="exact"/>
        <w:rPr>
          <w:sz w:val="20"/>
          <w:szCs w:val="20"/>
          <w:color w:val="auto"/>
        </w:rPr>
      </w:pPr>
    </w:p>
    <w:p>
      <w:pPr>
        <w:ind w:left="980" w:right="419" w:hanging="329"/>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cumulative monthly minimum Consolidated EBITDA testing has been waived and the CLR covenant testing is waived through July 31, 2022.</w:t>
      </w:r>
    </w:p>
    <w:p>
      <w:pPr>
        <w:spacing w:after="0" w:line="1" w:lineRule="exact"/>
        <w:rPr>
          <w:rFonts w:ascii="Arial" w:cs="Arial" w:eastAsia="Arial" w:hAnsi="Arial"/>
          <w:sz w:val="18"/>
          <w:szCs w:val="18"/>
          <w:color w:val="auto"/>
        </w:rPr>
      </w:pPr>
    </w:p>
    <w:p>
      <w:pPr>
        <w:ind w:left="980" w:right="179" w:hanging="329"/>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Minimum Consolidated EBITDA of $3 million, $3 million and $5 million for the months of February, March and April 2022, respectively, will be required.</w:t>
      </w:r>
    </w:p>
    <w:p>
      <w:pPr>
        <w:ind w:left="980" w:right="139" w:hanging="329"/>
        <w:spacing w:after="0" w:line="277"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Monthly cumulative FCCR of 1.20 will be required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173" w:lineRule="exact"/>
        <w:rPr>
          <w:sz w:val="20"/>
          <w:szCs w:val="20"/>
          <w:color w:val="auto"/>
        </w:rPr>
      </w:pPr>
    </w:p>
    <w:p>
      <w:pPr>
        <w:ind w:left="40" w:right="199" w:firstLine="259"/>
        <w:spacing w:after="0" w:line="257" w:lineRule="auto"/>
        <w:rPr>
          <w:sz w:val="20"/>
          <w:szCs w:val="20"/>
          <w:color w:val="auto"/>
        </w:rPr>
      </w:pPr>
      <w:r>
        <w:rPr>
          <w:rFonts w:ascii="Arial" w:cs="Arial" w:eastAsia="Arial" w:hAnsi="Arial"/>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plus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7">
        <w:r>
          <w:rPr>
            <w:rFonts w:ascii="Arial" w:cs="Arial" w:eastAsia="Arial" w:hAnsi="Arial"/>
            <w:sz w:val="16"/>
            <w:szCs w:val="16"/>
            <w:u w:val="single" w:color="auto"/>
            <w:color w:val="0000EE"/>
          </w:rPr>
          <w:t>Form of Notice of Restricted Stock Award *</w:t>
        </w:r>
      </w:hyperlink>
    </w:p>
    <w:p>
      <w:pPr>
        <w:spacing w:after="0" w:line="198"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45">
        <w:r>
          <w:rPr>
            <w:rFonts w:ascii="Arial" w:cs="Arial" w:eastAsia="Arial" w:hAnsi="Arial"/>
            <w:sz w:val="16"/>
            <w:szCs w:val="16"/>
            <w:u w:val="single" w:color="auto"/>
            <w:color w:val="0000EE"/>
          </w:rPr>
          <w:t>Form of Notice of Stock Option Award *</w:t>
        </w:r>
      </w:hyperlink>
    </w:p>
    <w:p>
      <w:pPr>
        <w:spacing w:after="0" w:line="198" w:lineRule="exact"/>
        <w:rPr>
          <w:sz w:val="20"/>
          <w:szCs w:val="20"/>
          <w:color w:val="auto"/>
        </w:rPr>
      </w:pPr>
    </w:p>
    <w:p>
      <w:pPr>
        <w:ind w:left="1440" w:right="59" w:hanging="525"/>
        <w:spacing w:after="0" w:line="261"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49">
        <w:r>
          <w:rPr>
            <w:rFonts w:ascii="Arial" w:cs="Arial" w:eastAsia="Arial" w:hAnsi="Arial"/>
            <w:sz w:val="18"/>
            <w:szCs w:val="18"/>
            <w:u w:val="single" w:color="auto"/>
            <w:color w:val="0000EE"/>
          </w:rPr>
          <w:t>Fourth Amendment, joinder, Limited Waiver and Limited Consent to Credit Agreement, dated</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December 1, 2021.</w:t>
        </w:r>
      </w:hyperlink>
    </w:p>
    <w:p>
      <w:pPr>
        <w:spacing w:after="0" w:line="157"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50">
        <w:r>
          <w:rPr>
            <w:rFonts w:ascii="Arial" w:cs="Arial" w:eastAsia="Arial" w:hAnsi="Arial"/>
            <w:sz w:val="16"/>
            <w:szCs w:val="16"/>
            <w:u w:val="single" w:color="auto"/>
            <w:color w:val="0000EE"/>
          </w:rPr>
          <w:t>Fifth Amendment to Credit Agreement, dated December 1, 2021.</w:t>
        </w:r>
      </w:hyperlink>
    </w:p>
    <w:p>
      <w:pPr>
        <w:spacing w:after="0" w:line="212"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51">
        <w:r>
          <w:rPr>
            <w:rFonts w:ascii="Arial" w:cs="Arial" w:eastAsia="Arial" w:hAnsi="Arial"/>
            <w:sz w:val="16"/>
            <w:szCs w:val="16"/>
            <w:u w:val="single" w:color="auto"/>
            <w:color w:val="0000EE"/>
          </w:rPr>
          <w:t>Employment Agreement, between the Company and Brian Kocher, dated December 20, 2021.</w:t>
        </w:r>
      </w:hyperlink>
    </w:p>
    <w:p>
      <w:pPr>
        <w:spacing w:after="0" w:line="198"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52">
        <w:r>
          <w:rPr>
            <w:rFonts w:ascii="Arial" w:cs="Arial" w:eastAsia="Arial" w:hAnsi="Arial"/>
            <w:sz w:val="16"/>
            <w:szCs w:val="16"/>
            <w:u w:val="single" w:color="auto"/>
            <w:color w:val="0000EE"/>
          </w:rPr>
          <w:t>Severance and Release Agreement, between the Company and Brian Kocher, dated December 20, 2021.</w:t>
        </w:r>
      </w:hyperlink>
    </w:p>
    <w:p>
      <w:pPr>
        <w:spacing w:after="0" w:line="252" w:lineRule="exact"/>
        <w:rPr>
          <w:sz w:val="20"/>
          <w:szCs w:val="20"/>
          <w:color w:val="auto"/>
        </w:rPr>
      </w:pPr>
    </w:p>
    <w:p>
      <w:pPr>
        <w:ind w:left="92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7">
        <w:r>
          <w:rPr>
            <w:rFonts w:ascii="Arial" w:cs="Arial" w:eastAsia="Arial" w:hAnsi="Arial"/>
            <w:sz w:val="16"/>
            <w:szCs w:val="16"/>
            <w:u w:val="single" w:color="auto"/>
            <w:color w:val="0000EE"/>
          </w:rPr>
          <w:t>Certification of Chief Executive Officer Pursuant to 15 U.S.C. § 7241, as Adopted Pursuant to Section</w:t>
        </w:r>
      </w:hyperlink>
    </w:p>
    <w:p>
      <w:pPr>
        <w:spacing w:after="0" w:line="23" w:lineRule="exact"/>
        <w:rPr>
          <w:sz w:val="20"/>
          <w:szCs w:val="20"/>
          <w:color w:val="auto"/>
        </w:rPr>
      </w:pPr>
    </w:p>
    <w:p>
      <w:pPr>
        <w:ind w:left="1440"/>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211" w:lineRule="exact"/>
        <w:rPr>
          <w:sz w:val="20"/>
          <w:szCs w:val="20"/>
          <w:color w:val="auto"/>
        </w:rPr>
      </w:pPr>
    </w:p>
    <w:p>
      <w:pPr>
        <w:ind w:left="1440" w:right="59" w:hanging="525"/>
        <w:spacing w:after="0" w:line="277" w:lineRule="auto"/>
        <w:tabs>
          <w:tab w:leader="none" w:pos="1420" w:val="left"/>
        </w:tabs>
        <w:rPr>
          <w:rFonts w:ascii="Arial" w:cs="Arial" w:eastAsia="Arial" w:hAnsi="Arial"/>
          <w:sz w:val="18"/>
          <w:szCs w:val="18"/>
          <w:color w:val="0000EE"/>
        </w:rPr>
      </w:pPr>
      <w:r>
        <w:rPr>
          <w:rFonts w:ascii="Arial" w:cs="Arial" w:eastAsia="Arial" w:hAnsi="Arial"/>
          <w:sz w:val="18"/>
          <w:szCs w:val="18"/>
          <w:color w:val="auto"/>
        </w:rPr>
        <w:t>31.2</w:t>
      </w:r>
      <w:r>
        <w:rPr>
          <w:sz w:val="20"/>
          <w:szCs w:val="20"/>
          <w:color w:val="auto"/>
        </w:rPr>
        <w:tab/>
      </w:r>
      <w:hyperlink w:anchor="page58">
        <w:r>
          <w:rPr>
            <w:rFonts w:ascii="Arial" w:cs="Arial" w:eastAsia="Arial" w:hAnsi="Arial"/>
            <w:sz w:val="18"/>
            <w:szCs w:val="18"/>
            <w:u w:val="single" w:color="auto"/>
            <w:color w:val="0000EE"/>
          </w:rPr>
          <w:t>Certification of Principal Financial Officer Pursuant to 15 U.S.C. § 7241, as Adopted Pursuant to</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Section 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170" w:lineRule="exact"/>
        <w:rPr>
          <w:sz w:val="20"/>
          <w:szCs w:val="20"/>
          <w:color w:val="auto"/>
        </w:rPr>
      </w:pPr>
    </w:p>
    <w:p>
      <w:pPr>
        <w:ind w:left="1440" w:right="79" w:hanging="525"/>
        <w:spacing w:after="0" w:line="277" w:lineRule="auto"/>
        <w:tabs>
          <w:tab w:leader="none" w:pos="1420" w:val="left"/>
        </w:tabs>
        <w:rPr>
          <w:rFonts w:ascii="Arial" w:cs="Arial" w:eastAsia="Arial" w:hAnsi="Arial"/>
          <w:sz w:val="18"/>
          <w:szCs w:val="18"/>
          <w:color w:val="0000EE"/>
        </w:rPr>
      </w:pPr>
      <w:r>
        <w:rPr>
          <w:rFonts w:ascii="Arial" w:cs="Arial" w:eastAsia="Arial" w:hAnsi="Arial"/>
          <w:sz w:val="18"/>
          <w:szCs w:val="18"/>
          <w:color w:val="auto"/>
        </w:rPr>
        <w:t>32.1</w:t>
      </w:r>
      <w:r>
        <w:rPr>
          <w:sz w:val="20"/>
          <w:szCs w:val="20"/>
          <w:color w:val="auto"/>
        </w:rPr>
        <w:tab/>
      </w:r>
      <w:hyperlink w:anchor="page59">
        <w:r>
          <w:rPr>
            <w:rFonts w:ascii="Arial" w:cs="Arial" w:eastAsia="Arial" w:hAnsi="Arial"/>
            <w:sz w:val="18"/>
            <w:szCs w:val="18"/>
            <w:u w:val="single" w:color="auto"/>
            <w:color w:val="0000EE"/>
          </w:rPr>
          <w:t>Certification by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U.S.C. Section 1350.</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170" w:lineRule="exact"/>
        <w:rPr>
          <w:sz w:val="20"/>
          <w:szCs w:val="20"/>
          <w:color w:val="auto"/>
        </w:rPr>
      </w:pPr>
    </w:p>
    <w:p>
      <w:pPr>
        <w:jc w:val="both"/>
        <w:ind w:left="1440" w:right="59" w:hanging="527"/>
        <w:spacing w:after="0" w:line="287" w:lineRule="auto"/>
        <w:tabs>
          <w:tab w:leader="none" w:pos="1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January 31, 2022, formatted in Inline XBRL (Extensible Business Reporting Language): (1) Consolidated Condensed Balance Sheets as of January 31, 2022 and October 31, 2021;</w:t>
      </w:r>
    </w:p>
    <w:p>
      <w:pPr>
        <w:spacing w:after="0" w:line="2" w:lineRule="exact"/>
        <w:rPr>
          <w:rFonts w:ascii="Arial" w:cs="Arial" w:eastAsia="Arial" w:hAnsi="Arial"/>
          <w:sz w:val="16"/>
          <w:szCs w:val="16"/>
          <w:color w:val="auto"/>
        </w:rPr>
      </w:pPr>
    </w:p>
    <w:p>
      <w:pPr>
        <w:jc w:val="both"/>
        <w:ind w:left="1440" w:right="59"/>
        <w:spacing w:after="0" w:line="295" w:lineRule="auto"/>
        <w:rPr>
          <w:rFonts w:ascii="Arial" w:cs="Arial" w:eastAsia="Arial" w:hAnsi="Arial"/>
          <w:sz w:val="16"/>
          <w:szCs w:val="16"/>
          <w:color w:val="auto"/>
        </w:rPr>
      </w:pPr>
      <w:r>
        <w:rPr>
          <w:rFonts w:ascii="Arial" w:cs="Arial" w:eastAsia="Arial" w:hAnsi="Arial"/>
          <w:sz w:val="16"/>
          <w:szCs w:val="16"/>
          <w:color w:val="auto"/>
        </w:rPr>
        <w:t>(2) Consolidated Condensed Statements of Operations for the three months ended January 31, 2022 and 2021; (3) Consolidated Condensed Statements of Cash Flows for the three months ended January 31, 2022 and 2021; (4) Consolidated Statements of Shareholders’ Equity for the three months ended January 31, 2022 and 2021; and (5) Notes to Consolidated Condensed Financial Statements.</w:t>
      </w:r>
    </w:p>
    <w:p>
      <w:pPr>
        <w:spacing w:after="0" w:line="161" w:lineRule="exact"/>
        <w:rPr>
          <w:sz w:val="20"/>
          <w:szCs w:val="20"/>
          <w:color w:val="auto"/>
        </w:rPr>
      </w:pPr>
    </w:p>
    <w:p>
      <w:pPr>
        <w:ind w:left="1440" w:hanging="527"/>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25"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Filed with this Form 10-Q.</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(Registrant)</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March 14, 2022</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Kocher</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Brian Kocher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March 14, 2022</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Mariela Matute</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Mariela Matute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GRANT NOTICE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09"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Calavo Growers, Inc. (the “</w:t>
      </w:r>
      <w:r>
        <w:rPr>
          <w:rFonts w:ascii="Arial" w:cs="Arial" w:eastAsia="Arial" w:hAnsi="Arial"/>
          <w:sz w:val="21"/>
          <w:szCs w:val="21"/>
          <w:b w:val="1"/>
          <w:bCs w:val="1"/>
          <w:color w:val="auto"/>
        </w:rPr>
        <w:t>Company</w:t>
      </w:r>
      <w:r>
        <w:rPr>
          <w:rFonts w:ascii="Arial" w:cs="Arial" w:eastAsia="Arial" w:hAnsi="Arial"/>
          <w:sz w:val="21"/>
          <w:szCs w:val="21"/>
          <w:color w:val="auto"/>
        </w:rPr>
        <w:t>”), pursuant to its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hereby grants to the Participant named below a Restricted Stock Award (the “</w:t>
      </w:r>
      <w:r>
        <w:rPr>
          <w:rFonts w:ascii="Arial" w:cs="Arial" w:eastAsia="Arial" w:hAnsi="Arial"/>
          <w:sz w:val="21"/>
          <w:szCs w:val="21"/>
          <w:b w:val="1"/>
          <w:bCs w:val="1"/>
          <w:color w:val="auto"/>
        </w:rPr>
        <w:t>Award</w:t>
      </w:r>
      <w:r>
        <w:rPr>
          <w:rFonts w:ascii="Arial" w:cs="Arial" w:eastAsia="Arial" w:hAnsi="Arial"/>
          <w:sz w:val="21"/>
          <w:szCs w:val="21"/>
          <w:color w:val="auto"/>
        </w:rPr>
        <w:t>”) for the number of shares of the Company’s Common Stock (the “</w:t>
      </w:r>
      <w:r>
        <w:rPr>
          <w:rFonts w:ascii="Arial" w:cs="Arial" w:eastAsia="Arial" w:hAnsi="Arial"/>
          <w:sz w:val="21"/>
          <w:szCs w:val="21"/>
          <w:b w:val="1"/>
          <w:bCs w:val="1"/>
          <w:color w:val="auto"/>
        </w:rPr>
        <w:t>Shares</w:t>
      </w:r>
      <w:r>
        <w:rPr>
          <w:rFonts w:ascii="Arial" w:cs="Arial" w:eastAsia="Arial" w:hAnsi="Arial"/>
          <w:sz w:val="21"/>
          <w:szCs w:val="21"/>
          <w:color w:val="auto"/>
        </w:rPr>
        <w:t>”) set forth below. The Award is subject to all of the terms and conditions as set forth in this Restricted Stock Award Grant Notice (this “</w:t>
      </w:r>
      <w:r>
        <w:rPr>
          <w:rFonts w:ascii="Arial" w:cs="Arial" w:eastAsia="Arial" w:hAnsi="Arial"/>
          <w:sz w:val="21"/>
          <w:szCs w:val="21"/>
          <w:b w:val="1"/>
          <w:bCs w:val="1"/>
          <w:color w:val="auto"/>
        </w:rPr>
        <w:t>Grant Notice</w:t>
      </w:r>
      <w:r>
        <w:rPr>
          <w:rFonts w:ascii="Arial" w:cs="Arial" w:eastAsia="Arial" w:hAnsi="Arial"/>
          <w:sz w:val="21"/>
          <w:szCs w:val="21"/>
          <w:color w:val="auto"/>
        </w:rPr>
        <w:t>”), and in the Plan and the attached Restricted Stock Award Agreement (the “</w:t>
      </w:r>
      <w:r>
        <w:rPr>
          <w:rFonts w:ascii="Arial" w:cs="Arial" w:eastAsia="Arial" w:hAnsi="Arial"/>
          <w:sz w:val="21"/>
          <w:szCs w:val="21"/>
          <w:b w:val="1"/>
          <w:bCs w:val="1"/>
          <w:color w:val="auto"/>
        </w:rPr>
        <w:t>Award Agreement</w:t>
      </w:r>
      <w:r>
        <w:rPr>
          <w:rFonts w:ascii="Arial" w:cs="Arial" w:eastAsia="Arial" w:hAnsi="Arial"/>
          <w:sz w:val="21"/>
          <w:szCs w:val="21"/>
          <w:color w:val="auto"/>
        </w:rPr>
        <w:t>”), both of which are incorporated herein in their entirety. Capitalized terms used but not defined in this Grant Notice shall have the meanings set forth in the Award Agreement or the Plan, as applicable.</w:t>
      </w: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Participant: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Vesting Commencement Date:</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Number of Shares of Common Stock:</w:t>
      </w:r>
    </w:p>
    <w:p>
      <w:pPr>
        <w:spacing w:after="0" w:line="233" w:lineRule="exact"/>
        <w:rPr>
          <w:sz w:val="20"/>
          <w:szCs w:val="20"/>
          <w:color w:val="auto"/>
        </w:rPr>
      </w:pPr>
    </w:p>
    <w:p>
      <w:pPr>
        <w:ind w:left="100"/>
        <w:spacing w:after="0"/>
        <w:tabs>
          <w:tab w:leader="none" w:pos="228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On _______, _____ of the Shares shall fully vest and become non-forfeitable if the</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Participant is serving as an Employee of the Company on that date; on _____, _____</w:t>
      </w:r>
    </w:p>
    <w:p>
      <w:pPr>
        <w:spacing w:after="0" w:line="25" w:lineRule="exact"/>
        <w:rPr>
          <w:sz w:val="20"/>
          <w:szCs w:val="20"/>
          <w:color w:val="auto"/>
        </w:rPr>
      </w:pPr>
    </w:p>
    <w:p>
      <w:pPr>
        <w:ind w:left="2300" w:right="120"/>
        <w:spacing w:after="0" w:line="266" w:lineRule="auto"/>
        <w:rPr>
          <w:sz w:val="20"/>
          <w:szCs w:val="20"/>
          <w:color w:val="auto"/>
        </w:rPr>
      </w:pPr>
      <w:r>
        <w:rPr>
          <w:rFonts w:ascii="Arial" w:cs="Arial" w:eastAsia="Arial" w:hAnsi="Arial"/>
          <w:sz w:val="19"/>
          <w:szCs w:val="19"/>
          <w:color w:val="auto"/>
        </w:rPr>
        <w:t>of the Shares shall fully vest and become non-forfeitable if the Participant is serving as an Employee of the Company on that date; and on ______, the remaining _____ of the</w:t>
      </w:r>
    </w:p>
    <w:p>
      <w:pPr>
        <w:spacing w:after="0" w:line="2" w:lineRule="exact"/>
        <w:rPr>
          <w:sz w:val="20"/>
          <w:szCs w:val="20"/>
          <w:color w:val="auto"/>
        </w:rPr>
      </w:pPr>
    </w:p>
    <w:p>
      <w:pPr>
        <w:ind w:left="2300" w:right="420"/>
        <w:spacing w:after="0" w:line="236" w:lineRule="auto"/>
        <w:rPr>
          <w:sz w:val="20"/>
          <w:szCs w:val="20"/>
          <w:color w:val="auto"/>
        </w:rPr>
      </w:pPr>
      <w:r>
        <w:rPr>
          <w:rFonts w:ascii="Arial" w:cs="Arial" w:eastAsia="Arial" w:hAnsi="Arial"/>
          <w:sz w:val="22"/>
          <w:szCs w:val="22"/>
          <w:color w:val="auto"/>
        </w:rPr>
        <w:t>Shares shall fully vest and become non-forfeitable if the Participant is serving as an Employee of the Company on that date.</w:t>
      </w:r>
    </w:p>
    <w:p>
      <w:pPr>
        <w:spacing w:after="0" w:line="214" w:lineRule="exact"/>
        <w:rPr>
          <w:sz w:val="20"/>
          <w:szCs w:val="20"/>
          <w:color w:val="auto"/>
        </w:rPr>
      </w:pPr>
    </w:p>
    <w:p>
      <w:pPr>
        <w:ind w:left="2300" w:right="220"/>
        <w:spacing w:after="0" w:line="277" w:lineRule="auto"/>
        <w:rPr>
          <w:sz w:val="20"/>
          <w:szCs w:val="20"/>
          <w:color w:val="auto"/>
        </w:rPr>
      </w:pPr>
      <w:r>
        <w:rPr>
          <w:rFonts w:ascii="Arial" w:cs="Arial" w:eastAsia="Arial" w:hAnsi="Arial"/>
          <w:sz w:val="19"/>
          <w:szCs w:val="19"/>
          <w:color w:val="auto"/>
        </w:rPr>
        <w:t>Subject to Section 2 of the Award Agreement, and except as otherwise provided in Section 5(b)(ii) of the Employment Agreement, if the Participant’s Employment terminates for any reason prior to any of the dates described in the first paragraph of this Vesting Schedule, vesting of the Shares shall cease on such termination date and all unvested Shares shall automatically be forfeited by the Participant and reconveyed to the Company without the necessity for any action by the Company or the Participant and without the necessity for any payment by the Company.</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Additional Terms/Acknowledgements</w:t>
      </w:r>
      <w:r>
        <w:rPr>
          <w:rFonts w:ascii="Arial" w:cs="Arial" w:eastAsia="Arial" w:hAnsi="Arial"/>
          <w:sz w:val="19"/>
          <w:szCs w:val="19"/>
          <w:color w:val="auto"/>
        </w:rPr>
        <w:t>: The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Award Agreement and the Plan. The Participant further acknowledges that, as of the Date of Grant, this Grant Notice, the Award Agreement, the Plan and the Participant’s Employment Agreement set forth the entire understanding between the Participant and the Company regarding the Shares and supersede all prior oral and written agreements regarding the Shares. The Participant agrees to be bound by, and to comply with, all provisions of this Grant Notice, the Award Agreement and the Plan, and the Participant agrees to accept as final, binding and conclusive all determinations, interpretations and constructions made by the Plan’s Administrator regarding this Grant Notice, the Award Agreement and the Plan.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Other Terms, If Applicable: </w:t>
      </w:r>
      <w:r>
        <w:rPr>
          <w:rFonts w:ascii="Arial" w:cs="Arial" w:eastAsia="Arial" w:hAnsi="Arial"/>
          <w:sz w:val="22"/>
          <w:szCs w:val="22"/>
          <w:color w:val="auto"/>
        </w:rPr>
        <w:t>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7" w:name="page38"/>
    <w:bookmarkEnd w:id="37"/>
    <w:tbl>
      <w:tblPr>
        <w:tblLayout w:type="fixed"/>
        <w:tblInd w:w="100" w:type="dxa"/>
        <w:tblCellMar>
          <w:top w:w="0" w:type="dxa"/>
          <w:left w:w="0" w:type="dxa"/>
          <w:bottom w:w="0" w:type="dxa"/>
          <w:right w:w="0" w:type="dxa"/>
        </w:tblCellMar>
      </w:tblPr>
      <w:tr>
        <w:trPr>
          <w:trHeight w:val="281"/>
        </w:trPr>
        <w:tc>
          <w:tcPr>
            <w:tcW w:w="3900" w:type="dxa"/>
            <w:vAlign w:val="bottom"/>
            <w:gridSpan w:val="4"/>
          </w:tcPr>
          <w:p>
            <w:pPr>
              <w:spacing w:after="0"/>
              <w:rPr>
                <w:sz w:val="20"/>
                <w:szCs w:val="20"/>
                <w:color w:val="auto"/>
              </w:rPr>
            </w:pPr>
            <w:r>
              <w:rPr>
                <w:rFonts w:ascii="Arial" w:cs="Arial" w:eastAsia="Arial" w:hAnsi="Arial"/>
                <w:sz w:val="22"/>
                <w:szCs w:val="22"/>
                <w:b w:val="1"/>
                <w:bCs w:val="1"/>
                <w:color w:val="auto"/>
              </w:rPr>
              <w:t>CALAVO GROWERS, INC.</w:t>
            </w:r>
          </w:p>
        </w:tc>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1"/>
                <w:szCs w:val="21"/>
                <w:color w:val="auto"/>
              </w:rPr>
            </w:pPr>
          </w:p>
        </w:tc>
        <w:tc>
          <w:tcPr>
            <w:tcW w:w="3500" w:type="dxa"/>
            <w:vAlign w:val="bottom"/>
            <w:gridSpan w:val="3"/>
          </w:tcPr>
          <w:p>
            <w:pPr>
              <w:ind w:left="260"/>
              <w:spacing w:after="0" w:line="242" w:lineRule="exact"/>
              <w:rPr>
                <w:sz w:val="20"/>
                <w:szCs w:val="20"/>
                <w:color w:val="auto"/>
              </w:rPr>
            </w:pPr>
            <w:r>
              <w:rPr>
                <w:rFonts w:ascii="Arial" w:cs="Arial" w:eastAsia="Arial" w:hAnsi="Arial"/>
                <w:sz w:val="22"/>
                <w:szCs w:val="22"/>
                <w:color w:val="auto"/>
              </w:rPr>
              <w:t>Name:</w:t>
            </w:r>
          </w:p>
        </w:tc>
        <w:tc>
          <w:tcPr>
            <w:tcW w:w="1060" w:type="dxa"/>
            <w:vAlign w:val="bottom"/>
          </w:tcPr>
          <w:p>
            <w:pPr>
              <w:spacing w:after="0"/>
              <w:rPr>
                <w:sz w:val="21"/>
                <w:szCs w:val="21"/>
                <w:color w:val="auto"/>
              </w:rPr>
            </w:pPr>
          </w:p>
        </w:tc>
        <w:tc>
          <w:tcPr>
            <w:tcW w:w="3880" w:type="dxa"/>
            <w:vAlign w:val="bottom"/>
          </w:tcPr>
          <w:p>
            <w:pPr>
              <w:spacing w:after="0" w:line="242"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74"/>
        </w:trPr>
        <w:tc>
          <w:tcPr>
            <w:tcW w:w="400" w:type="dxa"/>
            <w:vAlign w:val="bottom"/>
          </w:tcPr>
          <w:p>
            <w:pPr>
              <w:spacing w:after="0"/>
              <w:rPr>
                <w:sz w:val="23"/>
                <w:szCs w:val="23"/>
                <w:color w:val="auto"/>
              </w:rPr>
            </w:pPr>
          </w:p>
        </w:tc>
        <w:tc>
          <w:tcPr>
            <w:tcW w:w="3500" w:type="dxa"/>
            <w:vAlign w:val="bottom"/>
            <w:gridSpan w:val="3"/>
          </w:tcPr>
          <w:p>
            <w:pPr>
              <w:ind w:left="260"/>
              <w:spacing w:after="0"/>
              <w:rPr>
                <w:sz w:val="20"/>
                <w:szCs w:val="20"/>
                <w:color w:val="auto"/>
              </w:rPr>
            </w:pPr>
            <w:r>
              <w:rPr>
                <w:rFonts w:ascii="Arial" w:cs="Arial" w:eastAsia="Arial" w:hAnsi="Arial"/>
                <w:sz w:val="22"/>
                <w:szCs w:val="22"/>
                <w:color w:val="auto"/>
              </w:rPr>
              <w:t>Title:</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00" w:type="dxa"/>
            <w:vAlign w:val="bottom"/>
            <w:vMerge w:val="restart"/>
          </w:tcPr>
          <w:p>
            <w:pPr>
              <w:spacing w:after="0"/>
              <w:rPr>
                <w:sz w:val="20"/>
                <w:szCs w:val="20"/>
                <w:color w:val="auto"/>
              </w:rPr>
            </w:pPr>
            <w:r>
              <w:rPr>
                <w:rFonts w:ascii="Arial" w:cs="Arial" w:eastAsia="Arial" w:hAnsi="Arial"/>
                <w:sz w:val="22"/>
                <w:szCs w:val="22"/>
                <w:color w:val="auto"/>
                <w:w w:val="77"/>
              </w:rPr>
              <w:t>Date</w:t>
            </w: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vMerge w:val="continue"/>
          </w:tcPr>
          <w:p>
            <w:pPr>
              <w:spacing w:after="0"/>
              <w:rPr>
                <w:sz w:val="19"/>
                <w:szCs w:val="19"/>
                <w:color w:val="auto"/>
              </w:rPr>
            </w:pPr>
          </w:p>
        </w:tc>
        <w:tc>
          <w:tcPr>
            <w:tcW w:w="2220" w:type="dxa"/>
            <w:vAlign w:val="bottom"/>
            <w:tcBorders>
              <w:left w:val="single" w:sz="8" w:color="auto"/>
              <w:bottom w:val="single" w:sz="8" w:color="auto"/>
              <w:right w:val="single" w:sz="8" w:color="auto"/>
            </w:tcBorders>
            <w:gridSpan w:val="2"/>
          </w:tcPr>
          <w:p>
            <w:pPr>
              <w:jc w:val="right"/>
              <w:ind w:right="20"/>
              <w:spacing w:after="0" w:line="223" w:lineRule="exact"/>
              <w:rPr>
                <w:sz w:val="20"/>
                <w:szCs w:val="20"/>
                <w:color w:val="auto"/>
              </w:rPr>
            </w:pPr>
            <w:r>
              <w:rPr>
                <w:rFonts w:ascii="Arial" w:cs="Arial" w:eastAsia="Arial" w:hAnsi="Arial"/>
                <w:sz w:val="22"/>
                <w:szCs w:val="22"/>
                <w:color w:val="auto"/>
              </w:rPr>
              <w:t>:______________</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Attachments: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504190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38" w:name="page39"/>
    <w:bookmarkEnd w:id="38"/>
    <w:p>
      <w:pPr>
        <w:ind w:left="4200"/>
        <w:spacing w:after="0"/>
        <w:rPr>
          <w:sz w:val="20"/>
          <w:szCs w:val="20"/>
          <w:color w:val="auto"/>
        </w:rPr>
      </w:pPr>
      <w:r>
        <w:rPr>
          <w:rFonts w:ascii="Arial" w:cs="Arial" w:eastAsia="Arial" w:hAnsi="Arial"/>
          <w:sz w:val="22"/>
          <w:szCs w:val="22"/>
          <w:b w:val="1"/>
          <w:bCs w:val="1"/>
          <w:color w:val="auto"/>
        </w:rPr>
        <w:t>ATTACHMENT</w:t>
      </w:r>
    </w:p>
    <w:p>
      <w:pPr>
        <w:spacing w:after="0" w:line="20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RESTRICTED STOCK AWARD AGREEMENT</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CALAVO GROWERS,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EQUITY INCENTIVE PLAN</w:t>
      </w:r>
    </w:p>
    <w:p>
      <w:pPr>
        <w:spacing w:after="0" w:line="182"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Pursuant to the attached Restricted Stock Award Grant Notice (the “</w:t>
      </w:r>
      <w:r>
        <w:rPr>
          <w:rFonts w:ascii="Arial" w:cs="Arial" w:eastAsia="Arial" w:hAnsi="Arial"/>
          <w:sz w:val="22"/>
          <w:szCs w:val="22"/>
          <w:b w:val="1"/>
          <w:bCs w:val="1"/>
          <w:color w:val="auto"/>
        </w:rPr>
        <w:t>Grant Notice</w:t>
      </w:r>
      <w:r>
        <w:rPr>
          <w:rFonts w:ascii="Arial" w:cs="Arial" w:eastAsia="Arial" w:hAnsi="Arial"/>
          <w:sz w:val="22"/>
          <w:szCs w:val="22"/>
          <w:color w:val="auto"/>
        </w:rPr>
        <w:t>”) and this Restricted Stock Award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Calavo Growers, Inc. (the “</w:t>
      </w:r>
      <w:r>
        <w:rPr>
          <w:rFonts w:ascii="Arial" w:cs="Arial" w:eastAsia="Arial" w:hAnsi="Arial"/>
          <w:sz w:val="22"/>
          <w:szCs w:val="22"/>
          <w:b w:val="1"/>
          <w:bCs w:val="1"/>
          <w:color w:val="auto"/>
        </w:rPr>
        <w:t>Company</w:t>
      </w:r>
      <w:r>
        <w:rPr>
          <w:rFonts w:ascii="Arial" w:cs="Arial" w:eastAsia="Arial" w:hAnsi="Arial"/>
          <w:sz w:val="22"/>
          <w:szCs w:val="22"/>
          <w:color w:val="auto"/>
        </w:rPr>
        <w:t>”) has granted you a Restricted Stock Award (the “</w:t>
      </w:r>
      <w:r>
        <w:rPr>
          <w:rFonts w:ascii="Arial" w:cs="Arial" w:eastAsia="Arial" w:hAnsi="Arial"/>
          <w:sz w:val="22"/>
          <w:szCs w:val="22"/>
          <w:b w:val="1"/>
          <w:bCs w:val="1"/>
          <w:color w:val="auto"/>
        </w:rPr>
        <w:t>Award</w:t>
      </w:r>
      <w:r>
        <w:rPr>
          <w:rFonts w:ascii="Arial" w:cs="Arial" w:eastAsia="Arial" w:hAnsi="Arial"/>
          <w:sz w:val="22"/>
          <w:szCs w:val="22"/>
          <w:color w:val="auto"/>
        </w:rPr>
        <w:t>”) under its 2020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for the number of shares of Common Stock (the “</w:t>
      </w:r>
      <w:r>
        <w:rPr>
          <w:rFonts w:ascii="Arial" w:cs="Arial" w:eastAsia="Arial" w:hAnsi="Arial"/>
          <w:sz w:val="22"/>
          <w:szCs w:val="22"/>
          <w:b w:val="1"/>
          <w:bCs w:val="1"/>
          <w:color w:val="auto"/>
        </w:rPr>
        <w:t>Shares</w:t>
      </w:r>
      <w:r>
        <w:rPr>
          <w:rFonts w:ascii="Arial" w:cs="Arial" w:eastAsia="Arial" w:hAnsi="Arial"/>
          <w:sz w:val="22"/>
          <w:szCs w:val="22"/>
          <w:color w:val="auto"/>
        </w:rPr>
        <w:t>”) indicated in the Grant Notice.</w:t>
      </w:r>
    </w:p>
    <w:p>
      <w:pPr>
        <w:spacing w:after="0" w:line="186" w:lineRule="exact"/>
        <w:rPr>
          <w:sz w:val="20"/>
          <w:szCs w:val="20"/>
          <w:color w:val="auto"/>
        </w:rPr>
      </w:pPr>
    </w:p>
    <w:p>
      <w:pPr>
        <w:ind w:right="620" w:firstLine="648"/>
        <w:spacing w:after="0" w:line="328" w:lineRule="auto"/>
        <w:rPr>
          <w:sz w:val="20"/>
          <w:szCs w:val="20"/>
          <w:color w:val="auto"/>
        </w:rPr>
      </w:pPr>
      <w:r>
        <w:rPr>
          <w:rFonts w:ascii="Arial" w:cs="Arial" w:eastAsia="Arial" w:hAnsi="Arial"/>
          <w:sz w:val="19"/>
          <w:szCs w:val="19"/>
          <w:color w:val="auto"/>
        </w:rPr>
        <w:t>The Shares are subject to the terms set forth in the Grant Notice, this Agreement, your Employment Agreement (as defined in the Grant Notice) and the Plan, which is incorporated herein by reference.</w:t>
      </w:r>
    </w:p>
    <w:p>
      <w:pPr>
        <w:spacing w:after="0" w:line="105" w:lineRule="exact"/>
        <w:rPr>
          <w:sz w:val="20"/>
          <w:szCs w:val="20"/>
          <w:color w:val="auto"/>
        </w:rPr>
      </w:pPr>
    </w:p>
    <w:p>
      <w:pPr>
        <w:ind w:right="820" w:firstLine="648"/>
        <w:spacing w:after="0" w:line="328" w:lineRule="auto"/>
        <w:rPr>
          <w:sz w:val="20"/>
          <w:szCs w:val="20"/>
          <w:color w:val="auto"/>
        </w:rPr>
      </w:pPr>
      <w:r>
        <w:rPr>
          <w:rFonts w:ascii="Arial" w:cs="Arial" w:eastAsia="Arial" w:hAnsi="Arial"/>
          <w:sz w:val="19"/>
          <w:szCs w:val="19"/>
          <w:color w:val="auto"/>
        </w:rPr>
        <w:t>Capitalized terms not expressly defined in this Agreement, the Grant Notice or your Employment Agreement but defined in the Plan shall have the same definitions as are set forth in the Plan.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of your Award, in addition to those set forth in the Grant Notice, are as follows.</w:t>
      </w:r>
    </w:p>
    <w:p>
      <w:pPr>
        <w:spacing w:after="0" w:line="200" w:lineRule="exact"/>
        <w:rPr>
          <w:sz w:val="20"/>
          <w:szCs w:val="20"/>
          <w:color w:val="auto"/>
        </w:rPr>
      </w:pPr>
    </w:p>
    <w:p>
      <w:pPr>
        <w:ind w:firstLine="656"/>
        <w:spacing w:after="0" w:line="275" w:lineRule="auto"/>
        <w:tabs>
          <w:tab w:leader="none" w:pos="1296" w:val="left"/>
        </w:tabs>
        <w:numPr>
          <w:ilvl w:val="1"/>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GRANT OF THE AWARD AND ISSUANCE OF THE SHARES</w:t>
      </w:r>
      <w:r>
        <w:rPr>
          <w:rFonts w:ascii="Arial" w:cs="Arial" w:eastAsia="Arial" w:hAnsi="Arial"/>
          <w:sz w:val="19"/>
          <w:szCs w:val="19"/>
          <w:color w:val="auto"/>
        </w:rPr>
        <w:t>. Pursuant to your Award,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issue the Shares to you, effective as of the Date of Grant and subject to all of the terms and conditions of this Agreement, the Grant Notice and the Plan. The Company shall issue the Shares to you and shall</w:t>
      </w:r>
    </w:p>
    <w:p>
      <w:pPr>
        <w:spacing w:after="0" w:line="1" w:lineRule="exact"/>
        <w:rPr>
          <w:rFonts w:ascii="Arial" w:cs="Arial" w:eastAsia="Arial" w:hAnsi="Arial"/>
          <w:sz w:val="19"/>
          <w:szCs w:val="19"/>
          <w:b w:val="1"/>
          <w:bCs w:val="1"/>
          <w:color w:val="auto"/>
        </w:rPr>
      </w:pPr>
    </w:p>
    <w:p>
      <w:pPr>
        <w:ind w:right="100" w:firstLine="8"/>
        <w:spacing w:after="0" w:line="273" w:lineRule="auto"/>
        <w:tabs>
          <w:tab w:leader="none" w:pos="294" w:val="left"/>
        </w:tabs>
        <w:numPr>
          <w:ilvl w:val="0"/>
          <w:numId w:val="23"/>
        </w:numPr>
        <w:rPr>
          <w:rFonts w:ascii="Arial" w:cs="Arial" w:eastAsia="Arial" w:hAnsi="Arial"/>
          <w:sz w:val="19"/>
          <w:szCs w:val="19"/>
          <w:color w:val="auto"/>
        </w:rPr>
      </w:pPr>
      <w:r>
        <w:rPr>
          <w:rFonts w:ascii="Arial" w:cs="Arial" w:eastAsia="Arial" w:hAnsi="Arial"/>
          <w:sz w:val="19"/>
          <w:szCs w:val="19"/>
          <w:color w:val="auto"/>
        </w:rPr>
        <w:t>cause a stock certificate or certificates representing the Shares to be registered in your name or (b) cause the Shares to be held in book-entry form. If a stock certificate is issued, it shall be held in custody by the Company and shall bear the restrictive legends described in this Agreement. If the Shares are held in book-entry form, then such entry will reflect that the Shares are subject to the restrictions of this Agreement. The Award was granted in consideration of your services provided to the Company and for other good and valuable consideration, and vesting of the Shares is subject to the continuation of your Employment (as defined in your Employment Agreement) after the Date of Grant on the terms and conditions set forth in the Grant Notice and this Agreement.</w:t>
      </w:r>
    </w:p>
    <w:p>
      <w:pPr>
        <w:spacing w:after="0" w:line="153" w:lineRule="exact"/>
        <w:rPr>
          <w:rFonts w:ascii="Arial" w:cs="Arial" w:eastAsia="Arial" w:hAnsi="Arial"/>
          <w:sz w:val="19"/>
          <w:szCs w:val="19"/>
          <w:color w:val="auto"/>
        </w:rPr>
      </w:pPr>
    </w:p>
    <w:p>
      <w:pPr>
        <w:ind w:firstLine="656"/>
        <w:spacing w:after="0" w:line="278" w:lineRule="auto"/>
        <w:tabs>
          <w:tab w:leader="none" w:pos="1296"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VESTING; CHANGE IN CONTROL</w:t>
      </w:r>
      <w:r>
        <w:rPr>
          <w:rFonts w:ascii="Arial" w:cs="Arial" w:eastAsia="Arial" w:hAnsi="Arial"/>
          <w:sz w:val="19"/>
          <w:szCs w:val="19"/>
          <w:color w:val="auto"/>
        </w:rPr>
        <w:t>. Subject to the limitations contained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as otherwise provided in the Grant Notice and in Section 5(b)(ii) of your Employment Agreement with respect to a termination of your Employment without Cause or for Good Reason, your Award and the Shares shall vest, if at all, in accordance with the vesting schedule set forth in the Grant Notice. Your Shares may fully vest upon the occurrence of a Change in Control in accordance with the provisions of Section 9(c) of the Plan. For purposes of this Agreement, “</w:t>
      </w:r>
      <w:r>
        <w:rPr>
          <w:rFonts w:ascii="Arial" w:cs="Arial" w:eastAsia="Arial" w:hAnsi="Arial"/>
          <w:sz w:val="19"/>
          <w:szCs w:val="19"/>
          <w:b w:val="1"/>
          <w:bCs w:val="1"/>
          <w:color w:val="auto"/>
        </w:rPr>
        <w:t>Vested Shares</w:t>
      </w:r>
      <w:r>
        <w:rPr>
          <w:rFonts w:ascii="Arial" w:cs="Arial" w:eastAsia="Arial" w:hAnsi="Arial"/>
          <w:sz w:val="19"/>
          <w:szCs w:val="19"/>
          <w:color w:val="auto"/>
        </w:rPr>
        <w:t>” means Shares that have vested pursuant to the preceding provisions, and “</w:t>
      </w:r>
      <w:r>
        <w:rPr>
          <w:rFonts w:ascii="Arial" w:cs="Arial" w:eastAsia="Arial" w:hAnsi="Arial"/>
          <w:sz w:val="19"/>
          <w:szCs w:val="19"/>
          <w:b w:val="1"/>
          <w:bCs w:val="1"/>
          <w:color w:val="auto"/>
        </w:rPr>
        <w:t>Unvested Shares</w:t>
      </w:r>
      <w:r>
        <w:rPr>
          <w:rFonts w:ascii="Arial" w:cs="Arial" w:eastAsia="Arial" w:hAnsi="Arial"/>
          <w:sz w:val="19"/>
          <w:szCs w:val="19"/>
          <w:color w:val="auto"/>
        </w:rPr>
        <w:t>” means Shares that have not vested pursuant to the preceding provisions.</w:t>
      </w:r>
    </w:p>
    <w:p>
      <w:pPr>
        <w:spacing w:after="0" w:line="145" w:lineRule="exact"/>
        <w:rPr>
          <w:rFonts w:ascii="Arial" w:cs="Arial" w:eastAsia="Arial" w:hAnsi="Arial"/>
          <w:sz w:val="19"/>
          <w:szCs w:val="19"/>
          <w:b w:val="1"/>
          <w:bCs w:val="1"/>
          <w:color w:val="auto"/>
        </w:rPr>
      </w:pPr>
    </w:p>
    <w:p>
      <w:pPr>
        <w:ind w:firstLine="656"/>
        <w:spacing w:after="0" w:line="243" w:lineRule="auto"/>
        <w:tabs>
          <w:tab w:leader="none" w:pos="1296" w:val="left"/>
        </w:tabs>
        <w:numPr>
          <w:ilvl w:val="1"/>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OF UNVESTED SHARES UPON A TERMINATION OF EMPLOYMENT. </w:t>
      </w:r>
      <w:r>
        <w:rPr>
          <w:rFonts w:ascii="Arial" w:cs="Arial" w:eastAsia="Arial" w:hAnsi="Arial"/>
          <w:sz w:val="22"/>
          <w:szCs w:val="22"/>
          <w:color w:val="auto"/>
        </w:rPr>
        <w:t>Except as otherwise provided in the Grant Notice and Section 5(b)(ii) of your Employment Agreement, vesting of the Shares shall cease upon your termination of Employment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9"/>
          <w:szCs w:val="19"/>
          <w:color w:val="auto"/>
        </w:rPr>
        <w:t>effective as of the date of your termination of Employment, all Unvested Shares shall automatically be forfeited by you without any further action by you or the Company. Upon the occurrence of such forfeiture, the Company shall become the legal and beneficial owner of the Unvested Shares and all rights and interests therein; the Company shall have the right to retain and transfer to its own name the Unvested Shares that are forfeited by you; and you shall have no further right, title or interest in or to such forfeited Unvested Shares and shall receive no payment with respect to such forfeited Unvested Shares. As of the Date of Grant, all of the Shares are unvested and are subject to a risk of forfeiture and the transfer restrictions described in this Agreement.</w:t>
      </w:r>
    </w:p>
    <w:p>
      <w:pPr>
        <w:spacing w:after="0" w:line="146" w:lineRule="exact"/>
        <w:rPr>
          <w:sz w:val="20"/>
          <w:szCs w:val="20"/>
          <w:color w:val="auto"/>
        </w:rPr>
      </w:pPr>
    </w:p>
    <w:p>
      <w:pPr>
        <w:ind w:right="80" w:firstLine="656"/>
        <w:spacing w:after="0" w:line="278" w:lineRule="auto"/>
        <w:tabs>
          <w:tab w:leader="none" w:pos="129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AUTHORITY OF THE COMPANY. </w:t>
      </w:r>
      <w:r>
        <w:rPr>
          <w:rFonts w:ascii="Arial" w:cs="Arial" w:eastAsia="Arial" w:hAnsi="Arial"/>
          <w:sz w:val="19"/>
          <w:szCs w:val="19"/>
          <w:color w:val="auto"/>
        </w:rPr>
        <w:t>In connection with the forfeiture provisions described</w:t>
      </w:r>
      <w:r>
        <w:rPr>
          <w:rFonts w:ascii="Arial" w:cs="Arial" w:eastAsia="Arial" w:hAnsi="Arial"/>
          <w:sz w:val="19"/>
          <w:szCs w:val="19"/>
          <w:b w:val="1"/>
          <w:bCs w:val="1"/>
          <w:color w:val="auto"/>
        </w:rPr>
        <w:t xml:space="preserve"> </w:t>
      </w:r>
      <w:r>
        <w:rPr>
          <w:rFonts w:ascii="Arial" w:cs="Arial" w:eastAsia="Arial" w:hAnsi="Arial"/>
          <w:sz w:val="19"/>
          <w:szCs w:val="19"/>
          <w:color w:val="auto"/>
        </w:rPr>
        <w:t>above in Section 3: (a) you authorize any officer specified by the Company’s Chief Financial Officer to transfer any Unvested Shares that are forfeited pursuant to Section 3 from you to the Company; (b) you agree to take whatever action the Company deems necessary or appropriate to effectuate the Company’s reacquisition of the forfeited Unvested Shares; and (c) you appoint any officer specified by the Company’s Chief Financial Officer to hold the Unvested Shares in escrow as your attorney-in-fact in order to effect the transfer to the Company of all Unvested Shares that are forfeited pursuant to Section 3.</w:t>
      </w:r>
    </w:p>
    <w:p>
      <w:pPr>
        <w:spacing w:after="0" w:line="145" w:lineRule="exact"/>
        <w:rPr>
          <w:rFonts w:ascii="Arial" w:cs="Arial" w:eastAsia="Arial" w:hAnsi="Arial"/>
          <w:sz w:val="19"/>
          <w:szCs w:val="19"/>
          <w:b w:val="1"/>
          <w:bCs w:val="1"/>
          <w:color w:val="auto"/>
        </w:rPr>
      </w:pPr>
    </w:p>
    <w:p>
      <w:pPr>
        <w:ind w:firstLine="656"/>
        <w:spacing w:after="0" w:line="246" w:lineRule="auto"/>
        <w:tabs>
          <w:tab w:leader="none" w:pos="1296"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RELEASE OF VESTED SHARES FROM THE FORFEITURE RESTRICTION. </w:t>
      </w:r>
      <w:r>
        <w:rPr>
          <w:rFonts w:ascii="Arial" w:cs="Arial" w:eastAsia="Arial" w:hAnsi="Arial"/>
          <w:sz w:val="21"/>
          <w:szCs w:val="21"/>
          <w:color w:val="auto"/>
        </w:rPr>
        <w:t>As soon as</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administratively practicable following the vesting of any Shares pursuant to the Grant Notice and Section 2 above (or, if applicable, pursuant to a written employment agreement between you and the Company), the Company shall, as applicable, either deliver to you the certificate or certificates representing such Vested Shares without a restrictive legend referring to this Agreement or, if the Shares are held in book-entry form, then the Company shall remove the notations indicating that the shares are subject to the restrictions of this Agreement. The Company shall also promptly deliver to you any stock dividends and other non-cash distributions that were made or paid by the Company on such Vested Shares during the period prior to their vesting and which are in the Company’s possession.</w:t>
      </w:r>
    </w:p>
    <w:p>
      <w:pPr>
        <w:spacing w:after="0" w:line="175" w:lineRule="exact"/>
        <w:rPr>
          <w:rFonts w:ascii="Arial" w:cs="Arial" w:eastAsia="Arial" w:hAnsi="Arial"/>
          <w:sz w:val="21"/>
          <w:szCs w:val="21"/>
          <w:b w:val="1"/>
          <w:bCs w:val="1"/>
          <w:color w:val="auto"/>
        </w:rPr>
      </w:pPr>
    </w:p>
    <w:p>
      <w:pPr>
        <w:ind w:firstLine="656"/>
        <w:spacing w:after="0" w:line="273" w:lineRule="auto"/>
        <w:tabs>
          <w:tab w:leader="none" w:pos="129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SHAREHOLDER. </w:t>
      </w:r>
      <w:r>
        <w:rPr>
          <w:rFonts w:ascii="Arial" w:cs="Arial" w:eastAsia="Arial" w:hAnsi="Arial"/>
          <w:sz w:val="19"/>
          <w:szCs w:val="19"/>
          <w:color w:val="auto"/>
        </w:rPr>
        <w:t>You shall have all of the rights of a shareholder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Shares from and after their issuance, subject to the vesting, forfeiture and other provisions of this Agreement, including the right to vote the Shares and to receive cash and stock dividends and other non-cash distributions that are made or paid on the Shares by the Company; provided, however, that the Company or its transfer agent shall retain custody of all such stock dividends and non-cash distributions until such time as the Shares become vested and released from the forfeiture provisions set forth in this Agreement and the Grant Notice. Any and all stock dividends and other non-cash distributions that are made or paid by the Company on Unvested Shares that are forfeited by you pursuant to the provisions of this Agreement and the Grant Notice shall also be automatically forfeited by you pursuant to Sections 3 and 4 above. Furthermore, unless otherwise determined by the Administrator, any cash dividends that are paid to you on Unvested Shares shall be subject to forfeiture and reconveyance to the Company on the date, if any, that such Unvested Shares are forfeited to the Company due to a failure to satisfy any of the vesting conditions described in this Agreement or the Grant Notice.</w:t>
      </w:r>
    </w:p>
    <w:p>
      <w:pPr>
        <w:spacing w:after="0" w:line="149" w:lineRule="exact"/>
        <w:rPr>
          <w:rFonts w:ascii="Arial" w:cs="Arial" w:eastAsia="Arial" w:hAnsi="Arial"/>
          <w:sz w:val="19"/>
          <w:szCs w:val="19"/>
          <w:b w:val="1"/>
          <w:bCs w:val="1"/>
          <w:color w:val="auto"/>
        </w:rPr>
      </w:pPr>
    </w:p>
    <w:p>
      <w:pPr>
        <w:ind w:right="260" w:firstLine="656"/>
        <w:spacing w:after="0" w:line="243" w:lineRule="auto"/>
        <w:tabs>
          <w:tab w:leader="none" w:pos="1296"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CAPITALIZATION ADJUSTMENTS</w:t>
      </w:r>
      <w:r>
        <w:rPr>
          <w:rFonts w:ascii="Arial" w:cs="Arial" w:eastAsia="Arial" w:hAnsi="Arial"/>
          <w:sz w:val="22"/>
          <w:szCs w:val="22"/>
          <w:color w:val="auto"/>
        </w:rPr>
        <w:t>. The number of Shares issued to you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 Notice is subject to adjustment from time to time for Capitalization Adjustments as provided in the Plan. Any Shares that become subject to your Award pursuant to this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74" w:right="1059" w:bottom="1440" w:gutter="0" w:footer="0" w:header="0"/>
        </w:sectPr>
      </w:pPr>
    </w:p>
    <w:bookmarkStart w:id="40" w:name="page41"/>
    <w:bookmarkEnd w:id="40"/>
    <w:p>
      <w:pPr>
        <w:ind w:right="60"/>
        <w:spacing w:after="0" w:line="250" w:lineRule="auto"/>
        <w:rPr>
          <w:sz w:val="20"/>
          <w:szCs w:val="20"/>
          <w:color w:val="auto"/>
        </w:rPr>
      </w:pPr>
      <w:r>
        <w:rPr>
          <w:rFonts w:ascii="Arial" w:cs="Arial" w:eastAsia="Arial" w:hAnsi="Arial"/>
          <w:sz w:val="22"/>
          <w:szCs w:val="22"/>
          <w:color w:val="auto"/>
        </w:rPr>
        <w:t>shall be subject to the same vesting restrictions, forfeiture provisions, restrictions on transfer and other provisions as the original number of Shares covered by your Award.</w:t>
      </w:r>
    </w:p>
    <w:p>
      <w:pPr>
        <w:spacing w:after="0" w:line="169" w:lineRule="exact"/>
        <w:rPr>
          <w:sz w:val="20"/>
          <w:szCs w:val="20"/>
          <w:color w:val="auto"/>
        </w:rPr>
      </w:pPr>
    </w:p>
    <w:p>
      <w:pPr>
        <w:ind w:firstLine="656"/>
        <w:spacing w:after="0" w:line="289" w:lineRule="auto"/>
        <w:tabs>
          <w:tab w:leader="none" w:pos="129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TRANSFER RESTRICTIONS ON UNVESTED SHARES</w:t>
      </w:r>
      <w:r>
        <w:rPr>
          <w:rFonts w:ascii="Arial" w:cs="Arial" w:eastAsia="Arial" w:hAnsi="Arial"/>
          <w:sz w:val="19"/>
          <w:szCs w:val="19"/>
          <w:color w:val="auto"/>
        </w:rPr>
        <w:t>. Prior to the date that Unvested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have vested and have become Vested Shares, you may not transfer, pledge, sell or otherwise dispose of any of the Unvested Shares (or stock dividends or other non-cash distributions on the Unvested Shares), except as expressly provided in this Section 8. For example, you may not pledge Unvested Shares as security for a loan.</w:t>
      </w:r>
    </w:p>
    <w:p>
      <w:pPr>
        <w:spacing w:after="0" w:line="135" w:lineRule="exact"/>
        <w:rPr>
          <w:rFonts w:ascii="Arial" w:cs="Arial" w:eastAsia="Arial" w:hAnsi="Arial"/>
          <w:sz w:val="19"/>
          <w:szCs w:val="19"/>
          <w:b w:val="1"/>
          <w:bCs w:val="1"/>
          <w:color w:val="auto"/>
        </w:rPr>
      </w:pPr>
    </w:p>
    <w:p>
      <w:pPr>
        <w:ind w:right="20" w:firstLine="1304"/>
        <w:spacing w:after="0" w:line="239" w:lineRule="auto"/>
        <w:tabs>
          <w:tab w:leader="none" w:pos="1944" w:val="left"/>
        </w:tabs>
        <w:numPr>
          <w:ilvl w:val="1"/>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Your Award and your Vested Shares are transferable by the laws of descent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At your death, vesting of any Unvested Shares shall cease and your executor or administrator of your estate shall be entitled to receive, on behalf of your estate, any Vested Shares that were not transferred by the Company to you before your death.</w:t>
      </w:r>
    </w:p>
    <w:p>
      <w:pPr>
        <w:spacing w:after="0" w:line="180" w:lineRule="exact"/>
        <w:rPr>
          <w:rFonts w:ascii="Arial" w:cs="Arial" w:eastAsia="Arial" w:hAnsi="Arial"/>
          <w:sz w:val="22"/>
          <w:szCs w:val="22"/>
          <w:b w:val="1"/>
          <w:bCs w:val="1"/>
          <w:color w:val="auto"/>
        </w:rPr>
      </w:pPr>
    </w:p>
    <w:p>
      <w:pPr>
        <w:ind w:firstLine="1304"/>
        <w:spacing w:after="0" w:line="245" w:lineRule="auto"/>
        <w:tabs>
          <w:tab w:leader="none" w:pos="1944" w:val="left"/>
        </w:tabs>
        <w:numPr>
          <w:ilvl w:val="1"/>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Domestic Relations Orders</w:t>
      </w:r>
      <w:r>
        <w:rPr>
          <w:rFonts w:ascii="Arial" w:cs="Arial" w:eastAsia="Arial" w:hAnsi="Arial"/>
          <w:sz w:val="21"/>
          <w:szCs w:val="21"/>
          <w:color w:val="auto"/>
        </w:rPr>
        <w:t>. Upon receiving written permission from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that you and the designated transferee enter into transfer and other agreements required by the Company, you may transfer your right to receive any or all of the Shares pursuant to a domestic relations order that contains the information required by the Company to effectuate the transfer and provided further that no such transfer of Unvested Shares (or stock dividends or other non-cash distributions on Unvested Shares) shall be made effective unless and until the Unvested Shares have ceased to be subject to the risk of forfeiture described in this Agreement and the Grant Notice and have become Vested Shares. You are encouraged to discuss the proposed terms of any division of your Award with the Company prior to finalizing the domestic relations order to verify that you may make such transfer and, if so, to help ensure the required information is contained within the domestic relations order.</w:t>
      </w:r>
    </w:p>
    <w:p>
      <w:pPr>
        <w:spacing w:after="0" w:line="180"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LEGENDS AND STOP-TRANSFER INSTRUCTIONS.</w:t>
      </w:r>
    </w:p>
    <w:p>
      <w:pPr>
        <w:spacing w:after="0" w:line="206" w:lineRule="exact"/>
        <w:rPr>
          <w:rFonts w:ascii="Arial" w:cs="Arial" w:eastAsia="Arial" w:hAnsi="Arial"/>
          <w:sz w:val="22"/>
          <w:szCs w:val="22"/>
          <w:b w:val="1"/>
          <w:bCs w:val="1"/>
          <w:color w:val="auto"/>
        </w:rPr>
      </w:pPr>
    </w:p>
    <w:p>
      <w:pPr>
        <w:ind w:firstLine="1304"/>
        <w:spacing w:after="0" w:line="283" w:lineRule="auto"/>
        <w:tabs>
          <w:tab w:leader="none" w:pos="1944"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Legends</w:t>
      </w:r>
      <w:r>
        <w:rPr>
          <w:rFonts w:ascii="Arial" w:cs="Arial" w:eastAsia="Arial" w:hAnsi="Arial"/>
          <w:sz w:val="19"/>
          <w:szCs w:val="19"/>
          <w:color w:val="auto"/>
        </w:rPr>
        <w:t>. All certificates and/or book entries evidencing Unvested Shares and Vested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shall be endorsed with any appropriate securities law legends as determined by the Company. In addition, the Company has the right to place on all certificates and/or book entries evidencing Unvested Shares legends that refer to this Agreement, including, without limitation, a legend to the following effect, which the Company agrees to remove promptly with respect to any Unvested Shares that vest and become Vested Shares:</w:t>
      </w:r>
    </w:p>
    <w:p>
      <w:pPr>
        <w:spacing w:after="0" w:line="149" w:lineRule="exact"/>
        <w:rPr>
          <w:sz w:val="20"/>
          <w:szCs w:val="20"/>
          <w:color w:val="auto"/>
        </w:rPr>
      </w:pPr>
    </w:p>
    <w:p>
      <w:pPr>
        <w:ind w:left="660" w:right="220"/>
        <w:spacing w:after="0" w:line="236" w:lineRule="auto"/>
        <w:rPr>
          <w:sz w:val="20"/>
          <w:szCs w:val="20"/>
          <w:color w:val="auto"/>
        </w:rPr>
      </w:pPr>
      <w:r>
        <w:rPr>
          <w:rFonts w:ascii="Arial" w:cs="Arial" w:eastAsia="Arial" w:hAnsi="Arial"/>
          <w:sz w:val="22"/>
          <w:szCs w:val="22"/>
          <w:color w:val="auto"/>
        </w:rPr>
        <w:t>THE SHARES REPRESENTED BY THIS CERTIFICATE OR BOOK ENTRY ARE SUBJECT TO FORFEITURE IN FAVOR OF THE COMPANY AND MAY BE TRANSFERRED ONLY IN ACCORDANCE WITH THE TERMS OF A RESTRICTED STOCK AWARD AGREEMENT BETWEEN THE COMPANY AND THE SHAREHOLDER, A COPY OF WHICH IS ON FILE WITH THE SECRETARY OF THE COMPANY.</w:t>
      </w:r>
    </w:p>
    <w:p>
      <w:pPr>
        <w:spacing w:after="0" w:line="181" w:lineRule="exact"/>
        <w:rPr>
          <w:sz w:val="20"/>
          <w:szCs w:val="20"/>
          <w:color w:val="auto"/>
        </w:rPr>
      </w:pPr>
    </w:p>
    <w:p>
      <w:pPr>
        <w:ind w:right="700" w:firstLine="1304"/>
        <w:spacing w:after="0" w:line="256" w:lineRule="auto"/>
        <w:tabs>
          <w:tab w:leader="none" w:pos="1944" w:val="left"/>
        </w:tabs>
        <w:numPr>
          <w:ilvl w:val="1"/>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Stop-Transfer Instructions</w:t>
      </w:r>
      <w:r>
        <w:rPr>
          <w:rFonts w:ascii="Arial" w:cs="Arial" w:eastAsia="Arial" w:hAnsi="Arial"/>
          <w:sz w:val="22"/>
          <w:szCs w:val="22"/>
          <w:color w:val="auto"/>
        </w:rPr>
        <w:t>. The Company has the right to issue appropriate “stop</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instructions to its transfer agent with respect to Unvested Shares.</w:t>
      </w:r>
    </w:p>
    <w:p>
      <w:pPr>
        <w:spacing w:after="0" w:line="16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right="340" w:firstLine="1304"/>
        <w:spacing w:after="0"/>
        <w:tabs>
          <w:tab w:leader="none" w:pos="1944" w:val="left"/>
        </w:tabs>
        <w:numPr>
          <w:ilvl w:val="1"/>
          <w:numId w:val="27"/>
        </w:numPr>
        <w:rPr>
          <w:rFonts w:ascii="Arial" w:cs="Arial" w:eastAsia="Arial" w:hAnsi="Arial"/>
          <w:sz w:val="22"/>
          <w:szCs w:val="22"/>
          <w:b w:val="1"/>
          <w:bCs w:val="1"/>
          <w:color w:val="auto"/>
        </w:rPr>
      </w:pPr>
      <w:r>
        <w:rPr>
          <w:rFonts w:ascii="Arial" w:cs="Arial" w:eastAsia="Arial" w:hAnsi="Arial"/>
          <w:sz w:val="22"/>
          <w:szCs w:val="22"/>
          <w:color w:val="auto"/>
        </w:rPr>
        <w:t>On each vesting date, and at any other time as requested by the Company in accordance with applicable tax laws, you hereby authorize any required withholding with respect to the Shares (including, without limitation, by the Company’s deduction of such</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17" w:right="1039" w:bottom="1440" w:gutter="0" w:footer="0" w:header="0"/>
        </w:sectPr>
      </w:pPr>
    </w:p>
    <w:bookmarkStart w:id="41" w:name="page42"/>
    <w:bookmarkEnd w:id="41"/>
    <w:p>
      <w:pPr>
        <w:ind w:right="40"/>
        <w:spacing w:after="0" w:line="282" w:lineRule="auto"/>
        <w:rPr>
          <w:sz w:val="20"/>
          <w:szCs w:val="20"/>
          <w:color w:val="auto"/>
        </w:rPr>
      </w:pPr>
      <w:r>
        <w:rPr>
          <w:rFonts w:ascii="Arial" w:cs="Arial" w:eastAsia="Arial" w:hAnsi="Arial"/>
          <w:sz w:val="19"/>
          <w:szCs w:val="19"/>
          <w:color w:val="auto"/>
        </w:rPr>
        <w:t>required withholding from compensation and other amounts payable to you by the Company), and you otherwise agree to make adequate provision, including in cash, for any sums required to satisfy the federal, state, local and foreign tax withholding obligations of the Company or an Affiliate that arise in connection with your Award. The Company shall not be obligated to release and transfer Vested Shares to you unless and until you have satisfied in full all federal, state, local and foreign tax withholding obligations.</w:t>
      </w:r>
    </w:p>
    <w:p>
      <w:pPr>
        <w:spacing w:after="0" w:line="147" w:lineRule="exact"/>
        <w:rPr>
          <w:sz w:val="20"/>
          <w:szCs w:val="20"/>
          <w:color w:val="auto"/>
        </w:rPr>
      </w:pPr>
    </w:p>
    <w:p>
      <w:pPr>
        <w:ind w:right="40" w:firstLine="1304"/>
        <w:spacing w:after="0" w:line="274" w:lineRule="auto"/>
        <w:tabs>
          <w:tab w:leader="none" w:pos="1944" w:val="left"/>
        </w:tabs>
        <w:numPr>
          <w:ilvl w:val="1"/>
          <w:numId w:val="28"/>
        </w:numPr>
        <w:rPr>
          <w:rFonts w:ascii="Arial" w:cs="Arial" w:eastAsia="Arial" w:hAnsi="Arial"/>
          <w:sz w:val="19"/>
          <w:szCs w:val="19"/>
          <w:b w:val="1"/>
          <w:bCs w:val="1"/>
          <w:color w:val="auto"/>
        </w:rPr>
      </w:pPr>
      <w:r>
        <w:rPr>
          <w:rFonts w:ascii="Arial" w:cs="Arial" w:eastAsia="Arial" w:hAnsi="Arial"/>
          <w:sz w:val="19"/>
          <w:szCs w:val="19"/>
          <w:color w:val="auto"/>
        </w:rPr>
        <w:t>Upon your request and subject to approval by the Company, in its sole discretion, and in compliance with any applicable legal conditions or restrictions, (1) the Company may withhold from Vested Shares otherwise deliverable to you a number of whole Vested Shares having a Fair Market Value, as determined by the Company, not in excess of the minimum amount of tax required to be withheld by law, or (2) the Company may permit you to enter into a “same day sale” commitment with a broker-dealer acceptable to the Company pursuant to which you irrevocably elect to sell a portion of such Vested Shares sufficient to pay all or a portion of such required withholding taxes and the broker-dealer irrevocably agrees to deliver to the Company the funds that will be applied to the payment of such withholding taxes. Any adverse consequences to you arising in connection with such Share withholding or sale procedure shall be your sole responsibility.</w:t>
      </w:r>
    </w:p>
    <w:p>
      <w:pPr>
        <w:spacing w:after="0" w:line="158" w:lineRule="exact"/>
        <w:rPr>
          <w:rFonts w:ascii="Arial" w:cs="Arial" w:eastAsia="Arial" w:hAnsi="Arial"/>
          <w:sz w:val="19"/>
          <w:szCs w:val="19"/>
          <w:b w:val="1"/>
          <w:bCs w:val="1"/>
          <w:color w:val="auto"/>
        </w:rPr>
      </w:pPr>
    </w:p>
    <w:p>
      <w:pPr>
        <w:ind w:right="680" w:firstLine="1304"/>
        <w:spacing w:after="0" w:line="274" w:lineRule="auto"/>
        <w:tabs>
          <w:tab w:leader="none" w:pos="1944" w:val="left"/>
        </w:tabs>
        <w:numPr>
          <w:ilvl w:val="1"/>
          <w:numId w:val="28"/>
        </w:numPr>
        <w:rPr>
          <w:rFonts w:ascii="Arial" w:cs="Arial" w:eastAsia="Arial" w:hAnsi="Arial"/>
          <w:sz w:val="21"/>
          <w:szCs w:val="21"/>
          <w:b w:val="1"/>
          <w:bCs w:val="1"/>
          <w:color w:val="auto"/>
        </w:rPr>
      </w:pPr>
      <w:r>
        <w:rPr>
          <w:rFonts w:ascii="Arial" w:cs="Arial" w:eastAsia="Arial" w:hAnsi="Arial"/>
          <w:sz w:val="21"/>
          <w:szCs w:val="21"/>
          <w:color w:val="auto"/>
        </w:rPr>
        <w:t>The Company’s withholding obligations may be satisfied by any combination of the Company’s withholding or your form of payment made pursuant to this Section 10.</w:t>
      </w:r>
    </w:p>
    <w:p>
      <w:pPr>
        <w:spacing w:after="0" w:line="150" w:lineRule="exact"/>
        <w:rPr>
          <w:rFonts w:ascii="Arial" w:cs="Arial" w:eastAsia="Arial" w:hAnsi="Arial"/>
          <w:sz w:val="21"/>
          <w:szCs w:val="21"/>
          <w:b w:val="1"/>
          <w:bCs w:val="1"/>
          <w:color w:val="auto"/>
        </w:rPr>
      </w:pPr>
    </w:p>
    <w:p>
      <w:pPr>
        <w:ind w:right="100" w:firstLine="1304"/>
        <w:spacing w:after="0" w:line="282" w:lineRule="auto"/>
        <w:tabs>
          <w:tab w:leader="none" w:pos="1944" w:val="left"/>
        </w:tabs>
        <w:numPr>
          <w:ilvl w:val="1"/>
          <w:numId w:val="28"/>
        </w:numPr>
        <w:rPr>
          <w:rFonts w:ascii="Arial" w:cs="Arial" w:eastAsia="Arial" w:hAnsi="Arial"/>
          <w:sz w:val="19"/>
          <w:szCs w:val="19"/>
          <w:b w:val="1"/>
          <w:bCs w:val="1"/>
          <w:color w:val="auto"/>
        </w:rPr>
      </w:pPr>
      <w:r>
        <w:rPr>
          <w:rFonts w:ascii="Arial" w:cs="Arial" w:eastAsia="Arial" w:hAnsi="Arial"/>
          <w:sz w:val="19"/>
          <w:szCs w:val="19"/>
          <w:color w:val="auto"/>
        </w:rPr>
        <w:t>You are ultimately liable and responsible for all taxes owed in connection with the Shares and the transactions contemplated by this Agreement, regardless of any action the Company takes with respect to any tax withholding obligations that arise in connection with the Shares. The Company does not make any representation or undertaking regarding the treatment of any tax withholding in connection with the awarding, vesting or payment of the Shares or the subsequent sale of the Shares.</w:t>
      </w:r>
    </w:p>
    <w:p>
      <w:pPr>
        <w:spacing w:after="0" w:line="141"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TAX CONSEQUENCES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firstLine="1304"/>
        <w:spacing w:after="0" w:line="278" w:lineRule="auto"/>
        <w:tabs>
          <w:tab w:leader="none" w:pos="1944"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No Company Liability</w:t>
      </w:r>
      <w:r>
        <w:rPr>
          <w:rFonts w:ascii="Arial" w:cs="Arial" w:eastAsia="Arial" w:hAnsi="Arial"/>
          <w:sz w:val="19"/>
          <w:szCs w:val="19"/>
          <w:color w:val="auto"/>
        </w:rPr>
        <w:t>. You hereby agree that the Company does not have a duty to</w:t>
      </w:r>
      <w:r>
        <w:rPr>
          <w:rFonts w:ascii="Arial" w:cs="Arial" w:eastAsia="Arial" w:hAnsi="Arial"/>
          <w:sz w:val="19"/>
          <w:szCs w:val="19"/>
          <w:b w:val="1"/>
          <w:bCs w:val="1"/>
          <w:color w:val="auto"/>
        </w:rPr>
        <w:t xml:space="preserve"> </w:t>
      </w:r>
      <w:r>
        <w:rPr>
          <w:rFonts w:ascii="Arial" w:cs="Arial" w:eastAsia="Arial" w:hAnsi="Arial"/>
          <w:sz w:val="19"/>
          <w:szCs w:val="19"/>
          <w:color w:val="auto"/>
        </w:rPr>
        <w:t>design or administer the Plan or its other compensation programs in a manner that minimizes your tax liabilities. You shall not make any claim against the Company or any of its Officers, Directors, Employees or Affiliates related to tax liabilities arising from the grant or vesting of your Award or from your other compensation. You represent to the Company that you have reviewed with your own tax advisors the federal, state, local and foreign tax consequences of the transactions contemplated by this Agreement. You are relying solely on such advisors and not on any statements or representations of the Company or any of its agents.</w:t>
      </w:r>
    </w:p>
    <w:p>
      <w:pPr>
        <w:spacing w:after="0" w:line="145" w:lineRule="exact"/>
        <w:rPr>
          <w:rFonts w:ascii="Arial" w:cs="Arial" w:eastAsia="Arial" w:hAnsi="Arial"/>
          <w:sz w:val="19"/>
          <w:szCs w:val="19"/>
          <w:b w:val="1"/>
          <w:bCs w:val="1"/>
          <w:color w:val="auto"/>
        </w:rPr>
      </w:pPr>
    </w:p>
    <w:p>
      <w:pPr>
        <w:ind w:right="20" w:firstLine="1304"/>
        <w:spacing w:after="0" w:line="235" w:lineRule="auto"/>
        <w:tabs>
          <w:tab w:leader="none" w:pos="1944"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Section 83(b) Election</w:t>
      </w:r>
      <w:r>
        <w:rPr>
          <w:rFonts w:ascii="Arial" w:cs="Arial" w:eastAsia="Arial" w:hAnsi="Arial"/>
          <w:sz w:val="22"/>
          <w:szCs w:val="22"/>
          <w:color w:val="auto"/>
        </w:rPr>
        <w:t>. If you make an election under Section 83(b) of the Code to be</w:t>
      </w:r>
      <w:r>
        <w:rPr>
          <w:rFonts w:ascii="Arial" w:cs="Arial" w:eastAsia="Arial" w:hAnsi="Arial"/>
          <w:sz w:val="22"/>
          <w:szCs w:val="22"/>
          <w:b w:val="1"/>
          <w:bCs w:val="1"/>
          <w:color w:val="auto"/>
        </w:rPr>
        <w:t xml:space="preserve"> </w:t>
      </w:r>
      <w:r>
        <w:rPr>
          <w:rFonts w:ascii="Arial" w:cs="Arial" w:eastAsia="Arial" w:hAnsi="Arial"/>
          <w:sz w:val="22"/>
          <w:szCs w:val="22"/>
          <w:color w:val="auto"/>
        </w:rPr>
        <w:t>taxed with respect to the Shares as of the date of the issuance of the Shares rather than as of the date or dates upon which you would otherwise be taxable under Section 83(a) of the Code, you shall deliver a copy of such election to the Company promptly after filing such election with the Internal Revenue Service. The decision as to whether or not to make a Section 83(b) election is your sole responsibility and should be discussed with your tax and financial advisor. The Company makes no recommendation regarding whether a Section 83(b) election should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42" w:name="page43"/>
    <w:bookmarkEnd w:id="42"/>
    <w:p>
      <w:pPr>
        <w:ind w:left="-20" w:right="60" w:firstLine="656"/>
        <w:spacing w:after="0" w:line="235" w:lineRule="auto"/>
        <w:tabs>
          <w:tab w:leader="none" w:pos="12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MINIMUM SHARE OWNERSHIP POLICY AND OTHER COMPANY POLICIES</w:t>
      </w:r>
      <w:r>
        <w:rPr>
          <w:rFonts w:ascii="Arial" w:cs="Arial" w:eastAsia="Arial" w:hAnsi="Arial"/>
          <w:sz w:val="22"/>
          <w:szCs w:val="22"/>
          <w:color w:val="auto"/>
        </w:rPr>
        <w:t>.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to comply with any policy that the Company may adopt or amend from time to time regarding minimum Common Stock ownership requirements applicable to the Company’s Officers and/or Directors. You also agree to comply with all other applicable Company policies that the Company may adopt or amend from time to time, including, without limitation, the Company’s Insider Trading Policy and any Company clawback, recovery or recoupment policy described in Section 8(i) of the Plan pertaining to compensation received by the Company’s Employees.</w:t>
      </w:r>
    </w:p>
    <w:p>
      <w:pPr>
        <w:spacing w:after="0" w:line="183" w:lineRule="exact"/>
        <w:rPr>
          <w:rFonts w:ascii="Arial" w:cs="Arial" w:eastAsia="Arial" w:hAnsi="Arial"/>
          <w:sz w:val="22"/>
          <w:szCs w:val="22"/>
          <w:b w:val="1"/>
          <w:bCs w:val="1"/>
          <w:color w:val="auto"/>
        </w:rPr>
      </w:pPr>
    </w:p>
    <w:p>
      <w:pPr>
        <w:ind w:left="-20" w:right="100" w:firstLine="656"/>
        <w:spacing w:after="0" w:line="239" w:lineRule="auto"/>
        <w:tabs>
          <w:tab w:leader="none" w:pos="12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 Your Award is not an employment or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and nothing in your Award shall obligate the Company or an Affiliate, their respective shareholders, Directors, Officers or Employees to continue any relationship that you might have as an Employee, Consultant or Director of the Company or an Affiliate.</w:t>
      </w:r>
    </w:p>
    <w:p>
      <w:pPr>
        <w:spacing w:after="0" w:line="180" w:lineRule="exact"/>
        <w:rPr>
          <w:rFonts w:ascii="Arial" w:cs="Arial" w:eastAsia="Arial" w:hAnsi="Arial"/>
          <w:sz w:val="22"/>
          <w:szCs w:val="22"/>
          <w:b w:val="1"/>
          <w:bCs w:val="1"/>
          <w:color w:val="auto"/>
        </w:rPr>
      </w:pPr>
    </w:p>
    <w:p>
      <w:pPr>
        <w:ind w:left="-20" w:firstLine="656"/>
        <w:spacing w:after="0" w:line="247" w:lineRule="auto"/>
        <w:tabs>
          <w:tab w:leader="none" w:pos="1276"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notices provided for in your Award, this Agreement or the Plan shall be given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and shall be deemed effectively given upon receipt or, in the case of notices delivered by mail by the Company to you, five days after deposit in the United States mail, postage prepaid, addressed to you at the last address you provided to the Company. Notwithstanding the foregoing, the Company may, in its sole discretion, decide to deliver any notices or documents related to your Award, this Agreement or the Plan by electronic means (including by email). You hereby consent to receive such notices and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21"/>
          <w:szCs w:val="21"/>
          <w:b w:val="1"/>
          <w:bCs w:val="1"/>
          <w:color w:val="auto"/>
        </w:rPr>
      </w:pPr>
    </w:p>
    <w:p>
      <w:pPr>
        <w:ind w:left="-20" w:right="40" w:firstLine="656"/>
        <w:spacing w:after="0" w:line="237" w:lineRule="auto"/>
        <w:tabs>
          <w:tab w:leader="none" w:pos="12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APPLICABILITY OF THE PLAN. </w:t>
      </w:r>
      <w:r>
        <w:rPr>
          <w:rFonts w:ascii="Arial" w:cs="Arial" w:eastAsia="Arial" w:hAnsi="Arial"/>
          <w:sz w:val="22"/>
          <w:szCs w:val="22"/>
          <w:color w:val="auto"/>
        </w:rPr>
        <w:t>Your Award and this Agreement are subject to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 the provisions of which are hereby made a part of your Award and are further subject to all interpretations and amendments of the Plan which may from time to time be promulgated and adopted pursuant to the Plan. In the event of any conflict between the provisions of this Agreement and those of the Plan, the provisions of the Plan shall control.</w:t>
      </w:r>
    </w:p>
    <w:p>
      <w:pPr>
        <w:spacing w:after="0" w:line="181" w:lineRule="exact"/>
        <w:rPr>
          <w:rFonts w:ascii="Arial" w:cs="Arial" w:eastAsia="Arial" w:hAnsi="Arial"/>
          <w:sz w:val="22"/>
          <w:szCs w:val="22"/>
          <w:b w:val="1"/>
          <w:bCs w:val="1"/>
          <w:color w:val="auto"/>
        </w:rPr>
      </w:pPr>
    </w:p>
    <w:p>
      <w:pPr>
        <w:ind w:left="-20" w:right="100" w:firstLine="656"/>
        <w:spacing w:after="0" w:line="236" w:lineRule="auto"/>
        <w:tabs>
          <w:tab w:leader="none" w:pos="12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to be unlawful or invalid, such unlawfulness or invalidity shall not invalidate any portion of this Agreement or the Plan not declared to be unlawful or invalid. Any Section of this Agreement or the Plan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1" w:lineRule="exact"/>
        <w:rPr>
          <w:rFonts w:ascii="Arial" w:cs="Arial" w:eastAsia="Arial" w:hAnsi="Arial"/>
          <w:sz w:val="22"/>
          <w:szCs w:val="22"/>
          <w:b w:val="1"/>
          <w:bCs w:val="1"/>
          <w:color w:val="auto"/>
        </w:rPr>
      </w:pPr>
    </w:p>
    <w:p>
      <w:pPr>
        <w:ind w:left="-20" w:right="140" w:firstLine="656"/>
        <w:spacing w:after="0" w:line="251" w:lineRule="auto"/>
        <w:tabs>
          <w:tab w:leader="none" w:pos="1276"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ON OTHER EMPLOYEE BENEFIT PLANS. </w:t>
      </w:r>
      <w:r>
        <w:rPr>
          <w:rFonts w:ascii="Arial" w:cs="Arial" w:eastAsia="Arial" w:hAnsi="Arial"/>
          <w:sz w:val="21"/>
          <w:szCs w:val="21"/>
          <w:color w:val="auto"/>
        </w:rPr>
        <w:t>The value of your Award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 to amend, modify or terminate any of the Company’s or any Affiliate’s employee benefit plans.</w:t>
      </w:r>
    </w:p>
    <w:p>
      <w:pPr>
        <w:spacing w:after="0" w:line="168" w:lineRule="exact"/>
        <w:rPr>
          <w:rFonts w:ascii="Arial" w:cs="Arial" w:eastAsia="Arial" w:hAnsi="Arial"/>
          <w:sz w:val="21"/>
          <w:szCs w:val="21"/>
          <w:b w:val="1"/>
          <w:bCs w:val="1"/>
          <w:color w:val="auto"/>
        </w:rPr>
      </w:pPr>
    </w:p>
    <w:p>
      <w:pPr>
        <w:ind w:left="-20" w:right="100" w:firstLine="656"/>
        <w:spacing w:after="0" w:line="239" w:lineRule="auto"/>
        <w:tabs>
          <w:tab w:leader="none" w:pos="1276"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This Agreement may not be modified or amended except by an instrument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signed by a duly authorized representative of the Company, provided that no such amendment materially adversely affecting your rights hereunder may be made without your written consent. However, the Company reserves the right to change, by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494665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868" w:right="1019" w:bottom="1440" w:gutter="0" w:footer="0" w:header="0"/>
        </w:sectPr>
      </w:pPr>
    </w:p>
    <w:bookmarkStart w:id="43" w:name="page44"/>
    <w:bookmarkEnd w:id="43"/>
    <w:p>
      <w:pPr>
        <w:ind w:right="120"/>
        <w:spacing w:after="0" w:line="238" w:lineRule="auto"/>
        <w:rPr>
          <w:sz w:val="20"/>
          <w:szCs w:val="20"/>
          <w:color w:val="auto"/>
        </w:rPr>
      </w:pPr>
      <w:r>
        <w:rPr>
          <w:rFonts w:ascii="Arial" w:cs="Arial" w:eastAsia="Arial" w:hAnsi="Arial"/>
          <w:sz w:val="22"/>
          <w:szCs w:val="22"/>
          <w:color w:val="auto"/>
        </w:rPr>
        <w:t>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your Award which is then subject to restrictions as provided herein.</w:t>
      </w:r>
    </w:p>
    <w:p>
      <w:pPr>
        <w:spacing w:after="0" w:line="179" w:lineRule="exact"/>
        <w:rPr>
          <w:sz w:val="20"/>
          <w:szCs w:val="20"/>
          <w:color w:val="auto"/>
        </w:rPr>
      </w:pPr>
    </w:p>
    <w:p>
      <w:pPr>
        <w:ind w:right="80" w:firstLine="656"/>
        <w:spacing w:after="0" w:line="274" w:lineRule="auto"/>
        <w:tabs>
          <w:tab w:leader="none" w:pos="1296"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SECTION 409A OF THE CODE</w:t>
      </w:r>
      <w:r>
        <w:rPr>
          <w:rFonts w:ascii="Arial" w:cs="Arial" w:eastAsia="Arial" w:hAnsi="Arial"/>
          <w:sz w:val="19"/>
          <w:szCs w:val="19"/>
          <w:color w:val="auto"/>
        </w:rPr>
        <w:t>. Your Award is not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“nonqualified deferred compensation” within the meaning of Section 409A of the Code. However, notwithstanding any other provision of the Plan, the Grant Notice or this Agreement, if at any time the Company determines that the Shares (or any portion thereof) may be subject to Section 409A of the Code, the Company shall have the right in its sole discretion (without any obligation to do so or to indemnify you or any other person for failure to do so) to adopt such amendments to the Grant Notice or this Agreement, or adopt other policies and procedures (including amendments, policies and procedures with retroactive effect), or take any other actions, as the Company determines are necessary or appropriate for the Shares either to be exempt from the application of Section 409A of the Code or to comply with the requirements of said Section 409A. Section 4(d) of your Employment Agreement contains additional provisions regarding compliance by you and the Company with Section 409A of the Code.</w:t>
      </w:r>
    </w:p>
    <w:p>
      <w:pPr>
        <w:spacing w:after="0" w:line="394" w:lineRule="exact"/>
        <w:rPr>
          <w:rFonts w:ascii="Arial" w:cs="Arial" w:eastAsia="Arial" w:hAnsi="Arial"/>
          <w:sz w:val="19"/>
          <w:szCs w:val="19"/>
          <w:b w:val="1"/>
          <w:bCs w:val="1"/>
          <w:color w:val="auto"/>
        </w:rPr>
      </w:pPr>
    </w:p>
    <w:p>
      <w:pPr>
        <w:ind w:left="1300" w:hanging="644"/>
        <w:spacing w:after="0"/>
        <w:tabs>
          <w:tab w:leader="none" w:pos="13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rFonts w:ascii="Arial" w:cs="Arial" w:eastAsia="Arial" w:hAnsi="Arial"/>
          <w:sz w:val="22"/>
          <w:szCs w:val="22"/>
          <w:b w:val="1"/>
          <w:bCs w:val="1"/>
          <w:color w:val="auto"/>
        </w:rPr>
      </w:pPr>
    </w:p>
    <w:p>
      <w:pPr>
        <w:ind w:firstLine="1304"/>
        <w:spacing w:after="0" w:line="277" w:lineRule="auto"/>
        <w:tabs>
          <w:tab w:leader="none" w:pos="1944"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The Company may assign any of its rights under the Grant Notice, this Agreement and the Plan to one or more assignees, and all covenants contained in the Grant Notice, this Agreement and the Plan shall inure to the benefit of, and be enforceable by, the Company’s successors and assigns. All obligations of the Company under the Grant Notice, this Agreement and the Plan shall be binding on any successor to the Company, whether the existence of such successor is the result of a direct or indirect purchase, merger, consolidation or otherwise, of all or substantially all of the business and/or assets of the Company. Your rights and obligations under your Award may only be assigned with the prior written consent of the Company.</w:t>
      </w:r>
    </w:p>
    <w:p>
      <w:pPr>
        <w:spacing w:after="0" w:line="151" w:lineRule="exact"/>
        <w:rPr>
          <w:rFonts w:ascii="Arial" w:cs="Arial" w:eastAsia="Arial" w:hAnsi="Arial"/>
          <w:sz w:val="19"/>
          <w:szCs w:val="19"/>
          <w:b w:val="1"/>
          <w:bCs w:val="1"/>
          <w:color w:val="auto"/>
        </w:rPr>
      </w:pPr>
    </w:p>
    <w:p>
      <w:pPr>
        <w:ind w:right="520" w:firstLine="1304"/>
        <w:spacing w:after="0" w:line="328" w:lineRule="auto"/>
        <w:tabs>
          <w:tab w:leader="none" w:pos="1944"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You agree upon request to execute any further documents or instruments necessary or desirable in the sole determination of the Company to carry out the purposes or intent of your Award.</w:t>
      </w:r>
    </w:p>
    <w:p>
      <w:pPr>
        <w:spacing w:after="0" w:line="104" w:lineRule="exact"/>
        <w:rPr>
          <w:rFonts w:ascii="Arial" w:cs="Arial" w:eastAsia="Arial" w:hAnsi="Arial"/>
          <w:sz w:val="19"/>
          <w:szCs w:val="19"/>
          <w:b w:val="1"/>
          <w:bCs w:val="1"/>
          <w:color w:val="auto"/>
        </w:rPr>
      </w:pPr>
    </w:p>
    <w:p>
      <w:pPr>
        <w:ind w:right="40" w:firstLine="1304"/>
        <w:spacing w:after="0"/>
        <w:tabs>
          <w:tab w:leader="none" w:pos="1944"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You acknowledge and agree that you have reviewed this Agreement, the Grant Notice and the Plan in their entirety, have had an opportunity to obtain the advice of counsel prior to executing and accepting your Award, and fully understand all provisions of your Award.</w:t>
      </w:r>
    </w:p>
    <w:p>
      <w:pPr>
        <w:spacing w:after="0" w:line="186" w:lineRule="exact"/>
        <w:rPr>
          <w:rFonts w:ascii="Arial" w:cs="Arial" w:eastAsia="Arial" w:hAnsi="Arial"/>
          <w:sz w:val="22"/>
          <w:szCs w:val="22"/>
          <w:b w:val="1"/>
          <w:bCs w:val="1"/>
          <w:color w:val="auto"/>
        </w:rPr>
      </w:pPr>
    </w:p>
    <w:p>
      <w:pPr>
        <w:ind w:right="240" w:firstLine="1304"/>
        <w:spacing w:after="0" w:line="274" w:lineRule="auto"/>
        <w:tabs>
          <w:tab w:leader="none" w:pos="1944" w:val="left"/>
        </w:tabs>
        <w:numPr>
          <w:ilvl w:val="1"/>
          <w:numId w:val="31"/>
        </w:numPr>
        <w:rPr>
          <w:rFonts w:ascii="Arial" w:cs="Arial" w:eastAsia="Arial" w:hAnsi="Arial"/>
          <w:sz w:val="21"/>
          <w:szCs w:val="21"/>
          <w:b w:val="1"/>
          <w:bCs w:val="1"/>
          <w:color w:val="auto"/>
        </w:rPr>
      </w:pPr>
      <w:r>
        <w:rPr>
          <w:rFonts w:ascii="Arial" w:cs="Arial" w:eastAsia="Arial" w:hAnsi="Arial"/>
          <w:sz w:val="21"/>
          <w:szCs w:val="21"/>
          <w:color w:val="auto"/>
        </w:rPr>
        <w:t>This Agreement shall be subject to all applicable laws, rules and regulations, and to such approvals by any governmental agencies or national securities exchanges as may be required.</w:t>
      </w:r>
    </w:p>
    <w:p>
      <w:pPr>
        <w:spacing w:after="0" w:line="150" w:lineRule="exact"/>
        <w:rPr>
          <w:rFonts w:ascii="Arial" w:cs="Arial" w:eastAsia="Arial" w:hAnsi="Arial"/>
          <w:sz w:val="21"/>
          <w:szCs w:val="21"/>
          <w:b w:val="1"/>
          <w:bCs w:val="1"/>
          <w:color w:val="auto"/>
        </w:rPr>
      </w:pPr>
    </w:p>
    <w:p>
      <w:pPr>
        <w:jc w:val="both"/>
        <w:ind w:right="60" w:firstLine="1304"/>
        <w:spacing w:after="0"/>
        <w:tabs>
          <w:tab w:leader="none" w:pos="1944"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The laws of the State of California shall govern all questions concerning the interpretation, validity, administration, performance and enforcement of the Grant Notice, this Agreement and the Plan, without regard to that state’s conflict of law rules.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74" w:right="105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 GRANT NOTICE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CALAVO GROWERS,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2020 EQUITY INCENTIVE PLAN</w:t>
      </w:r>
    </w:p>
    <w:p>
      <w:pPr>
        <w:spacing w:after="0" w:line="20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Calavo Growers, Inc. (the “</w:t>
      </w:r>
      <w:r>
        <w:rPr>
          <w:rFonts w:ascii="Arial" w:cs="Arial" w:eastAsia="Arial" w:hAnsi="Arial"/>
          <w:sz w:val="22"/>
          <w:szCs w:val="22"/>
          <w:b w:val="1"/>
          <w:bCs w:val="1"/>
          <w:color w:val="auto"/>
        </w:rPr>
        <w:t>Company</w:t>
      </w:r>
      <w:r>
        <w:rPr>
          <w:rFonts w:ascii="Arial" w:cs="Arial" w:eastAsia="Arial" w:hAnsi="Arial"/>
          <w:sz w:val="22"/>
          <w:szCs w:val="22"/>
          <w:color w:val="auto"/>
        </w:rPr>
        <w:t>”), pursuant to its 2020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hereby grants to the Optionholder an option (the “</w:t>
      </w:r>
      <w:r>
        <w:rPr>
          <w:rFonts w:ascii="Arial" w:cs="Arial" w:eastAsia="Arial" w:hAnsi="Arial"/>
          <w:sz w:val="22"/>
          <w:szCs w:val="22"/>
          <w:b w:val="1"/>
          <w:bCs w:val="1"/>
          <w:color w:val="auto"/>
        </w:rPr>
        <w:t>Option</w:t>
      </w:r>
      <w:r>
        <w:rPr>
          <w:rFonts w:ascii="Arial" w:cs="Arial" w:eastAsia="Arial" w:hAnsi="Arial"/>
          <w:sz w:val="22"/>
          <w:szCs w:val="22"/>
          <w:color w:val="auto"/>
        </w:rPr>
        <w:t>”) to purchase the number of shares of the Company’s Common Stock set forth below. All capitalized terms not defined in this Stock Option Grant Notice shall have the meanings set forth in the Plan. The Option is subject to all of the terms and conditions set forth in this Stock Option Grant Notice and in the Plan and the attached Stock Option Agreement (the “</w:t>
      </w:r>
      <w:r>
        <w:rPr>
          <w:rFonts w:ascii="Arial" w:cs="Arial" w:eastAsia="Arial" w:hAnsi="Arial"/>
          <w:sz w:val="22"/>
          <w:szCs w:val="22"/>
          <w:b w:val="1"/>
          <w:bCs w:val="1"/>
          <w:color w:val="auto"/>
        </w:rPr>
        <w:t>Option Agreement</w:t>
      </w:r>
      <w:r>
        <w:rPr>
          <w:rFonts w:ascii="Arial" w:cs="Arial" w:eastAsia="Arial" w:hAnsi="Arial"/>
          <w:sz w:val="22"/>
          <w:szCs w:val="22"/>
          <w:color w:val="auto"/>
        </w:rPr>
        <w:t>”), both of which are incorporated herein in their entirety.</w:t>
      </w:r>
    </w:p>
    <w:p>
      <w:pPr>
        <w:sectPr>
          <w:pgSz w:w="11900" w:h="16838" w:orient="portrait"/>
          <w:cols w:equalWidth="0" w:num="1">
            <w:col w:w="9920"/>
          </w:cols>
          <w:pgMar w:left="980" w:top="112" w:right="99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Optionholder: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Exercise Price: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Expiration Date of Option: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5" w:lineRule="exact"/>
        <w:tabs>
          <w:tab w:leader="none" w:pos="1940" w:val="left"/>
        </w:tabs>
        <w:rPr>
          <w:sz w:val="20"/>
          <w:szCs w:val="20"/>
          <w:color w:val="auto"/>
        </w:rPr>
      </w:pPr>
      <w:r>
        <w:rPr>
          <w:rFonts w:ascii="Arial" w:cs="Arial" w:eastAsia="Arial" w:hAnsi="Arial"/>
          <w:sz w:val="22"/>
          <w:szCs w:val="22"/>
          <w:b w:val="1"/>
          <w:bCs w:val="1"/>
          <w:color w:val="auto"/>
        </w:rPr>
        <w:t>Type of Grant:</w:t>
      </w:r>
      <w:r>
        <w:rPr>
          <w:sz w:val="20"/>
          <w:szCs w:val="20"/>
          <w:color w:val="auto"/>
        </w:rPr>
        <w:tab/>
      </w:r>
      <w:r>
        <w:rPr>
          <w:rFonts w:ascii="Arial Unicode MS" w:cs="Arial Unicode MS" w:eastAsia="Arial Unicode MS" w:hAnsi="Arial Unicode MS"/>
          <w:sz w:val="19"/>
          <w:szCs w:val="19"/>
          <w:color w:val="auto"/>
        </w:rPr>
        <w:t xml:space="preserve">☐ </w:t>
      </w:r>
      <w:r>
        <w:rPr>
          <w:rFonts w:ascii="Arial" w:cs="Arial" w:eastAsia="Arial" w:hAnsi="Arial"/>
          <w:sz w:val="19"/>
          <w:szCs w:val="19"/>
          <w:color w:val="auto"/>
        </w:rPr>
        <w:t>Incentive Stock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
        <w:spacing w:after="0"/>
        <w:rPr>
          <w:sz w:val="20"/>
          <w:szCs w:val="20"/>
          <w:color w:val="auto"/>
        </w:rPr>
      </w:pPr>
      <w:r>
        <w:rPr>
          <w:rFonts w:ascii="Arial" w:cs="Arial" w:eastAsia="Arial" w:hAnsi="Arial"/>
          <w:sz w:val="19"/>
          <w:szCs w:val="19"/>
          <w:color w:val="auto"/>
        </w:rPr>
        <w:t>_________ (subject to earlier expiration as described in</w:t>
      </w:r>
    </w:p>
    <w:p>
      <w:pPr>
        <w:spacing w:after="0" w:line="43" w:lineRule="exact"/>
        <w:rPr>
          <w:sz w:val="20"/>
          <w:szCs w:val="20"/>
          <w:color w:val="auto"/>
        </w:rPr>
      </w:pPr>
    </w:p>
    <w:p>
      <w:pPr>
        <w:ind w:left="11"/>
        <w:spacing w:after="0"/>
        <w:rPr>
          <w:sz w:val="20"/>
          <w:szCs w:val="20"/>
          <w:color w:val="auto"/>
        </w:rPr>
      </w:pPr>
      <w:r>
        <w:rPr>
          <w:rFonts w:ascii="Arial" w:cs="Arial" w:eastAsia="Arial" w:hAnsi="Arial"/>
          <w:sz w:val="22"/>
          <w:szCs w:val="22"/>
          <w:color w:val="auto"/>
        </w:rPr>
        <w:t>Section 6 of the Option Agreement)</w:t>
      </w:r>
    </w:p>
    <w:p>
      <w:pPr>
        <w:spacing w:after="0" w:line="200" w:lineRule="exact"/>
        <w:rPr>
          <w:sz w:val="20"/>
          <w:szCs w:val="20"/>
          <w:color w:val="auto"/>
        </w:rPr>
      </w:pPr>
    </w:p>
    <w:p>
      <w:pPr>
        <w:spacing w:after="0" w:line="211" w:lineRule="exact"/>
        <w:rPr>
          <w:sz w:val="20"/>
          <w:szCs w:val="20"/>
          <w:color w:val="auto"/>
        </w:rPr>
      </w:pPr>
    </w:p>
    <w:p>
      <w:pPr>
        <w:ind w:left="291" w:hanging="291"/>
        <w:spacing w:after="0"/>
        <w:tabs>
          <w:tab w:leader="none" w:pos="291"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Nonstatutory Stock Option</w:t>
      </w:r>
    </w:p>
    <w:p>
      <w:pPr>
        <w:spacing w:after="0" w:line="179" w:lineRule="exact"/>
        <w:rPr>
          <w:sz w:val="20"/>
          <w:szCs w:val="20"/>
          <w:color w:val="auto"/>
        </w:rPr>
      </w:pPr>
    </w:p>
    <w:p>
      <w:pPr>
        <w:sectPr>
          <w:pgSz w:w="11900" w:h="16838" w:orient="portrait"/>
          <w:cols w:equalWidth="0" w:num="2">
            <w:col w:w="4260" w:space="689"/>
            <w:col w:w="4971"/>
          </w:cols>
          <w:pgMar w:left="980" w:top="112" w:right="99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Vesting Schedule</w:t>
      </w:r>
      <w:r>
        <w:rPr>
          <w:rFonts w:ascii="Arial" w:cs="Arial" w:eastAsia="Arial" w:hAnsi="Arial"/>
          <w:sz w:val="19"/>
          <w:szCs w:val="19"/>
          <w:color w:val="auto"/>
        </w:rPr>
        <w:t>: 50% of the Option will vest and become exercisable on _______, and the remaining __ of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Option will vest and become exercisable on _______, subject to the Optionholder’s Continuous Service, either as</w:t>
      </w:r>
    </w:p>
    <w:p>
      <w:pPr>
        <w:spacing w:after="0" w:line="25" w:lineRule="exact"/>
        <w:rPr>
          <w:sz w:val="20"/>
          <w:szCs w:val="20"/>
          <w:color w:val="auto"/>
        </w:rPr>
      </w:pPr>
    </w:p>
    <w:p>
      <w:pPr>
        <w:jc w:val="both"/>
        <w:ind w:right="460"/>
        <w:spacing w:after="0" w:line="234" w:lineRule="auto"/>
        <w:rPr>
          <w:sz w:val="20"/>
          <w:szCs w:val="20"/>
          <w:color w:val="auto"/>
        </w:rPr>
      </w:pPr>
      <w:r>
        <w:rPr>
          <w:rFonts w:ascii="Arial" w:cs="Arial" w:eastAsia="Arial" w:hAnsi="Arial"/>
          <w:sz w:val="22"/>
          <w:szCs w:val="22"/>
          <w:color w:val="auto"/>
        </w:rPr>
        <w:t>a Consultant, Employee, or Director of the Company, as of each such date. Subject to Section 1 of the Option Agreement, vesting will cease and any unvested portion of the Option will be forfeited if the Optionholder’s Continuous Service terminates for any reason.</w:t>
      </w:r>
    </w:p>
    <w:p>
      <w:pPr>
        <w:spacing w:after="0" w:line="181" w:lineRule="exact"/>
        <w:rPr>
          <w:sz w:val="20"/>
          <w:szCs w:val="20"/>
          <w:color w:val="auto"/>
        </w:rPr>
      </w:pPr>
    </w:p>
    <w:p>
      <w:pPr>
        <w:ind w:left="1560" w:right="640" w:hanging="1559"/>
        <w:spacing w:after="0" w:line="239" w:lineRule="auto"/>
        <w:tabs>
          <w:tab w:leader="none" w:pos="154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color w:val="auto"/>
        </w:rPr>
        <w:t>By one or a combination of the following items (see the Option Agreement for additional details):</w:t>
      </w:r>
    </w:p>
    <w:p>
      <w:pPr>
        <w:ind w:left="2000" w:hanging="439"/>
        <w:spacing w:after="0" w:line="213" w:lineRule="auto"/>
        <w:tabs>
          <w:tab w:leader="none" w:pos="20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cash or check</w:t>
      </w:r>
    </w:p>
    <w:p>
      <w:pPr>
        <w:spacing w:after="0" w:line="1" w:lineRule="exact"/>
        <w:rPr>
          <w:rFonts w:ascii="Arial" w:cs="Arial" w:eastAsia="Arial" w:hAnsi="Arial"/>
          <w:sz w:val="22"/>
          <w:szCs w:val="22"/>
          <w:color w:val="auto"/>
        </w:rPr>
      </w:pPr>
    </w:p>
    <w:p>
      <w:pPr>
        <w:ind w:left="2000" w:hanging="439"/>
        <w:spacing w:after="0" w:line="208" w:lineRule="auto"/>
        <w:tabs>
          <w:tab w:leader="none" w:pos="20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bank draft or money order payable to the Company</w:t>
      </w:r>
    </w:p>
    <w:p>
      <w:pPr>
        <w:spacing w:after="0" w:line="1" w:lineRule="exact"/>
        <w:rPr>
          <w:rFonts w:ascii="Arial" w:cs="Arial" w:eastAsia="Arial" w:hAnsi="Arial"/>
          <w:sz w:val="22"/>
          <w:szCs w:val="22"/>
          <w:color w:val="auto"/>
        </w:rPr>
      </w:pPr>
    </w:p>
    <w:p>
      <w:pPr>
        <w:ind w:left="2000" w:hanging="439"/>
        <w:spacing w:after="0" w:line="208" w:lineRule="auto"/>
        <w:tabs>
          <w:tab w:leader="none" w:pos="20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Pursuant to a Regulation 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45" w:name="page46"/>
    <w:bookmarkEnd w:id="45"/>
    <w:p>
      <w:pPr>
        <w:ind w:left="2000" w:hanging="439"/>
        <w:spacing w:after="0"/>
        <w:tabs>
          <w:tab w:leader="none" w:pos="20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By delivery of already-owned shares of Common Stock</w:t>
      </w:r>
    </w:p>
    <w:p>
      <w:pPr>
        <w:ind w:left="2000" w:right="520" w:hanging="439"/>
        <w:spacing w:after="0" w:line="268" w:lineRule="auto"/>
        <w:tabs>
          <w:tab w:leader="none" w:pos="20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and only to the extent the Option is a Nonstatutory Stock Option, and subject to the Company’s consent at the time of exercise, by a “net exercise” arrangement</w:t>
      </w:r>
    </w:p>
    <w:p>
      <w:pPr>
        <w:spacing w:after="0" w:line="150"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b w:val="1"/>
          <w:bCs w:val="1"/>
          <w:color w:val="auto"/>
        </w:rPr>
        <w:t xml:space="preserve">Additional Terms and Acknowledgements: </w:t>
      </w:r>
      <w:r>
        <w:rPr>
          <w:rFonts w:ascii="Arial" w:cs="Arial" w:eastAsia="Arial" w:hAnsi="Arial"/>
          <w:sz w:val="19"/>
          <w:szCs w:val="19"/>
          <w:color w:val="auto"/>
        </w:rPr>
        <w:t>The Optionholder acknowledges receipt and review of,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understands and agrees to, this Stock Option Grant Notice, the Option Agreement and the Plan. The Optionholder further acknowledges that, as of the Date of Grant, this Stock Option Grant Notice, the Option Agreement, the Plan and the Optionholder’s written employment agreement (if any) with the Company set forth the entire understanding between the Optionholder and the Company regarding the Option and supersede all prior oral and written agreements regarding the Option. The Optionholder agrees to be bound by, and to comply with, all provisions of this Stock Option Grant Notice, the Option Agreement and the Plan, and the Optionholder agrees to accept as final, binding and conclusive all determinations, interpretations and constructions made by the Plan’s Administrator regarding this Stock Option Grant Notice, the Option Agreement or the Plan.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TERMS,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10795</wp:posOffset>
            </wp:positionV>
            <wp:extent cx="4029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80" w:type="dxa"/>
            <w:vAlign w:val="bottom"/>
            <w:gridSpan w:val="3"/>
          </w:tcPr>
          <w:p>
            <w:pPr>
              <w:spacing w:after="0"/>
              <w:rPr>
                <w:sz w:val="20"/>
                <w:szCs w:val="20"/>
                <w:color w:val="auto"/>
              </w:rPr>
            </w:pPr>
            <w:r>
              <w:rPr>
                <w:rFonts w:ascii="Arial" w:cs="Arial" w:eastAsia="Arial" w:hAnsi="Arial"/>
                <w:sz w:val="22"/>
                <w:szCs w:val="22"/>
                <w:b w:val="1"/>
                <w:bCs w:val="1"/>
                <w:color w:val="auto"/>
              </w:rPr>
              <w:t>CALAVO GROWERS, INC.</w:t>
            </w:r>
          </w:p>
        </w:tc>
        <w:tc>
          <w:tcPr>
            <w:tcW w:w="4840" w:type="dxa"/>
            <w:vAlign w:val="bottom"/>
          </w:tcPr>
          <w:p>
            <w:pPr>
              <w:spacing w:after="0"/>
              <w:rPr>
                <w:sz w:val="20"/>
                <w:szCs w:val="20"/>
                <w:color w:val="auto"/>
              </w:rPr>
            </w:pPr>
            <w:r>
              <w:rPr>
                <w:rFonts w:ascii="Arial" w:cs="Arial" w:eastAsia="Arial" w:hAnsi="Arial"/>
                <w:sz w:val="22"/>
                <w:szCs w:val="22"/>
                <w:b w:val="1"/>
                <w:bCs w:val="1"/>
                <w:color w:val="auto"/>
              </w:rPr>
              <w:t>OPTIONHOLDER</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60" w:type="dxa"/>
            <w:vAlign w:val="bottom"/>
            <w:vMerge w:val="restart"/>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line="216" w:lineRule="exact"/>
              <w:rPr>
                <w:sz w:val="20"/>
                <w:szCs w:val="20"/>
                <w:color w:val="auto"/>
              </w:rPr>
            </w:pPr>
            <w:r>
              <w:rPr>
                <w:rFonts w:ascii="Arial" w:cs="Arial" w:eastAsia="Arial" w:hAnsi="Arial"/>
                <w:sz w:val="22"/>
                <w:szCs w:val="22"/>
                <w:color w:val="auto"/>
              </w:rPr>
              <w:t>By:</w:t>
            </w:r>
          </w:p>
        </w:tc>
        <w:tc>
          <w:tcPr>
            <w:tcW w:w="260" w:type="dxa"/>
            <w:vAlign w:val="bottom"/>
            <w:vMerge w:val="continue"/>
          </w:tcPr>
          <w:p>
            <w:pPr>
              <w:spacing w:after="0"/>
              <w:rPr>
                <w:sz w:val="18"/>
                <w:szCs w:val="18"/>
                <w:color w:val="auto"/>
              </w:rPr>
            </w:pPr>
          </w:p>
        </w:tc>
        <w:tc>
          <w:tcPr>
            <w:tcW w:w="4840" w:type="dxa"/>
            <w:vAlign w:val="bottom"/>
          </w:tcPr>
          <w:p>
            <w:pPr>
              <w:spacing w:after="0" w:line="216" w:lineRule="exact"/>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243"/>
        </w:trPr>
        <w:tc>
          <w:tcPr>
            <w:tcW w:w="5080" w:type="dxa"/>
            <w:vAlign w:val="bottom"/>
            <w:gridSpan w:val="3"/>
          </w:tcPr>
          <w:p>
            <w:pPr>
              <w:spacing w:after="0" w:line="243" w:lineRule="exact"/>
              <w:rPr>
                <w:sz w:val="20"/>
                <w:szCs w:val="20"/>
                <w:color w:val="auto"/>
              </w:rPr>
            </w:pPr>
            <w:r>
              <w:rPr>
                <w:rFonts w:ascii="Arial" w:cs="Arial" w:eastAsia="Arial" w:hAnsi="Arial"/>
                <w:sz w:val="22"/>
                <w:szCs w:val="22"/>
                <w:color w:val="auto"/>
              </w:rPr>
              <w:t>Title:</w:t>
            </w:r>
          </w:p>
        </w:tc>
        <w:tc>
          <w:tcPr>
            <w:tcW w:w="4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080" w:type="dxa"/>
            <w:vAlign w:val="bottom"/>
            <w:gridSpan w:val="3"/>
          </w:tcPr>
          <w:p>
            <w:pPr>
              <w:spacing w:after="0"/>
              <w:rPr>
                <w:sz w:val="20"/>
                <w:szCs w:val="20"/>
                <w:color w:val="auto"/>
              </w:rPr>
            </w:pPr>
            <w:r>
              <w:rPr>
                <w:rFonts w:ascii="Arial" w:cs="Arial" w:eastAsia="Arial" w:hAnsi="Arial"/>
                <w:sz w:val="22"/>
                <w:szCs w:val="22"/>
                <w:color w:val="auto"/>
              </w:rPr>
              <w:t>Date:</w:t>
            </w:r>
          </w:p>
        </w:tc>
        <w:tc>
          <w:tcPr>
            <w:tcW w:w="4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080" w:type="dxa"/>
            <w:vAlign w:val="bottom"/>
            <w:gridSpan w:val="3"/>
          </w:tcPr>
          <w:p>
            <w:pPr>
              <w:spacing w:after="0"/>
              <w:rPr>
                <w:sz w:val="20"/>
                <w:szCs w:val="20"/>
                <w:color w:val="auto"/>
              </w:rPr>
            </w:pPr>
            <w:r>
              <w:rPr>
                <w:rFonts w:ascii="Arial" w:cs="Arial" w:eastAsia="Arial" w:hAnsi="Arial"/>
                <w:sz w:val="22"/>
                <w:szCs w:val="22"/>
                <w:b w:val="1"/>
                <w:bCs w:val="1"/>
                <w:color w:val="auto"/>
              </w:rPr>
              <w:t>ATTACHMENTS</w:t>
            </w:r>
            <w:r>
              <w:rPr>
                <w:rFonts w:ascii="Arial" w:cs="Arial" w:eastAsia="Arial" w:hAnsi="Arial"/>
                <w:sz w:val="22"/>
                <w:szCs w:val="22"/>
                <w:color w:val="auto"/>
              </w:rPr>
              <w:t>: Stock Option Agreement</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3"/>
        </w:trPr>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98" w:right="9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25"/>
          <w:szCs w:val="25"/>
          <w:b w:val="1"/>
          <w:bCs w:val="1"/>
          <w:color w:val="auto"/>
        </w:rPr>
        <w:t>ATTACHMENT I</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STOCK OPTION AGREEMENT</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(INCENTIVE STOCK OPTION OR NONSTATUTORY STOCK OPTION)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CALAVO GROWERS,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6"/>
          <w:szCs w:val="26"/>
          <w:b w:val="1"/>
          <w:bCs w:val="1"/>
          <w:color w:val="auto"/>
        </w:rPr>
        <w:t xml:space="preserve">2020 EQUITY </w:t>
      </w:r>
      <w:r>
        <w:rPr>
          <w:rFonts w:ascii="Arial" w:cs="Arial" w:eastAsia="Arial" w:hAnsi="Arial"/>
          <w:sz w:val="25"/>
          <w:szCs w:val="25"/>
          <w:b w:val="1"/>
          <w:bCs w:val="1"/>
          <w:color w:val="auto"/>
        </w:rPr>
        <w:t>INCENTIVE</w:t>
      </w:r>
      <w:r>
        <w:rPr>
          <w:rFonts w:ascii="Arial" w:cs="Arial" w:eastAsia="Arial" w:hAnsi="Arial"/>
          <w:sz w:val="26"/>
          <w:szCs w:val="26"/>
          <w:b w:val="1"/>
          <w:bCs w:val="1"/>
          <w:color w:val="auto"/>
        </w:rPr>
        <w:t xml:space="preserve"> PLAN</w:t>
      </w:r>
    </w:p>
    <w:p>
      <w:pPr>
        <w:spacing w:after="0" w:line="190"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9"/>
          <w:szCs w:val="19"/>
          <w:color w:val="auto"/>
        </w:rPr>
        <w:t>Pursuant to your Stock Option Grant Notice (the “</w:t>
      </w:r>
      <w:r>
        <w:rPr>
          <w:rFonts w:ascii="Arial" w:cs="Arial" w:eastAsia="Arial" w:hAnsi="Arial"/>
          <w:sz w:val="19"/>
          <w:szCs w:val="19"/>
          <w:b w:val="1"/>
          <w:bCs w:val="1"/>
          <w:color w:val="auto"/>
        </w:rPr>
        <w:t>Grant Notice</w:t>
      </w:r>
      <w:r>
        <w:rPr>
          <w:rFonts w:ascii="Arial" w:cs="Arial" w:eastAsia="Arial" w:hAnsi="Arial"/>
          <w:sz w:val="19"/>
          <w:szCs w:val="19"/>
          <w:color w:val="auto"/>
        </w:rPr>
        <w:t>”) and this Stock Option Agreement (the “</w:t>
      </w:r>
      <w:r>
        <w:rPr>
          <w:rFonts w:ascii="Arial" w:cs="Arial" w:eastAsia="Arial" w:hAnsi="Arial"/>
          <w:sz w:val="19"/>
          <w:szCs w:val="19"/>
          <w:b w:val="1"/>
          <w:bCs w:val="1"/>
          <w:color w:val="auto"/>
        </w:rPr>
        <w:t>Option Agreement</w:t>
      </w:r>
      <w:r>
        <w:rPr>
          <w:rFonts w:ascii="Arial" w:cs="Arial" w:eastAsia="Arial" w:hAnsi="Arial"/>
          <w:sz w:val="19"/>
          <w:szCs w:val="19"/>
          <w:color w:val="auto"/>
        </w:rPr>
        <w:t>”), Calavo Growers, Inc. (the “</w:t>
      </w:r>
      <w:r>
        <w:rPr>
          <w:rFonts w:ascii="Arial" w:cs="Arial" w:eastAsia="Arial" w:hAnsi="Arial"/>
          <w:sz w:val="19"/>
          <w:szCs w:val="19"/>
          <w:b w:val="1"/>
          <w:bCs w:val="1"/>
          <w:color w:val="auto"/>
        </w:rPr>
        <w:t>Company</w:t>
      </w:r>
      <w:r>
        <w:rPr>
          <w:rFonts w:ascii="Arial" w:cs="Arial" w:eastAsia="Arial" w:hAnsi="Arial"/>
          <w:sz w:val="19"/>
          <w:szCs w:val="19"/>
          <w:color w:val="auto"/>
        </w:rPr>
        <w:t>”) has granted you an option (the “</w:t>
      </w:r>
      <w:r>
        <w:rPr>
          <w:rFonts w:ascii="Arial" w:cs="Arial" w:eastAsia="Arial" w:hAnsi="Arial"/>
          <w:sz w:val="19"/>
          <w:szCs w:val="19"/>
          <w:b w:val="1"/>
          <w:bCs w:val="1"/>
          <w:color w:val="auto"/>
        </w:rPr>
        <w:t>Option</w:t>
      </w:r>
      <w:r>
        <w:rPr>
          <w:rFonts w:ascii="Arial" w:cs="Arial" w:eastAsia="Arial" w:hAnsi="Arial"/>
          <w:sz w:val="19"/>
          <w:szCs w:val="19"/>
          <w:color w:val="auto"/>
        </w:rPr>
        <w:t>”) under its 2020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to purchase the number of shares of the Company’s Common Stock indicated in your Grant Notice at the exercise price indicated in your Grant Notice.</w:t>
      </w:r>
    </w:p>
    <w:p>
      <w:pPr>
        <w:spacing w:after="0" w:line="14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Option is subject to the terms set forth in this Option Agreement and the Plan, which is incorporated herein by reference.</w:t>
      </w:r>
    </w:p>
    <w:p>
      <w:pPr>
        <w:spacing w:after="0" w:line="17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Capitalized terms not expressly defined in this Option Agreement but defined in the Plan have the same definitions as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Option are as follows:</w:t>
      </w:r>
    </w:p>
    <w:p>
      <w:pPr>
        <w:spacing w:after="0" w:line="20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THE OPTION; CHANGE IN CONTROL.</w:t>
      </w:r>
    </w:p>
    <w:p>
      <w:pPr>
        <w:spacing w:after="0" w:line="212" w:lineRule="exact"/>
        <w:rPr>
          <w:rFonts w:ascii="Arial" w:cs="Arial" w:eastAsia="Arial" w:hAnsi="Arial"/>
          <w:sz w:val="22"/>
          <w:szCs w:val="22"/>
          <w:b w:val="1"/>
          <w:bCs w:val="1"/>
          <w:color w:val="auto"/>
        </w:rPr>
      </w:pPr>
    </w:p>
    <w:p>
      <w:pPr>
        <w:ind w:right="160" w:firstLine="1304"/>
        <w:spacing w:after="0" w:line="236" w:lineRule="auto"/>
        <w:tabs>
          <w:tab w:leader="none" w:pos="2233"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Subject to the limitations contained in this Option Agreement and unless otherwise specified in a written employment agreement between you and the Company, (1) your Option shall vest and become exercisable as provided in the Option Vesting Schedule that is contained in your Grant Notice, and (2) vesting of your Option shall cease and any unvested portion of your Option shall be forfeited if your Continuous Service terminates for any reason.</w:t>
      </w:r>
    </w:p>
    <w:p>
      <w:pPr>
        <w:spacing w:after="0" w:line="187" w:lineRule="exact"/>
        <w:rPr>
          <w:rFonts w:ascii="Arial" w:cs="Arial" w:eastAsia="Arial" w:hAnsi="Arial"/>
          <w:sz w:val="22"/>
          <w:szCs w:val="22"/>
          <w:b w:val="1"/>
          <w:bCs w:val="1"/>
          <w:color w:val="auto"/>
        </w:rPr>
      </w:pPr>
    </w:p>
    <w:p>
      <w:pPr>
        <w:ind w:right="180" w:firstLine="1304"/>
        <w:spacing w:after="0" w:line="250" w:lineRule="auto"/>
        <w:tabs>
          <w:tab w:leader="none" w:pos="2233"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Your Option may fully vest upon the occurrence of a Change in Control in accordance with the provisions of Section 9(c) of the Plan.</w:t>
      </w:r>
    </w:p>
    <w:p>
      <w:pPr>
        <w:spacing w:after="0" w:line="168" w:lineRule="exact"/>
        <w:rPr>
          <w:rFonts w:ascii="Arial" w:cs="Arial" w:eastAsia="Arial" w:hAnsi="Arial"/>
          <w:sz w:val="22"/>
          <w:szCs w:val="22"/>
          <w:b w:val="1"/>
          <w:bCs w:val="1"/>
          <w:color w:val="auto"/>
        </w:rPr>
      </w:pPr>
    </w:p>
    <w:p>
      <w:pPr>
        <w:jc w:val="both"/>
        <w:ind w:right="260" w:firstLine="656"/>
        <w:spacing w:after="0" w:line="243" w:lineRule="auto"/>
        <w:tabs>
          <w:tab w:leader="none" w:pos="1296"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NUMBER OF SHARES AND EXERCISE PRICE. </w:t>
      </w:r>
      <w:r>
        <w:rPr>
          <w:rFonts w:ascii="Arial" w:cs="Arial" w:eastAsia="Arial" w:hAnsi="Arial"/>
          <w:sz w:val="22"/>
          <w:szCs w:val="22"/>
          <w:color w:val="auto"/>
        </w:rPr>
        <w:t>The number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your Option and your exercise price per share referenced in your Grant Notice may be adjusted from time to time for Capitalization Adjustments.</w:t>
      </w:r>
    </w:p>
    <w:p>
      <w:pPr>
        <w:spacing w:after="0" w:line="176" w:lineRule="exact"/>
        <w:rPr>
          <w:rFonts w:ascii="Arial" w:cs="Arial" w:eastAsia="Arial" w:hAnsi="Arial"/>
          <w:sz w:val="22"/>
          <w:szCs w:val="22"/>
          <w:b w:val="1"/>
          <w:bCs w:val="1"/>
          <w:color w:val="auto"/>
        </w:rPr>
      </w:pPr>
    </w:p>
    <w:p>
      <w:pPr>
        <w:ind w:right="40" w:firstLine="656"/>
        <w:spacing w:after="0" w:line="260" w:lineRule="auto"/>
        <w:tabs>
          <w:tab w:leader="none" w:pos="1296"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METHOD OF PAYMENT. </w:t>
      </w:r>
      <w:r>
        <w:rPr>
          <w:rFonts w:ascii="Arial" w:cs="Arial" w:eastAsia="Arial" w:hAnsi="Arial"/>
          <w:sz w:val="21"/>
          <w:szCs w:val="21"/>
          <w:color w:val="auto"/>
        </w:rPr>
        <w:t>Payment of the exercise price is due in full upon exercise of all or</w:t>
      </w:r>
      <w:r>
        <w:rPr>
          <w:rFonts w:ascii="Arial" w:cs="Arial" w:eastAsia="Arial" w:hAnsi="Arial"/>
          <w:sz w:val="21"/>
          <w:szCs w:val="21"/>
          <w:b w:val="1"/>
          <w:bCs w:val="1"/>
          <w:color w:val="auto"/>
        </w:rPr>
        <w:t xml:space="preserve"> </w:t>
      </w:r>
      <w:r>
        <w:rPr>
          <w:rFonts w:ascii="Arial" w:cs="Arial" w:eastAsia="Arial" w:hAnsi="Arial"/>
          <w:sz w:val="21"/>
          <w:szCs w:val="21"/>
          <w:color w:val="auto"/>
        </w:rPr>
        <w:t>any part of your Option. You may elect to make payment of the exercise price in cash or by check or in any other manner permitted by your Grant Notice</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which may include one or more of the following:</w:t>
      </w:r>
    </w:p>
    <w:p>
      <w:pPr>
        <w:spacing w:after="0" w:line="166" w:lineRule="exact"/>
        <w:rPr>
          <w:rFonts w:ascii="Arial" w:cs="Arial" w:eastAsia="Arial" w:hAnsi="Arial"/>
          <w:sz w:val="21"/>
          <w:szCs w:val="21"/>
          <w:b w:val="1"/>
          <w:bCs w:val="1"/>
          <w:color w:val="auto"/>
        </w:rPr>
      </w:pPr>
    </w:p>
    <w:p>
      <w:pPr>
        <w:ind w:left="260" w:firstLine="1289"/>
        <w:spacing w:after="0" w:line="238" w:lineRule="auto"/>
        <w:tabs>
          <w:tab w:leader="none" w:pos="2194" w:val="left"/>
        </w:tabs>
        <w:numPr>
          <w:ilvl w:val="2"/>
          <w:numId w:val="35"/>
        </w:numPr>
        <w:rPr>
          <w:rFonts w:ascii="Arial" w:cs="Arial" w:eastAsia="Arial" w:hAnsi="Arial"/>
          <w:sz w:val="22"/>
          <w:szCs w:val="22"/>
          <w:b w:val="1"/>
          <w:bCs w:val="1"/>
          <w:color w:val="auto"/>
        </w:rPr>
      </w:pPr>
      <w:r>
        <w:rPr>
          <w:rFonts w:ascii="Arial" w:cs="Arial" w:eastAsia="Arial" w:hAnsi="Arial"/>
          <w:sz w:val="22"/>
          <w:szCs w:val="22"/>
          <w:color w:val="auto"/>
        </w:rPr>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47" w:name="page48"/>
    <w:bookmarkEnd w:id="47"/>
    <w:p>
      <w:pPr>
        <w:ind w:left="240" w:firstLine="1289"/>
        <w:spacing w:after="0" w:line="234" w:lineRule="auto"/>
        <w:tabs>
          <w:tab w:leader="none" w:pos="2174" w:val="left"/>
        </w:tabs>
        <w:numPr>
          <w:ilvl w:val="2"/>
          <w:numId w:val="36"/>
        </w:numPr>
        <w:rPr>
          <w:rFonts w:ascii="Arial" w:cs="Arial" w:eastAsia="Arial" w:hAnsi="Arial"/>
          <w:sz w:val="22"/>
          <w:szCs w:val="22"/>
          <w:b w:val="1"/>
          <w:bCs w:val="1"/>
          <w:color w:val="auto"/>
        </w:rPr>
      </w:pPr>
      <w:r>
        <w:rPr>
          <w:rFonts w:ascii="Arial" w:cs="Arial" w:eastAsia="Arial" w:hAnsi="Arial"/>
          <w:sz w:val="22"/>
          <w:szCs w:val="22"/>
          <w:color w:val="auto"/>
        </w:rPr>
        <w:t>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7" w:lineRule="exact"/>
        <w:rPr>
          <w:rFonts w:ascii="Arial" w:cs="Arial" w:eastAsia="Arial" w:hAnsi="Arial"/>
          <w:sz w:val="22"/>
          <w:szCs w:val="22"/>
          <w:b w:val="1"/>
          <w:bCs w:val="1"/>
          <w:color w:val="auto"/>
        </w:rPr>
      </w:pPr>
    </w:p>
    <w:p>
      <w:pPr>
        <w:ind w:left="240" w:firstLine="1289"/>
        <w:spacing w:after="0" w:line="245" w:lineRule="auto"/>
        <w:tabs>
          <w:tab w:leader="none" w:pos="2174" w:val="left"/>
        </w:tabs>
        <w:numPr>
          <w:ilvl w:val="2"/>
          <w:numId w:val="36"/>
        </w:numPr>
        <w:rPr>
          <w:rFonts w:ascii="Arial" w:cs="Arial" w:eastAsia="Arial" w:hAnsi="Arial"/>
          <w:sz w:val="21"/>
          <w:szCs w:val="21"/>
          <w:b w:val="1"/>
          <w:bCs w:val="1"/>
          <w:color w:val="auto"/>
        </w:rPr>
      </w:pPr>
      <w:r>
        <w:rPr>
          <w:rFonts w:ascii="Arial" w:cs="Arial" w:eastAsia="Arial" w:hAnsi="Arial"/>
          <w:sz w:val="21"/>
          <w:szCs w:val="21"/>
          <w:color w:val="auto"/>
        </w:rPr>
        <w:t>If your Option is a Nonstatutory Stock Option, subject to the consent of the Company at the time of exercise, by a “net exercise” arrangement pursuant to which the Company shall reduce the number of shares of Common Stock issued upon exercise of your Option by the largest whole number of shares with a Fair Market Value that does not exceed the aggregate exercise price; provided, however, that the Company shall accept a cash or other payment from you to the extent of any remaining balance of the aggregate exercise price not satisfied by such reduction in the number of whole shares to be issued; provided further, however, that shares of Common Stock shall no longer be outstanding under your Option and shall not be exercisable thereafter to the extent that (1) shares are used to pay the exercise price pursuant to the “net exercise,” (2) shares are delivered to you as a result of such exercise, or (3) shares are withheld to satisfy tax withholding obligations.</w:t>
      </w:r>
    </w:p>
    <w:p>
      <w:pPr>
        <w:spacing w:after="0" w:line="174" w:lineRule="exact"/>
        <w:rPr>
          <w:rFonts w:ascii="Arial" w:cs="Arial" w:eastAsia="Arial" w:hAnsi="Arial"/>
          <w:sz w:val="21"/>
          <w:szCs w:val="21"/>
          <w:b w:val="1"/>
          <w:bCs w:val="1"/>
          <w:color w:val="auto"/>
        </w:rPr>
      </w:pPr>
    </w:p>
    <w:p>
      <w:pPr>
        <w:ind w:left="1280" w:hanging="644"/>
        <w:spacing w:after="0"/>
        <w:tabs>
          <w:tab w:leader="none" w:pos="1280" w:val="left"/>
        </w:tabs>
        <w:numPr>
          <w:ilvl w:val="1"/>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WHOLE SHARES. </w:t>
      </w:r>
      <w:r>
        <w:rPr>
          <w:rFonts w:ascii="Arial" w:cs="Arial" w:eastAsia="Arial" w:hAnsi="Arial"/>
          <w:sz w:val="21"/>
          <w:szCs w:val="21"/>
          <w:color w:val="auto"/>
        </w:rPr>
        <w:t>You may exercise your Option only for whole shares of Common Stock.</w:t>
      </w:r>
    </w:p>
    <w:p>
      <w:pPr>
        <w:spacing w:after="0" w:line="217" w:lineRule="exact"/>
        <w:rPr>
          <w:rFonts w:ascii="Arial" w:cs="Arial" w:eastAsia="Arial" w:hAnsi="Arial"/>
          <w:sz w:val="21"/>
          <w:szCs w:val="21"/>
          <w:b w:val="1"/>
          <w:bCs w:val="1"/>
          <w:color w:val="auto"/>
        </w:rPr>
      </w:pPr>
    </w:p>
    <w:p>
      <w:pPr>
        <w:ind w:left="-20" w:right="160" w:firstLine="656"/>
        <w:spacing w:after="0" w:line="278" w:lineRule="auto"/>
        <w:tabs>
          <w:tab w:leader="none" w:pos="1276"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Notwithstanding anything to the contrary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you may not 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45" w:lineRule="exact"/>
        <w:rPr>
          <w:rFonts w:ascii="Arial" w:cs="Arial" w:eastAsia="Arial" w:hAnsi="Arial"/>
          <w:sz w:val="19"/>
          <w:szCs w:val="19"/>
          <w:b w:val="1"/>
          <w:bCs w:val="1"/>
          <w:color w:val="auto"/>
        </w:rPr>
      </w:pPr>
    </w:p>
    <w:p>
      <w:pPr>
        <w:ind w:left="-20" w:right="260" w:firstLine="656"/>
        <w:spacing w:after="0" w:line="300" w:lineRule="auto"/>
        <w:tabs>
          <w:tab w:leader="none" w:pos="1276"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OPTION TERM. </w:t>
      </w:r>
      <w:r>
        <w:rPr>
          <w:rFonts w:ascii="Arial" w:cs="Arial" w:eastAsia="Arial" w:hAnsi="Arial"/>
          <w:sz w:val="19"/>
          <w:szCs w:val="19"/>
          <w:color w:val="auto"/>
        </w:rPr>
        <w:t>You may not exercise your Option before the commencement or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of its term. The term of your Option commences on the date of grant described in your Grant Notice and expires, subject to the provisions of Section 5(h) of the Plan, upon the earliest of the following:</w:t>
      </w:r>
    </w:p>
    <w:p>
      <w:pPr>
        <w:spacing w:after="0" w:line="131" w:lineRule="exact"/>
        <w:rPr>
          <w:rFonts w:ascii="Arial" w:cs="Arial" w:eastAsia="Arial" w:hAnsi="Arial"/>
          <w:sz w:val="19"/>
          <w:szCs w:val="19"/>
          <w:b w:val="1"/>
          <w:bCs w:val="1"/>
          <w:color w:val="auto"/>
        </w:rPr>
      </w:pPr>
    </w:p>
    <w:p>
      <w:pPr>
        <w:ind w:left="2160" w:hanging="631"/>
        <w:spacing w:after="0"/>
        <w:tabs>
          <w:tab w:leader="none" w:pos="2160" w:val="left"/>
        </w:tabs>
        <w:numPr>
          <w:ilvl w:val="2"/>
          <w:numId w:val="37"/>
        </w:numPr>
        <w:rPr>
          <w:rFonts w:ascii="Arial" w:cs="Arial" w:eastAsia="Arial" w:hAnsi="Arial"/>
          <w:sz w:val="22"/>
          <w:szCs w:val="22"/>
          <w:b w:val="1"/>
          <w:bCs w:val="1"/>
          <w:color w:val="auto"/>
        </w:rPr>
      </w:pPr>
      <w:r>
        <w:rPr>
          <w:rFonts w:ascii="Arial" w:cs="Arial" w:eastAsia="Arial" w:hAnsi="Arial"/>
          <w:sz w:val="22"/>
          <w:szCs w:val="22"/>
          <w:color w:val="auto"/>
        </w:rPr>
        <w:t>Immediately upon the termination of your Continuous Service for Cause;</w:t>
      </w:r>
    </w:p>
    <w:p>
      <w:pPr>
        <w:spacing w:after="0" w:line="206" w:lineRule="exact"/>
        <w:rPr>
          <w:rFonts w:ascii="Arial" w:cs="Arial" w:eastAsia="Arial" w:hAnsi="Arial"/>
          <w:sz w:val="22"/>
          <w:szCs w:val="22"/>
          <w:b w:val="1"/>
          <w:bCs w:val="1"/>
          <w:color w:val="auto"/>
        </w:rPr>
      </w:pPr>
    </w:p>
    <w:p>
      <w:pPr>
        <w:ind w:left="2160" w:hanging="631"/>
        <w:spacing w:after="0"/>
        <w:tabs>
          <w:tab w:leader="none" w:pos="2160" w:val="left"/>
        </w:tabs>
        <w:numPr>
          <w:ilvl w:val="2"/>
          <w:numId w:val="37"/>
        </w:numPr>
        <w:rPr>
          <w:rFonts w:ascii="Arial" w:cs="Arial" w:eastAsia="Arial" w:hAnsi="Arial"/>
          <w:sz w:val="19"/>
          <w:szCs w:val="19"/>
          <w:b w:val="1"/>
          <w:bCs w:val="1"/>
          <w:color w:val="auto"/>
        </w:rPr>
      </w:pPr>
      <w:r>
        <w:rPr>
          <w:rFonts w:ascii="Arial" w:cs="Arial" w:eastAsia="Arial" w:hAnsi="Arial"/>
          <w:sz w:val="19"/>
          <w:szCs w:val="19"/>
          <w:color w:val="auto"/>
        </w:rPr>
        <w:t>Three months after the termination of your Continuous Service for any reason other than</w:t>
      </w:r>
    </w:p>
    <w:p>
      <w:pPr>
        <w:spacing w:after="0" w:line="42" w:lineRule="exact"/>
        <w:rPr>
          <w:rFonts w:ascii="Arial" w:cs="Arial" w:eastAsia="Arial" w:hAnsi="Arial"/>
          <w:sz w:val="19"/>
          <w:szCs w:val="19"/>
          <w:b w:val="1"/>
          <w:bCs w:val="1"/>
          <w:color w:val="auto"/>
        </w:rPr>
      </w:pPr>
    </w:p>
    <w:p>
      <w:pPr>
        <w:jc w:val="both"/>
        <w:ind w:left="240" w:hanging="7"/>
        <w:spacing w:after="0" w:line="233" w:lineRule="auto"/>
        <w:tabs>
          <w:tab w:leader="none" w:pos="498" w:val="left"/>
        </w:tabs>
        <w:numPr>
          <w:ilvl w:val="0"/>
          <w:numId w:val="38"/>
        </w:numPr>
        <w:rPr>
          <w:rFonts w:ascii="Arial" w:cs="Arial" w:eastAsia="Arial" w:hAnsi="Arial"/>
          <w:sz w:val="22"/>
          <w:szCs w:val="22"/>
          <w:color w:val="auto"/>
        </w:rPr>
      </w:pPr>
      <w:r>
        <w:rPr>
          <w:rFonts w:ascii="Arial" w:cs="Arial" w:eastAsia="Arial" w:hAnsi="Arial"/>
          <w:sz w:val="22"/>
          <w:szCs w:val="22"/>
          <w:color w:val="auto"/>
        </w:rPr>
        <w:t>Cause, or (ii) by reason of your Disability or death, provided that if during any part of such three-month period your Option is not exercisable solely because of the condition set forth in Section 5 above relating to “Securities Law Compliance,” your Option shall not expire until the earlier of its expiration date or until it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48" w:name="page49"/>
    <w:bookmarkEnd w:id="48"/>
    <w:p>
      <w:pPr>
        <w:ind w:left="260"/>
        <w:spacing w:after="0"/>
        <w:rPr>
          <w:sz w:val="20"/>
          <w:szCs w:val="20"/>
          <w:color w:val="auto"/>
        </w:rPr>
      </w:pPr>
      <w:r>
        <w:rPr>
          <w:rFonts w:ascii="Arial" w:cs="Arial" w:eastAsia="Arial" w:hAnsi="Arial"/>
          <w:sz w:val="21"/>
          <w:szCs w:val="21"/>
          <w:color w:val="auto"/>
        </w:rPr>
        <w:t>exercisable for an aggregate period of three months after the termination of your Continuous Service;</w:t>
      </w:r>
    </w:p>
    <w:p>
      <w:pPr>
        <w:spacing w:after="0" w:line="218" w:lineRule="exact"/>
        <w:rPr>
          <w:sz w:val="20"/>
          <w:szCs w:val="20"/>
          <w:color w:val="auto"/>
        </w:rPr>
      </w:pPr>
    </w:p>
    <w:p>
      <w:pPr>
        <w:ind w:left="2180" w:hanging="631"/>
        <w:spacing w:after="0"/>
        <w:tabs>
          <w:tab w:leader="none" w:pos="2180"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One year after the termination of your Continuous Service due to your Disability;</w:t>
      </w:r>
    </w:p>
    <w:p>
      <w:pPr>
        <w:spacing w:after="0" w:line="217" w:lineRule="exact"/>
        <w:rPr>
          <w:rFonts w:ascii="Arial" w:cs="Arial" w:eastAsia="Arial" w:hAnsi="Arial"/>
          <w:sz w:val="21"/>
          <w:szCs w:val="21"/>
          <w:b w:val="1"/>
          <w:bCs w:val="1"/>
          <w:color w:val="auto"/>
        </w:rPr>
      </w:pPr>
    </w:p>
    <w:p>
      <w:pPr>
        <w:ind w:left="260" w:right="420" w:firstLine="1289"/>
        <w:spacing w:after="0" w:line="274" w:lineRule="auto"/>
        <w:tabs>
          <w:tab w:leader="none" w:pos="2194"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One year after your death if you die either during your Continuous Service or within three months after your Continuous Service terminates for any reason other than Cause; or</w:t>
      </w:r>
    </w:p>
    <w:p>
      <w:pPr>
        <w:spacing w:after="0" w:line="150" w:lineRule="exact"/>
        <w:rPr>
          <w:rFonts w:ascii="Arial" w:cs="Arial" w:eastAsia="Arial" w:hAnsi="Arial"/>
          <w:sz w:val="21"/>
          <w:szCs w:val="21"/>
          <w:b w:val="1"/>
          <w:bCs w:val="1"/>
          <w:color w:val="auto"/>
        </w:rPr>
      </w:pPr>
    </w:p>
    <w:p>
      <w:pPr>
        <w:ind w:left="260" w:right="100" w:firstLine="1289"/>
        <w:spacing w:after="0" w:line="250" w:lineRule="auto"/>
        <w:tabs>
          <w:tab w:leader="none" w:pos="2194"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which shall in no event be later than the tenth anniversary of the Option’s date of grant.</w:t>
      </w:r>
    </w:p>
    <w:p>
      <w:pPr>
        <w:spacing w:after="0" w:line="175"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If your Option is an Incentive Stock Option, note that to obtain the federal income tax advantages associated with an Incentive Stock Option, the Code requires that at all times beginning on the Option’s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shall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8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EXERCISE.</w:t>
      </w:r>
    </w:p>
    <w:p>
      <w:pPr>
        <w:spacing w:after="0" w:line="212" w:lineRule="exact"/>
        <w:rPr>
          <w:rFonts w:ascii="Arial" w:cs="Arial" w:eastAsia="Arial" w:hAnsi="Arial"/>
          <w:sz w:val="22"/>
          <w:szCs w:val="22"/>
          <w:b w:val="1"/>
          <w:bCs w:val="1"/>
          <w:color w:val="auto"/>
        </w:rPr>
      </w:pPr>
    </w:p>
    <w:p>
      <w:pPr>
        <w:ind w:left="260" w:right="480" w:firstLine="1289"/>
        <w:spacing w:after="0" w:line="236" w:lineRule="auto"/>
        <w:tabs>
          <w:tab w:leader="none" w:pos="2194"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You may exercise the vested portion of your Option during its term by delivering a Notice of Exercise (in the form of Exhibit A to this Option Agreement or in another form approved by the Company) together with the exercise price to the Secretary of the Company, or to such other person as the Company may designate, during regular business hours, together with such additional documents as the Company may then require.</w:t>
      </w:r>
    </w:p>
    <w:p>
      <w:pPr>
        <w:spacing w:after="0" w:line="187" w:lineRule="exact"/>
        <w:rPr>
          <w:rFonts w:ascii="Arial" w:cs="Arial" w:eastAsia="Arial" w:hAnsi="Arial"/>
          <w:sz w:val="22"/>
          <w:szCs w:val="22"/>
          <w:b w:val="1"/>
          <w:bCs w:val="1"/>
          <w:color w:val="auto"/>
        </w:rPr>
      </w:pPr>
    </w:p>
    <w:p>
      <w:pPr>
        <w:ind w:left="260" w:right="80" w:firstLine="1289"/>
        <w:spacing w:after="0" w:line="282" w:lineRule="auto"/>
        <w:tabs>
          <w:tab w:leader="none" w:pos="2194" w:val="left"/>
        </w:tabs>
        <w:numPr>
          <w:ilvl w:val="1"/>
          <w:numId w:val="40"/>
        </w:numPr>
        <w:rPr>
          <w:rFonts w:ascii="Arial" w:cs="Arial" w:eastAsia="Arial" w:hAnsi="Arial"/>
          <w:sz w:val="19"/>
          <w:szCs w:val="19"/>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47" w:lineRule="exact"/>
        <w:rPr>
          <w:rFonts w:ascii="Arial" w:cs="Arial" w:eastAsia="Arial" w:hAnsi="Arial"/>
          <w:sz w:val="19"/>
          <w:szCs w:val="19"/>
          <w:b w:val="1"/>
          <w:bCs w:val="1"/>
          <w:color w:val="auto"/>
        </w:rPr>
      </w:pPr>
    </w:p>
    <w:p>
      <w:pPr>
        <w:ind w:left="260" w:right="80" w:firstLine="1289"/>
        <w:spacing w:after="0" w:line="236" w:lineRule="auto"/>
        <w:tabs>
          <w:tab w:leader="none" w:pos="2194"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If your Option is an Incentive Stock Option, by exercising your Option you agree that you shall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81" w:lineRule="exact"/>
        <w:rPr>
          <w:rFonts w:ascii="Arial" w:cs="Arial" w:eastAsia="Arial" w:hAnsi="Arial"/>
          <w:sz w:val="22"/>
          <w:szCs w:val="22"/>
          <w:b w:val="1"/>
          <w:bCs w:val="1"/>
          <w:color w:val="auto"/>
        </w:rPr>
      </w:pPr>
    </w:p>
    <w:p>
      <w:pPr>
        <w:ind w:right="160" w:firstLine="656"/>
        <w:spacing w:after="0" w:line="243" w:lineRule="auto"/>
        <w:tabs>
          <w:tab w:leader="none" w:pos="1296"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this Section 8, your Option is not</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transferable, except by will or by the laws of descent and distribution, and is exercisable during your life only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49" w:name="page50"/>
    <w:bookmarkEnd w:id="49"/>
    <w:p>
      <w:pPr>
        <w:ind w:left="200" w:right="120" w:firstLine="1287"/>
        <w:spacing w:after="0" w:line="254" w:lineRule="auto"/>
        <w:tabs>
          <w:tab w:leader="none" w:pos="2144" w:val="left"/>
        </w:tabs>
        <w:numPr>
          <w:ilvl w:val="1"/>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Certain Trusts. </w:t>
      </w:r>
      <w:r>
        <w:rPr>
          <w:rFonts w:ascii="Arial" w:cs="Arial" w:eastAsia="Arial" w:hAnsi="Arial"/>
          <w:sz w:val="21"/>
          <w:szCs w:val="21"/>
          <w:color w:val="auto"/>
        </w:rPr>
        <w:t>Upon receiving written permission from the Company, you may</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your Option to a trust if you are considered to be the sole beneficial owner (determined under Section 671 of the Code and applicable state law) while your Option is held in the trust, provided that you and the trustee enter into transfer and other agreements required by the Company.</w:t>
      </w:r>
    </w:p>
    <w:p>
      <w:pPr>
        <w:spacing w:after="0" w:line="166" w:lineRule="exact"/>
        <w:rPr>
          <w:rFonts w:ascii="Arial" w:cs="Arial" w:eastAsia="Arial" w:hAnsi="Arial"/>
          <w:sz w:val="21"/>
          <w:szCs w:val="21"/>
          <w:b w:val="1"/>
          <w:bCs w:val="1"/>
          <w:color w:val="auto"/>
        </w:rPr>
      </w:pPr>
    </w:p>
    <w:p>
      <w:pPr>
        <w:ind w:left="200" w:right="180" w:firstLine="1287"/>
        <w:spacing w:after="0" w:line="278" w:lineRule="auto"/>
        <w:tabs>
          <w:tab w:leader="none" w:pos="2144"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Domestic Relations Orders. </w:t>
      </w:r>
      <w:r>
        <w:rPr>
          <w:rFonts w:ascii="Arial" w:cs="Arial" w:eastAsia="Arial" w:hAnsi="Arial"/>
          <w:sz w:val="19"/>
          <w:szCs w:val="19"/>
          <w:color w:val="auto"/>
        </w:rPr>
        <w:t>Upon receiving written permission from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provided that you and the designated transferee enter into transfer and other agreements required by the Company, you may transfer your Option pursuant to a domestic relations order that contains the information required by the Company to effectuate the transfer. You are encouraged to discuss the proposed terms of any division of your Option with the Company prior to finalizing the domestic relations order to help ensure the required information is contained within the domestic relations order. If your Option is an Incentive Stock Option, the Option may be deemed to be a Nonstatutory Stock Option as a result of such transfer.</w:t>
      </w:r>
    </w:p>
    <w:p>
      <w:pPr>
        <w:spacing w:after="0" w:line="145" w:lineRule="exact"/>
        <w:rPr>
          <w:rFonts w:ascii="Arial" w:cs="Arial" w:eastAsia="Arial" w:hAnsi="Arial"/>
          <w:sz w:val="19"/>
          <w:szCs w:val="19"/>
          <w:b w:val="1"/>
          <w:bCs w:val="1"/>
          <w:color w:val="auto"/>
        </w:rPr>
      </w:pPr>
    </w:p>
    <w:p>
      <w:pPr>
        <w:ind w:left="200" w:firstLine="1287"/>
        <w:spacing w:after="0" w:line="278" w:lineRule="auto"/>
        <w:tabs>
          <w:tab w:leader="none" w:pos="2144"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Beneficiary Designation. </w:t>
      </w:r>
      <w:r>
        <w:rPr>
          <w:rFonts w:ascii="Arial" w:cs="Arial" w:eastAsia="Arial" w:hAnsi="Arial"/>
          <w:sz w:val="19"/>
          <w:szCs w:val="19"/>
          <w:color w:val="auto"/>
        </w:rPr>
        <w:t>Upon receiving written permission from the Company, you</w:t>
      </w:r>
      <w:r>
        <w:rPr>
          <w:rFonts w:ascii="Arial" w:cs="Arial" w:eastAsia="Arial" w:hAnsi="Arial"/>
          <w:sz w:val="19"/>
          <w:szCs w:val="19"/>
          <w:b w:val="1"/>
          <w:bCs w:val="1"/>
          <w:color w:val="auto"/>
        </w:rPr>
        <w:t xml:space="preserve"> </w:t>
      </w:r>
      <w:r>
        <w:rPr>
          <w:rFonts w:ascii="Arial" w:cs="Arial" w:eastAsia="Arial" w:hAnsi="Arial"/>
          <w:sz w:val="19"/>
          <w:szCs w:val="19"/>
          <w:color w:val="auto"/>
        </w:rPr>
        <w:t>may, by delivering written notice to the Company, in a form provided by or otherwise satisfactory to the Company and any broker designated by the Company to effect option exercises, designate a third party who, in the event of your death, shall thereafter be entitled to exercise your Option and receive the Common Stock or other consideration resulting from such exercise. In the absence of such a designation, your executor or administrator of your estate shall be entitled to exercise your Option and receive, on behalf of your estate, the Common Stock or other consideration resulting from such exercise.</w:t>
      </w:r>
    </w:p>
    <w:p>
      <w:pPr>
        <w:spacing w:after="0" w:line="145" w:lineRule="exact"/>
        <w:rPr>
          <w:rFonts w:ascii="Arial" w:cs="Arial" w:eastAsia="Arial" w:hAnsi="Arial"/>
          <w:sz w:val="19"/>
          <w:szCs w:val="19"/>
          <w:b w:val="1"/>
          <w:bCs w:val="1"/>
          <w:color w:val="auto"/>
        </w:rPr>
      </w:pPr>
    </w:p>
    <w:p>
      <w:pPr>
        <w:ind w:left="-60" w:right="20" w:firstLine="656"/>
        <w:spacing w:after="0" w:line="236" w:lineRule="auto"/>
        <w:tabs>
          <w:tab w:leader="none" w:pos="1236"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 NOT A SERVICE CONTRACT. </w:t>
      </w:r>
      <w:r>
        <w:rPr>
          <w:rFonts w:ascii="Arial" w:cs="Arial" w:eastAsia="Arial" w:hAnsi="Arial"/>
          <w:sz w:val="22"/>
          <w:szCs w:val="22"/>
          <w:color w:val="auto"/>
        </w:rPr>
        <w:t>Your Option is not an employment or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and nothing in 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81" w:lineRule="exact"/>
        <w:rPr>
          <w:rFonts w:ascii="Arial" w:cs="Arial" w:eastAsia="Arial" w:hAnsi="Arial"/>
          <w:sz w:val="22"/>
          <w:szCs w:val="22"/>
          <w:b w:val="1"/>
          <w:bCs w:val="1"/>
          <w:color w:val="auto"/>
        </w:rPr>
      </w:pPr>
    </w:p>
    <w:p>
      <w:pPr>
        <w:ind w:left="1240" w:hanging="644"/>
        <w:spacing w:after="0"/>
        <w:tabs>
          <w:tab w:leader="none" w:pos="12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OBLIGATIONS.</w:t>
      </w:r>
    </w:p>
    <w:p>
      <w:pPr>
        <w:spacing w:after="0" w:line="212" w:lineRule="exact"/>
        <w:rPr>
          <w:rFonts w:ascii="Arial" w:cs="Arial" w:eastAsia="Arial" w:hAnsi="Arial"/>
          <w:sz w:val="22"/>
          <w:szCs w:val="22"/>
          <w:b w:val="1"/>
          <w:bCs w:val="1"/>
          <w:color w:val="auto"/>
        </w:rPr>
      </w:pPr>
    </w:p>
    <w:p>
      <w:pPr>
        <w:ind w:left="200" w:firstLine="1289"/>
        <w:spacing w:after="0" w:line="279" w:lineRule="auto"/>
        <w:tabs>
          <w:tab w:leader="none" w:pos="2134"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50" w:lineRule="exact"/>
        <w:rPr>
          <w:rFonts w:ascii="Arial" w:cs="Arial" w:eastAsia="Arial" w:hAnsi="Arial"/>
          <w:sz w:val="19"/>
          <w:szCs w:val="19"/>
          <w:b w:val="1"/>
          <w:bCs w:val="1"/>
          <w:color w:val="auto"/>
        </w:rPr>
      </w:pPr>
    </w:p>
    <w:p>
      <w:pPr>
        <w:ind w:left="200" w:right="40" w:firstLine="1289"/>
        <w:spacing w:after="0"/>
        <w:tabs>
          <w:tab w:leader="none" w:pos="2134"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Upon your request and subject to approval by the Company, and in compliance with any applicable legal conditions or restrictions, the Company may withhold from fully vested shares of Common Stock otherwise issuable to you upon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349885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112" w:right="1059" w:bottom="1440" w:gutter="0" w:footer="0" w:header="0"/>
        </w:sectPr>
      </w:pPr>
    </w:p>
    <w:bookmarkStart w:id="50" w:name="page51"/>
    <w:bookmarkEnd w:id="50"/>
    <w:p>
      <w:pPr>
        <w:ind w:left="240" w:right="100"/>
        <w:spacing w:after="0" w:line="279" w:lineRule="auto"/>
        <w:rPr>
          <w:sz w:val="20"/>
          <w:szCs w:val="20"/>
          <w:color w:val="auto"/>
        </w:rPr>
      </w:pPr>
      <w:r>
        <w:rPr>
          <w:rFonts w:ascii="Arial" w:cs="Arial" w:eastAsia="Arial" w:hAnsi="Arial"/>
          <w:sz w:val="19"/>
          <w:szCs w:val="19"/>
          <w:color w:val="auto"/>
        </w:rPr>
        <w:t>your Option a number of whole shares of Common Stock having a Fair Market Value, determined by the Company as of the date of exercise, not in excess of the amount of withholding tax obligations calculated in accordance with the minimum statutory tax rates applicable to you (or such lower amount as may be determined by the Company in order to avoid negative accounting consequences or costs, including in order to avoid classification of your Option as a liability for financial accounting purposes). Any adverse consequences to you arising in connection with such share withholding procedure shall be your sole responsibility.</w:t>
      </w:r>
    </w:p>
    <w:p>
      <w:pPr>
        <w:spacing w:after="0" w:line="151" w:lineRule="exact"/>
        <w:rPr>
          <w:sz w:val="20"/>
          <w:szCs w:val="20"/>
          <w:color w:val="auto"/>
        </w:rPr>
      </w:pPr>
    </w:p>
    <w:p>
      <w:pPr>
        <w:ind w:left="240" w:right="180" w:firstLine="1289"/>
        <w:spacing w:after="0" w:line="252" w:lineRule="auto"/>
        <w:tabs>
          <w:tab w:leader="none" w:pos="2174" w:val="left"/>
        </w:tabs>
        <w:numPr>
          <w:ilvl w:val="1"/>
          <w:numId w:val="43"/>
        </w:numPr>
        <w:rPr>
          <w:rFonts w:ascii="Arial" w:cs="Arial" w:eastAsia="Arial" w:hAnsi="Arial"/>
          <w:sz w:val="21"/>
          <w:szCs w:val="21"/>
          <w:b w:val="1"/>
          <w:bCs w:val="1"/>
          <w:color w:val="auto"/>
        </w:rPr>
      </w:pPr>
      <w:r>
        <w:rPr>
          <w:rFonts w:ascii="Arial" w:cs="Arial" w:eastAsia="Arial" w:hAnsi="Arial"/>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unless such obligations are satisfied.</w:t>
      </w:r>
    </w:p>
    <w:p>
      <w:pPr>
        <w:spacing w:after="0" w:line="167" w:lineRule="exact"/>
        <w:rPr>
          <w:rFonts w:ascii="Arial" w:cs="Arial" w:eastAsia="Arial" w:hAnsi="Arial"/>
          <w:sz w:val="21"/>
          <w:szCs w:val="21"/>
          <w:b w:val="1"/>
          <w:bCs w:val="1"/>
          <w:color w:val="auto"/>
        </w:rPr>
      </w:pPr>
    </w:p>
    <w:p>
      <w:pPr>
        <w:ind w:left="-20" w:right="180" w:firstLine="656"/>
        <w:spacing w:after="0" w:line="278" w:lineRule="auto"/>
        <w:tabs>
          <w:tab w:leader="none" w:pos="127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 the Plan or its other compensation programs in a manner that minimizes your tax liabilities. You shall not make any claim against the Company, or any of its Officers, Directors, Employees or Affiliates related to tax liabilities arising from your Option or your other compensation. In particular, you acknowledge that your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your Option.</w:t>
      </w:r>
    </w:p>
    <w:p>
      <w:pPr>
        <w:spacing w:after="0" w:line="145" w:lineRule="exact"/>
        <w:rPr>
          <w:rFonts w:ascii="Arial" w:cs="Arial" w:eastAsia="Arial" w:hAnsi="Arial"/>
          <w:sz w:val="19"/>
          <w:szCs w:val="19"/>
          <w:b w:val="1"/>
          <w:bCs w:val="1"/>
          <w:color w:val="auto"/>
        </w:rPr>
      </w:pPr>
    </w:p>
    <w:p>
      <w:pPr>
        <w:ind w:left="-20" w:right="140" w:firstLine="656"/>
        <w:spacing w:after="0" w:line="276" w:lineRule="auto"/>
        <w:tabs>
          <w:tab w:leader="none" w:pos="127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notices provided for in your Option, this Option Agreement or the Plan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given by you or the Company in writing and shall be deemed effectively given upon receipt or, in the case of notices delivered by mail by the Company to you, five days after deposit in the United States mail, postage prepaid, addressed to you at the last address you provided to the Company. Notwithstanding the foregoing, the Company may, in its sole discretion, decide to deliver any notices or documents related to your Option, this Option Agreement or the Plan by electronic means (including by email).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49" w:lineRule="exact"/>
        <w:rPr>
          <w:rFonts w:ascii="Arial" w:cs="Arial" w:eastAsia="Arial" w:hAnsi="Arial"/>
          <w:sz w:val="19"/>
          <w:szCs w:val="19"/>
          <w:b w:val="1"/>
          <w:bCs w:val="1"/>
          <w:color w:val="auto"/>
        </w:rPr>
      </w:pPr>
    </w:p>
    <w:p>
      <w:pPr>
        <w:ind w:left="-20" w:firstLine="656"/>
        <w:spacing w:after="0" w:line="237" w:lineRule="auto"/>
        <w:tabs>
          <w:tab w:leader="none" w:pos="127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APPLICABILITY OF THE PLAN. </w:t>
      </w:r>
      <w:r>
        <w:rPr>
          <w:rFonts w:ascii="Arial" w:cs="Arial" w:eastAsia="Arial" w:hAnsi="Arial"/>
          <w:sz w:val="22"/>
          <w:szCs w:val="22"/>
          <w:color w:val="auto"/>
        </w:rPr>
        <w:t>Your Option and this Option Agreement are subject to all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the Plan, the provisions of which are hereby made a part of your Option and are further subject to all interpretations and amendments of the Plan which may from time to time be promulgated and adopted pursuant to the Plan. In the event of any conflict between the provisions of this Option Agreement and those of the Plan, the provisions of the Plan shall control.</w:t>
      </w:r>
    </w:p>
    <w:p>
      <w:pPr>
        <w:spacing w:after="0" w:line="181" w:lineRule="exact"/>
        <w:rPr>
          <w:rFonts w:ascii="Arial" w:cs="Arial" w:eastAsia="Arial" w:hAnsi="Arial"/>
          <w:sz w:val="22"/>
          <w:szCs w:val="22"/>
          <w:b w:val="1"/>
          <w:bCs w:val="1"/>
          <w:color w:val="auto"/>
        </w:rPr>
      </w:pPr>
    </w:p>
    <w:p>
      <w:pPr>
        <w:ind w:left="-20" w:right="120" w:firstLine="656"/>
        <w:spacing w:after="0" w:line="237" w:lineRule="auto"/>
        <w:tabs>
          <w:tab w:leader="none" w:pos="127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Option Agreement or the Plan is declared by any court</w:t>
      </w:r>
      <w:r>
        <w:rPr>
          <w:rFonts w:ascii="Arial" w:cs="Arial" w:eastAsia="Arial" w:hAnsi="Arial"/>
          <w:sz w:val="22"/>
          <w:szCs w:val="22"/>
          <w:b w:val="1"/>
          <w:bCs w:val="1"/>
          <w:color w:val="auto"/>
        </w:rPr>
        <w:t xml:space="preserve"> </w:t>
      </w:r>
      <w:r>
        <w:rPr>
          <w:rFonts w:ascii="Arial" w:cs="Arial" w:eastAsia="Arial" w:hAnsi="Arial"/>
          <w:sz w:val="22"/>
          <w:szCs w:val="22"/>
          <w:color w:val="auto"/>
        </w:rPr>
        <w:t>or governmental authority to be unlawful or invalid, such unlawfulness or invalidity shall not invalidate any portion of this Option Agreement or the Plan not declared to be unlawful or invalid. Any Section of this Option Agreement or the Plan (or part of such a Section) so declared to be unlawful or invalid shall, if possible, be construed in a manner which shall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51" w:name="page52"/>
    <w:bookmarkEnd w:id="51"/>
    <w:p>
      <w:pPr>
        <w:ind w:right="320"/>
        <w:spacing w:after="0" w:line="251" w:lineRule="auto"/>
        <w:rPr>
          <w:sz w:val="20"/>
          <w:szCs w:val="20"/>
          <w:color w:val="auto"/>
        </w:rPr>
      </w:pPr>
      <w:r>
        <w:rPr>
          <w:rFonts w:ascii="Arial" w:cs="Arial" w:eastAsia="Arial" w:hAnsi="Arial"/>
          <w:sz w:val="22"/>
          <w:szCs w:val="22"/>
          <w:color w:val="auto"/>
        </w:rPr>
        <w:t>effect to the terms of such Section or part of a Section to the fullest extent possible while remaining lawful and valid.</w:t>
      </w:r>
    </w:p>
    <w:p>
      <w:pPr>
        <w:spacing w:after="0" w:line="167" w:lineRule="exact"/>
        <w:rPr>
          <w:sz w:val="20"/>
          <w:szCs w:val="20"/>
          <w:color w:val="auto"/>
        </w:rPr>
      </w:pPr>
    </w:p>
    <w:p>
      <w:pPr>
        <w:ind w:firstLine="656"/>
        <w:spacing w:after="0" w:line="251" w:lineRule="auto"/>
        <w:tabs>
          <w:tab w:leader="none" w:pos="1296"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ON OTHER EMPLOYEE BENEFIT PLANS. </w:t>
      </w:r>
      <w:r>
        <w:rPr>
          <w:rFonts w:ascii="Arial" w:cs="Arial" w:eastAsia="Arial" w:hAnsi="Arial"/>
          <w:sz w:val="21"/>
          <w:szCs w:val="21"/>
          <w:color w:val="auto"/>
        </w:rPr>
        <w:t>The value of your Option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Option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8" w:lineRule="exact"/>
        <w:rPr>
          <w:rFonts w:ascii="Arial" w:cs="Arial" w:eastAsia="Arial" w:hAnsi="Arial"/>
          <w:sz w:val="21"/>
          <w:szCs w:val="21"/>
          <w:b w:val="1"/>
          <w:bCs w:val="1"/>
          <w:color w:val="auto"/>
        </w:rPr>
      </w:pPr>
    </w:p>
    <w:p>
      <w:pPr>
        <w:ind w:right="140" w:firstLine="656"/>
        <w:spacing w:after="0" w:line="234" w:lineRule="auto"/>
        <w:tabs>
          <w:tab w:leader="none" w:pos="129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This Option Agreement may not be modified or amended except by an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in writing, signed by a duly authorized representative of the Company, provided that no such amendment materially adversely affecting your rights hereunder may be made without your written consent. However, the Company reserves the right to change, by written notice to you, the provisions of this Option Agreement in any way it may deem necessary or advisable to carry out the purpose of the grant as a result of any change in applicable laws or regulations or any future law, regulation, ruling, or judicial decision, provided that any such change shall be applicable only to rights relating to that portion of your Option which is then subject to restrictions as provided herein.</w:t>
      </w:r>
    </w:p>
    <w:p>
      <w:pPr>
        <w:spacing w:after="0" w:line="186"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2" w:lineRule="exact"/>
        <w:rPr>
          <w:rFonts w:ascii="Arial" w:cs="Arial" w:eastAsia="Arial" w:hAnsi="Arial"/>
          <w:sz w:val="22"/>
          <w:szCs w:val="22"/>
          <w:b w:val="1"/>
          <w:bCs w:val="1"/>
          <w:color w:val="auto"/>
        </w:rPr>
      </w:pPr>
    </w:p>
    <w:p>
      <w:pPr>
        <w:ind w:right="40" w:firstLine="1304"/>
        <w:spacing w:after="0" w:line="275" w:lineRule="auto"/>
        <w:tabs>
          <w:tab w:leader="none" w:pos="2179"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The Company may assign any of its rights under your Grant Notice, this Option Agreement and the Plan to one or more assignees, and all covenants contained in your Grant Notice, this Option Agreement and the Plan shall inure to the benefit of, and be enforceable by, the Company’s successors and assigns. All obligations of the Company under your Grant Notice, this Option Agreement and the Plan shall be binding on any successor to the Company, whether the existence of such successor is the result of a direct or indirect purchase, merger, consolidation or otherwise, of all or substantially all of the business and/or assets of the Company. Subject to Section 8(c) with respect to the exercise of your Option following your death, your rights and obligations under your Option may only be assigned with the prior written consent of the Company.</w:t>
      </w:r>
    </w:p>
    <w:p>
      <w:pPr>
        <w:spacing w:after="0" w:line="157" w:lineRule="exact"/>
        <w:rPr>
          <w:rFonts w:ascii="Arial" w:cs="Arial" w:eastAsia="Arial" w:hAnsi="Arial"/>
          <w:sz w:val="19"/>
          <w:szCs w:val="19"/>
          <w:b w:val="1"/>
          <w:bCs w:val="1"/>
          <w:color w:val="auto"/>
        </w:rPr>
      </w:pPr>
    </w:p>
    <w:p>
      <w:pPr>
        <w:ind w:right="320" w:firstLine="1304"/>
        <w:spacing w:after="0" w:line="328" w:lineRule="auto"/>
        <w:tabs>
          <w:tab w:leader="none" w:pos="2179"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You agree upon request to execute any further documents or instruments necessary or desirable in the sole determination of the Company to carry out the purposes or intent of your Option.</w:t>
      </w:r>
    </w:p>
    <w:p>
      <w:pPr>
        <w:spacing w:after="0" w:line="104" w:lineRule="exact"/>
        <w:rPr>
          <w:rFonts w:ascii="Arial" w:cs="Arial" w:eastAsia="Arial" w:hAnsi="Arial"/>
          <w:sz w:val="19"/>
          <w:szCs w:val="19"/>
          <w:b w:val="1"/>
          <w:bCs w:val="1"/>
          <w:color w:val="auto"/>
        </w:rPr>
      </w:pPr>
    </w:p>
    <w:p>
      <w:pPr>
        <w:ind w:right="140" w:firstLine="1304"/>
        <w:spacing w:after="0" w:line="257" w:lineRule="auto"/>
        <w:tabs>
          <w:tab w:leader="none" w:pos="2179" w:val="left"/>
        </w:tabs>
        <w:numPr>
          <w:ilvl w:val="1"/>
          <w:numId w:val="45"/>
        </w:numPr>
        <w:rPr>
          <w:rFonts w:ascii="Arial" w:cs="Arial" w:eastAsia="Arial" w:hAnsi="Arial"/>
          <w:sz w:val="21"/>
          <w:szCs w:val="21"/>
          <w:b w:val="1"/>
          <w:bCs w:val="1"/>
          <w:color w:val="auto"/>
        </w:rPr>
      </w:pPr>
      <w:r>
        <w:rPr>
          <w:rFonts w:ascii="Arial" w:cs="Arial" w:eastAsia="Arial" w:hAnsi="Arial"/>
          <w:sz w:val="21"/>
          <w:szCs w:val="21"/>
          <w:color w:val="auto"/>
        </w:rPr>
        <w:t>You acknowledge and agree that you have reviewed this Option Agreement, your Grant Notice and the Plan in their entirety, have had an opportunity to obtain the advice of counsel prior to executing and accepting your Option, and fully understand all provisions of your Option.</w:t>
      </w:r>
    </w:p>
    <w:p>
      <w:pPr>
        <w:spacing w:after="0" w:line="169" w:lineRule="exact"/>
        <w:rPr>
          <w:rFonts w:ascii="Arial" w:cs="Arial" w:eastAsia="Arial" w:hAnsi="Arial"/>
          <w:sz w:val="21"/>
          <w:szCs w:val="21"/>
          <w:b w:val="1"/>
          <w:bCs w:val="1"/>
          <w:color w:val="auto"/>
        </w:rPr>
      </w:pPr>
    </w:p>
    <w:p>
      <w:pPr>
        <w:ind w:right="60" w:firstLine="1304"/>
        <w:spacing w:after="0" w:line="328" w:lineRule="auto"/>
        <w:tabs>
          <w:tab w:leader="none" w:pos="2179" w:val="left"/>
        </w:tabs>
        <w:numPr>
          <w:ilvl w:val="1"/>
          <w:numId w:val="45"/>
        </w:numPr>
        <w:rPr>
          <w:rFonts w:ascii="Arial" w:cs="Arial" w:eastAsia="Arial" w:hAnsi="Arial"/>
          <w:sz w:val="19"/>
          <w:szCs w:val="19"/>
          <w:b w:val="1"/>
          <w:bCs w:val="1"/>
          <w:color w:val="auto"/>
        </w:rPr>
      </w:pPr>
      <w:r>
        <w:rPr>
          <w:rFonts w:ascii="Arial" w:cs="Arial" w:eastAsia="Arial" w:hAnsi="Arial"/>
          <w:sz w:val="19"/>
          <w:szCs w:val="19"/>
          <w:color w:val="auto"/>
        </w:rPr>
        <w:t>This Option Agreement shall be subject to all applicable laws, rules and regulations, and to such approvals by any governmental agencies or national securities exchanges as may be required.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52" w:name="page53"/>
    <w:bookmarkEnd w:id="52"/>
    <w:p>
      <w:pPr>
        <w:ind w:left="-460" w:right="559" w:firstLine="1304"/>
        <w:spacing w:after="0" w:line="258" w:lineRule="auto"/>
        <w:tabs>
          <w:tab w:leader="none" w:pos="1719" w:val="left"/>
        </w:tabs>
        <w:numPr>
          <w:ilvl w:val="0"/>
          <w:numId w:val="46"/>
        </w:numPr>
        <w:rPr>
          <w:rFonts w:ascii="Arial" w:cs="Arial" w:eastAsia="Arial" w:hAnsi="Arial"/>
          <w:sz w:val="21"/>
          <w:szCs w:val="21"/>
          <w:b w:val="1"/>
          <w:bCs w:val="1"/>
          <w:color w:val="auto"/>
        </w:rPr>
      </w:pPr>
      <w:r>
        <w:rPr>
          <w:rFonts w:ascii="Arial" w:cs="Arial" w:eastAsia="Arial" w:hAnsi="Arial"/>
          <w:sz w:val="21"/>
          <w:szCs w:val="21"/>
          <w:color w:val="auto"/>
        </w:rPr>
        <w:t>The laws of the State of California shall govern all questions concerning the interpretation, validity, administration, performance and enforcement of your Grant Notice, this Option Agreement and the Plan, without regard to that state’s conflict of 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NOTICE OF EXERCISE OF OPTION TO PURCHASE COMMON STOCK</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158750</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4445</wp:posOffset>
            </wp:positionV>
            <wp:extent cx="2837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-158115</wp:posOffset>
            </wp:positionV>
            <wp:extent cx="2837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SSN:</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4445</wp:posOffset>
            </wp:positionV>
            <wp:extent cx="2837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83718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-158115</wp:posOffset>
            </wp:positionV>
            <wp:extent cx="2837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Calavo Growers, Inc.</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Secretary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1141-A Cummings Road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Santa Paula, California 93060</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Exercise of Stock Option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elect to purchase ____________ shares of Common Stock of Calavo Growers, Inc.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49"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auto"/>
        </w:rPr>
        <w:t>upon the exercise of my option (the “</w:t>
      </w:r>
      <w:r>
        <w:rPr>
          <w:rFonts w:ascii="Arial" w:cs="Arial" w:eastAsia="Arial" w:hAnsi="Arial"/>
          <w:sz w:val="19"/>
          <w:szCs w:val="19"/>
          <w:b w:val="1"/>
          <w:bCs w:val="1"/>
          <w:color w:val="auto"/>
        </w:rPr>
        <w:t>Option</w:t>
      </w:r>
      <w:r>
        <w:rPr>
          <w:rFonts w:ascii="Arial" w:cs="Arial" w:eastAsia="Arial" w:hAnsi="Arial"/>
          <w:sz w:val="19"/>
          <w:szCs w:val="19"/>
          <w:color w:val="auto"/>
        </w:rPr>
        <w:t>”) pursuant to the Stock Option Grant Notice and Stock Option Agreement, dated _______ (jointly, the “</w:t>
      </w:r>
      <w:r>
        <w:rPr>
          <w:rFonts w:ascii="Arial" w:cs="Arial" w:eastAsia="Arial" w:hAnsi="Arial"/>
          <w:sz w:val="19"/>
          <w:szCs w:val="19"/>
          <w:b w:val="1"/>
          <w:bCs w:val="1"/>
          <w:color w:val="auto"/>
        </w:rPr>
        <w:t>Option Agreement</w:t>
      </w:r>
      <w:r>
        <w:rPr>
          <w:rFonts w:ascii="Arial" w:cs="Arial" w:eastAsia="Arial" w:hAnsi="Arial"/>
          <w:sz w:val="19"/>
          <w:szCs w:val="19"/>
          <w:color w:val="auto"/>
        </w:rPr>
        <w:t>”), between the Company and me with respect to the</w:t>
      </w:r>
    </w:p>
    <w:p>
      <w:pPr>
        <w:spacing w:after="0" w:line="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Calavo Growers, Inc.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The purchase shall take place on the Option exercise date, which shall be (i) as soon as practicable following the date this notice and all other necessary forms and payments are received by the Company, unless I specify a later date (not to exceed 30 days following the date of this notice) or (ii) in the case of a Broker-assisted cashless exercise (as indicated below), the date that payment of the full Option exercise price is received by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or before the Option exercise date, I shall pay the full exercise price in the form specified below (check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one):</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u w:val="single" w:color="auto"/>
          <w:color w:val="auto"/>
        </w:rPr>
        <w:t>Cash</w:t>
      </w:r>
      <w:r>
        <w:rPr>
          <w:rFonts w:ascii="Arial" w:cs="Arial" w:eastAsia="Arial" w:hAnsi="Arial"/>
          <w:sz w:val="19"/>
          <w:szCs w:val="19"/>
          <w:color w:val="auto"/>
        </w:rPr>
        <w:t>: by delivering cash to the Company for $___________.</w:t>
      </w:r>
    </w:p>
    <w:p>
      <w:pPr>
        <w:spacing w:after="0" w:line="20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u w:val="single" w:color="auto"/>
          <w:color w:val="auto"/>
        </w:rPr>
        <w:t>Check</w:t>
      </w:r>
      <w:r>
        <w:rPr>
          <w:rFonts w:ascii="Arial" w:cs="Arial" w:eastAsia="Arial" w:hAnsi="Arial"/>
          <w:sz w:val="19"/>
          <w:szCs w:val="19"/>
          <w:color w:val="auto"/>
        </w:rPr>
        <w:t>: by delivering a check made payable to the Company for $___________.</w:t>
      </w:r>
    </w:p>
    <w:p>
      <w:pPr>
        <w:spacing w:after="0" w:line="206" w:lineRule="exact"/>
        <w:rPr>
          <w:sz w:val="20"/>
          <w:szCs w:val="20"/>
          <w:color w:val="auto"/>
        </w:rPr>
      </w:pPr>
    </w:p>
    <w:p>
      <w:pPr>
        <w:ind w:right="80" w:firstLine="656"/>
        <w:spacing w:after="0"/>
        <w:tabs>
          <w:tab w:leader="none" w:pos="774"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Other Company Shares</w:t>
      </w:r>
      <w:r>
        <w:rPr>
          <w:rFonts w:ascii="Arial" w:cs="Arial" w:eastAsia="Arial" w:hAnsi="Arial"/>
          <w:sz w:val="22"/>
          <w:szCs w:val="22"/>
          <w:color w:val="auto"/>
        </w:rPr>
        <w:t>: if approved by the Company, by delivering for surrender other shares of the Company’s Common Stock having a fair market value at the time of receipt by the Company equal to not less than the total Option exercise price.</w:t>
      </w:r>
    </w:p>
    <w:p>
      <w:pPr>
        <w:spacing w:after="0" w:line="186" w:lineRule="exact"/>
        <w:rPr>
          <w:sz w:val="20"/>
          <w:szCs w:val="20"/>
          <w:color w:val="auto"/>
        </w:rPr>
      </w:pPr>
    </w:p>
    <w:p>
      <w:pPr>
        <w:ind w:right="20" w:firstLine="656"/>
        <w:spacing w:after="0" w:line="250" w:lineRule="auto"/>
        <w:tabs>
          <w:tab w:leader="none" w:pos="774"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Net Exercise Arrangement</w:t>
      </w:r>
      <w:r>
        <w:rPr>
          <w:rFonts w:ascii="Arial" w:cs="Arial" w:eastAsia="Arial" w:hAnsi="Arial"/>
          <w:sz w:val="22"/>
          <w:szCs w:val="22"/>
          <w:color w:val="auto"/>
        </w:rPr>
        <w:t>: if approved by the Company and on the terms described in the Plan and the Option Agreement.</w:t>
      </w:r>
    </w:p>
    <w:p>
      <w:pPr>
        <w:spacing w:after="0" w:line="175" w:lineRule="exact"/>
        <w:rPr>
          <w:sz w:val="20"/>
          <w:szCs w:val="20"/>
          <w:color w:val="auto"/>
        </w:rPr>
      </w:pPr>
    </w:p>
    <w:p>
      <w:pPr>
        <w:ind w:left="780" w:hanging="124"/>
        <w:spacing w:after="0"/>
        <w:tabs>
          <w:tab w:leader="none" w:pos="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u w:val="single" w:color="auto"/>
          <w:color w:val="auto"/>
        </w:rPr>
        <w:t>Cash From Broker</w:t>
      </w:r>
      <w:r>
        <w:rPr>
          <w:rFonts w:ascii="Arial" w:cs="Arial" w:eastAsia="Arial" w:hAnsi="Arial"/>
          <w:sz w:val="19"/>
          <w:szCs w:val="19"/>
          <w:color w:val="auto"/>
        </w:rPr>
        <w:t>: if approved by the Company, by delivering the purchase price from</w:t>
      </w:r>
    </w:p>
    <w:p>
      <w:pPr>
        <w:spacing w:after="0" w:line="8" w:lineRule="exact"/>
        <w:rPr>
          <w:rFonts w:ascii="Arial" w:cs="Arial" w:eastAsia="Arial" w:hAnsi="Arial"/>
          <w:sz w:val="22"/>
          <w:szCs w:val="22"/>
          <w:color w:val="auto"/>
        </w:rPr>
      </w:pPr>
    </w:p>
    <w:p>
      <w:pPr>
        <w:ind w:right="120"/>
        <w:spacing w:after="0" w:line="277" w:lineRule="auto"/>
        <w:rPr>
          <w:rFonts w:ascii="Arial" w:cs="Arial" w:eastAsia="Arial" w:hAnsi="Arial"/>
          <w:sz w:val="22"/>
          <w:szCs w:val="22"/>
          <w:color w:val="auto"/>
        </w:rPr>
      </w:pPr>
      <w:r>
        <w:rPr>
          <w:rFonts w:ascii="Arial" w:cs="Arial" w:eastAsia="Arial" w:hAnsi="Arial"/>
          <w:sz w:val="19"/>
          <w:szCs w:val="19"/>
          <w:color w:val="auto"/>
        </w:rPr>
        <w:t>________________, a broker, dealer or other “creditor” as defined by Regulation T issued by the Board of Governors of the Federal Reserve System (the “</w:t>
      </w:r>
      <w:r>
        <w:rPr>
          <w:rFonts w:ascii="Arial" w:cs="Arial" w:eastAsia="Arial" w:hAnsi="Arial"/>
          <w:sz w:val="19"/>
          <w:szCs w:val="19"/>
          <w:b w:val="1"/>
          <w:bCs w:val="1"/>
          <w:color w:val="auto"/>
        </w:rPr>
        <w:t>Broker</w:t>
      </w:r>
      <w:r>
        <w:rPr>
          <w:rFonts w:ascii="Arial" w:cs="Arial" w:eastAsia="Arial" w:hAnsi="Arial"/>
          <w:sz w:val="19"/>
          <w:szCs w:val="19"/>
          <w:color w:val="auto"/>
        </w:rPr>
        <w:t>”). I authorize the Company to issue a stock certificate in accordance with instructions received by the Company from the Broker and to deliver such stock certificate (or evidence of a book-entry issuance of the shares) directly to the Broker (or to any other party specified in the instructions from the Broker) upon receiving the exercise price from the Broker.</w:t>
      </w:r>
    </w:p>
    <w:p>
      <w:pPr>
        <w:spacing w:after="0" w:line="15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On or before the Option exercise date, I shall pay any applicable tax withholding obligations, as provided in the Option Agreement and the Plan, for the full tax withholding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55" w:name="page56"/>
    <w:bookmarkEnd w:id="55"/>
    <w:p>
      <w:pPr>
        <w:ind w:firstLine="648"/>
        <w:spacing w:after="0" w:line="251" w:lineRule="auto"/>
        <w:rPr>
          <w:sz w:val="20"/>
          <w:szCs w:val="20"/>
          <w:color w:val="auto"/>
        </w:rPr>
      </w:pPr>
      <w:r>
        <w:rPr>
          <w:rFonts w:ascii="Arial" w:cs="Arial" w:eastAsia="Arial" w:hAnsi="Arial"/>
          <w:sz w:val="22"/>
          <w:szCs w:val="22"/>
          <w:color w:val="auto"/>
        </w:rPr>
        <w:t>Please deliver the stock certificate or evidence of a book-entry issuance of the shares described above to me (unless I have chosen to pay the purchase price through the Broker).</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469900</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6985</wp:posOffset>
            </wp:positionV>
            <wp:extent cx="2391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6985</wp:posOffset>
            </wp:positionV>
            <wp:extent cx="2391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Number of Option Shares</w:t>
      </w:r>
    </w:p>
    <w:p>
      <w:pPr>
        <w:spacing w:after="0" w:line="238" w:lineRule="auto"/>
        <w:rPr>
          <w:sz w:val="20"/>
          <w:szCs w:val="20"/>
          <w:color w:val="auto"/>
        </w:rPr>
      </w:pPr>
      <w:r>
        <w:rPr>
          <w:rFonts w:ascii="Arial" w:cs="Arial" w:eastAsia="Arial" w:hAnsi="Arial"/>
          <w:sz w:val="22"/>
          <w:szCs w:val="22"/>
          <w:color w:val="auto"/>
        </w:rPr>
        <w:t>Exercised:</w:t>
      </w:r>
    </w:p>
    <w:p>
      <w:pPr>
        <w:spacing w:after="0" w:line="230" w:lineRule="auto"/>
        <w:rPr>
          <w:sz w:val="20"/>
          <w:szCs w:val="20"/>
          <w:color w:val="auto"/>
        </w:rPr>
      </w:pPr>
      <w:r>
        <w:rPr>
          <w:rFonts w:ascii="Arial" w:cs="Arial" w:eastAsia="Arial" w:hAnsi="Arial"/>
          <w:sz w:val="22"/>
          <w:szCs w:val="22"/>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-151130</wp:posOffset>
            </wp:positionV>
            <wp:extent cx="23914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22"/>
          <w:szCs w:val="22"/>
          <w:color w:val="auto"/>
        </w:rPr>
        <w:t>Remaining:</w:t>
      </w: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-3810</wp:posOffset>
            </wp:positionV>
            <wp:extent cx="2391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-158115</wp:posOffset>
            </wp:positionV>
            <wp:extent cx="2391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60"/>
          </w:cols>
          <w:pgMar w:left="980" w:top="118" w:right="1259" w:bottom="1440" w:gutter="0" w:footer="0" w:header="0"/>
        </w:sectPr>
      </w:pPr>
    </w:p>
    <w:bookmarkStart w:id="56" w:name="page57"/>
    <w:bookmarkEnd w:id="5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Brian Kocher, certify that:</w:t>
      </w:r>
    </w:p>
    <w:p>
      <w:pPr>
        <w:spacing w:after="0" w:line="221" w:lineRule="exact"/>
        <w:rPr>
          <w:sz w:val="20"/>
          <w:szCs w:val="20"/>
          <w:color w:val="auto"/>
        </w:rPr>
      </w:pPr>
    </w:p>
    <w:p>
      <w:pPr>
        <w:ind w:left="700" w:hanging="656"/>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21" w:lineRule="exact"/>
        <w:rPr>
          <w:rFonts w:ascii="Arial" w:cs="Arial" w:eastAsia="Arial" w:hAnsi="Arial"/>
          <w:sz w:val="16"/>
          <w:szCs w:val="16"/>
          <w:color w:val="auto"/>
        </w:rPr>
      </w:pPr>
    </w:p>
    <w:p>
      <w:pPr>
        <w:ind w:left="700" w:right="179" w:hanging="656"/>
        <w:spacing w:after="0" w:line="261"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700" w:right="239" w:hanging="656"/>
        <w:spacing w:after="0" w:line="261"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700" w:right="539" w:hanging="656"/>
        <w:spacing w:after="0" w:line="286" w:lineRule="auto"/>
        <w:tabs>
          <w:tab w:leader="none" w:pos="7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ind w:left="1340" w:right="79" w:hanging="648"/>
        <w:spacing w:after="0" w:line="256"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19" w:hanging="648"/>
        <w:spacing w:after="0" w:line="256"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340" w:right="159" w:hanging="648"/>
        <w:spacing w:after="0" w:line="261"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6"/>
          <w:szCs w:val="16"/>
          <w:color w:val="auto"/>
        </w:rPr>
      </w:pPr>
    </w:p>
    <w:p>
      <w:pPr>
        <w:ind w:left="1340" w:right="179" w:hanging="648"/>
        <w:spacing w:after="0" w:line="261"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700" w:right="479" w:hanging="656"/>
        <w:spacing w:after="0" w:line="310" w:lineRule="auto"/>
        <w:tabs>
          <w:tab w:leader="none" w:pos="7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8" w:lineRule="exact"/>
        <w:rPr>
          <w:rFonts w:ascii="Arial" w:cs="Arial" w:eastAsia="Arial" w:hAnsi="Arial"/>
          <w:sz w:val="15"/>
          <w:szCs w:val="15"/>
          <w:color w:val="auto"/>
        </w:rPr>
      </w:pPr>
    </w:p>
    <w:p>
      <w:pPr>
        <w:ind w:left="1340" w:right="279" w:hanging="648"/>
        <w:spacing w:after="0" w:line="261"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1340" w:right="159" w:hanging="648"/>
        <w:spacing w:after="0" w:line="275" w:lineRule="auto"/>
        <w:tabs>
          <w:tab w:leader="none" w:pos="13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March 14</w:t>
      </w:r>
      <w:r>
        <w:rPr>
          <w:rFonts w:ascii="Arial" w:cs="Arial" w:eastAsia="Arial" w:hAnsi="Arial"/>
          <w:sz w:val="17"/>
          <w:szCs w:val="17"/>
          <w:color w:val="auto"/>
        </w:rPr>
        <w:t>, 2022</w:t>
      </w:r>
      <w:r>
        <w:rPr>
          <w:sz w:val="20"/>
          <w:szCs w:val="20"/>
          <w:color w:val="auto"/>
        </w:rPr>
        <w:tab/>
      </w:r>
      <w:r>
        <w:rPr>
          <w:rFonts w:ascii="Arial" w:cs="Arial" w:eastAsia="Arial" w:hAnsi="Arial"/>
          <w:sz w:val="15"/>
          <w:szCs w:val="15"/>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13335</wp:posOffset>
            </wp:positionV>
            <wp:extent cx="28289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Brian Kocher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Mariela Matute, certify that:</w:t>
      </w:r>
    </w:p>
    <w:p>
      <w:pPr>
        <w:spacing w:after="0" w:line="221" w:lineRule="exact"/>
        <w:rPr>
          <w:sz w:val="20"/>
          <w:szCs w:val="20"/>
          <w:color w:val="auto"/>
        </w:rPr>
      </w:pPr>
    </w:p>
    <w:p>
      <w:pPr>
        <w:ind w:left="700" w:hanging="656"/>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21" w:lineRule="exact"/>
        <w:rPr>
          <w:rFonts w:ascii="Arial" w:cs="Arial" w:eastAsia="Arial" w:hAnsi="Arial"/>
          <w:sz w:val="16"/>
          <w:szCs w:val="16"/>
          <w:color w:val="auto"/>
        </w:rPr>
      </w:pPr>
    </w:p>
    <w:p>
      <w:pPr>
        <w:ind w:left="700" w:right="179" w:hanging="656"/>
        <w:spacing w:after="0" w:line="26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6"/>
          <w:szCs w:val="16"/>
          <w:color w:val="auto"/>
        </w:rPr>
      </w:pPr>
    </w:p>
    <w:p>
      <w:pPr>
        <w:ind w:left="700" w:right="239" w:hanging="656"/>
        <w:spacing w:after="0" w:line="26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700" w:right="539" w:hanging="656"/>
        <w:spacing w:after="0" w:line="286" w:lineRule="auto"/>
        <w:tabs>
          <w:tab w:leader="none" w:pos="7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5"/>
          <w:szCs w:val="15"/>
          <w:color w:val="auto"/>
        </w:rPr>
      </w:pPr>
    </w:p>
    <w:p>
      <w:pPr>
        <w:ind w:left="1340" w:right="79" w:hanging="648"/>
        <w:spacing w:after="0" w:line="256"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1340" w:right="119" w:hanging="648"/>
        <w:spacing w:after="0" w:line="256"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340" w:right="159" w:hanging="648"/>
        <w:spacing w:after="0" w:line="261"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6"/>
          <w:szCs w:val="16"/>
          <w:color w:val="auto"/>
        </w:rPr>
      </w:pPr>
    </w:p>
    <w:p>
      <w:pPr>
        <w:ind w:left="1340" w:right="179" w:hanging="648"/>
        <w:spacing w:after="0" w:line="261"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700" w:right="479" w:hanging="656"/>
        <w:spacing w:after="0" w:line="310" w:lineRule="auto"/>
        <w:tabs>
          <w:tab w:leader="none" w:pos="7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8" w:lineRule="exact"/>
        <w:rPr>
          <w:rFonts w:ascii="Arial" w:cs="Arial" w:eastAsia="Arial" w:hAnsi="Arial"/>
          <w:sz w:val="15"/>
          <w:szCs w:val="15"/>
          <w:color w:val="auto"/>
        </w:rPr>
      </w:pPr>
    </w:p>
    <w:p>
      <w:pPr>
        <w:ind w:left="1340" w:right="279" w:hanging="648"/>
        <w:spacing w:after="0" w:line="261"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1340" w:right="159" w:hanging="648"/>
        <w:spacing w:after="0" w:line="275"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40"/>
        <w:spacing w:after="0"/>
        <w:tabs>
          <w:tab w:leader="none" w:pos="4440" w:val="left"/>
        </w:tabs>
        <w:rPr>
          <w:sz w:val="20"/>
          <w:szCs w:val="20"/>
          <w:color w:val="auto"/>
        </w:rPr>
      </w:pPr>
      <w:r>
        <w:rPr>
          <w:rFonts w:ascii="Arial" w:cs="Arial" w:eastAsia="Arial" w:hAnsi="Arial"/>
          <w:sz w:val="16"/>
          <w:szCs w:val="16"/>
          <w:color w:val="auto"/>
        </w:rPr>
        <w:t>Date: March 14</w:t>
      </w:r>
      <w:r>
        <w:rPr>
          <w:rFonts w:ascii="Arial" w:cs="Arial" w:eastAsia="Arial" w:hAnsi="Arial"/>
          <w:sz w:val="17"/>
          <w:szCs w:val="17"/>
          <w:color w:val="auto"/>
        </w:rPr>
        <w:t>, 2022</w:t>
      </w:r>
      <w:r>
        <w:rPr>
          <w:sz w:val="20"/>
          <w:szCs w:val="20"/>
          <w:color w:val="auto"/>
        </w:rPr>
        <w:tab/>
      </w:r>
      <w:r>
        <w:rPr>
          <w:rFonts w:ascii="Arial" w:cs="Arial" w:eastAsia="Arial" w:hAnsi="Arial"/>
          <w:sz w:val="15"/>
          <w:szCs w:val="15"/>
          <w:color w:val="auto"/>
        </w:rPr>
        <w:t>/s/ Mariela Matute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13335</wp:posOffset>
            </wp:positionV>
            <wp:extent cx="2854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Mariela Matute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513080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8" w:name="page59"/>
    <w:bookmarkEnd w:id="5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82" w:lineRule="exact"/>
        <w:rPr>
          <w:sz w:val="20"/>
          <w:szCs w:val="20"/>
          <w:color w:val="auto"/>
        </w:rPr>
      </w:pPr>
    </w:p>
    <w:p>
      <w:pPr>
        <w:ind w:left="40" w:right="119" w:firstLine="648"/>
        <w:spacing w:after="0" w:line="276" w:lineRule="auto"/>
        <w:rPr>
          <w:sz w:val="20"/>
          <w:szCs w:val="20"/>
          <w:color w:val="auto"/>
        </w:rPr>
      </w:pPr>
      <w:r>
        <w:rPr>
          <w:rFonts w:ascii="Arial" w:cs="Arial" w:eastAsia="Arial" w:hAnsi="Arial"/>
          <w:sz w:val="16"/>
          <w:szCs w:val="16"/>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January 31, 2022,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14, 2022</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Kocher</w:t>
      </w: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Mariela Matute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Mariela Matute</w:t>
      </w: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7"/>
    </w:lvl>
  </w:abstractNum>
  <w:abstractNum w:abstractNumId="3">
    <w:nsid w:val="71F32454"/>
    <w:multiLevelType w:val="hybridMultilevel"/>
    <w:lvl w:ilvl="0">
      <w:lvlJc w:val="left"/>
      <w:lvlText w:val="o"/>
      <w:numFmt w:val="bullet"/>
      <w:start w:val="1"/>
    </w:lvl>
  </w:abstractNum>
  <w:abstractNum w:abstractNumId="4">
    <w:nsid w:val="2CA88611"/>
    <w:multiLevelType w:val="hybridMultilevel"/>
    <w:lvl w:ilvl="0">
      <w:lvlJc w:val="left"/>
      <w:lvlText w:val="%1"/>
      <w:numFmt w:val="decimal"/>
      <w:start w:val="1"/>
    </w:lvl>
    <w:lvl w:ilvl="1">
      <w:lvlJc w:val="left"/>
      <w:lvlText w:val="(%2)"/>
      <w:numFmt w:val="decimal"/>
      <w:start w:val="1"/>
    </w:lvl>
  </w:abstractNum>
  <w:abstractNum w:abstractNumId="5">
    <w:nsid w:val="836C40E"/>
    <w:multiLevelType w:val="hybridMultilevel"/>
    <w:lvl w:ilvl="0">
      <w:lvlJc w:val="left"/>
      <w:lvlText w:val="%1."/>
      <w:numFmt w:val="decimal"/>
      <w:start w:val="9"/>
    </w:lvl>
    <w:lvl w:ilvl="1">
      <w:lvlJc w:val="left"/>
      <w:lvlText w:val="%2"/>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o"/>
      <w:numFmt w:val="bullet"/>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8"/>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upperLetter"/>
      <w:start w:val="1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01"/>
    </w:lvl>
  </w:abstractNum>
  <w:abstractNum w:abstractNumId="20">
    <w:nsid w:val="5072367"/>
    <w:multiLevelType w:val="hybridMultilevel"/>
    <w:lvl w:ilvl="0">
      <w:lvlJc w:val="left"/>
      <w:lvlText w:val="*"/>
      <w:numFmt w:val="bullet"/>
      <w:start w:val="1"/>
    </w:lvl>
    <w:lvl w:ilvl="1">
      <w:lvlJc w:val="left"/>
      <w:lvlText w:val="%2"/>
      <w:numFmt w:val="decimal"/>
      <w:start w:val="104"/>
    </w:lvl>
  </w:abstractNum>
  <w:abstractNum w:abstractNumId="21">
    <w:nsid w:val="3804823E"/>
    <w:multiLevelType w:val="hybridMultilevel"/>
    <w:lvl w:ilvl="0">
      <w:lvlJc w:val="left"/>
      <w:lvlText w:val="%1"/>
      <w:numFmt w:val="lowerLetter"/>
      <w:start w:val="1"/>
    </w:lvl>
    <w:lvl w:ilvl="1">
      <w:lvlJc w:val="left"/>
      <w:lvlText w:val="%2."/>
      <w:numFmt w:val="decimal"/>
      <w:start w:val="1"/>
    </w:lvl>
  </w:abstractNum>
  <w:abstractNum w:abstractNumId="22">
    <w:nsid w:val="77465F01"/>
    <w:multiLevelType w:val="hybridMultilevel"/>
    <w:lvl w:ilvl="0">
      <w:lvlJc w:val="left"/>
      <w:lvlText w:val="(%1)"/>
      <w:numFmt w:val="lowerLetter"/>
      <w:start w:val="1"/>
    </w:lvl>
    <w:lvl w:ilvl="1">
      <w:lvlJc w:val="left"/>
      <w:lvlText w:val="%2."/>
      <w:numFmt w:val="decimal"/>
      <w:start w:val="2"/>
    </w:lvl>
  </w:abstractNum>
  <w:abstractNum w:abstractNumId="23">
    <w:nsid w:val="7724C67E"/>
    <w:multiLevelType w:val="hybridMultilevel"/>
    <w:lvl w:ilvl="0">
      <w:lvlJc w:val="left"/>
      <w:lvlText w:val="%1."/>
      <w:numFmt w:val="decimal"/>
      <w:start w:val="4"/>
    </w:lvl>
  </w:abstractNum>
  <w:abstractNum w:abstractNumId="24">
    <w:nsid w:val="5C482A97"/>
    <w:multiLevelType w:val="hybridMultilevel"/>
    <w:lvl w:ilvl="0">
      <w:lvlJc w:val="left"/>
      <w:lvlText w:val="%1."/>
      <w:numFmt w:val="decimal"/>
      <w:start w:val="8"/>
    </w:lvl>
    <w:lvl w:ilvl="1">
      <w:lvlJc w:val="left"/>
      <w:lvlText w:val="(%2)"/>
      <w:numFmt w:val="lowerLetter"/>
      <w:start w:val="1"/>
    </w:lvl>
  </w:abstractNum>
  <w:abstractNum w:abstractNumId="25">
    <w:nsid w:val="2463B9EA"/>
    <w:multiLevelType w:val="hybridMultilevel"/>
    <w:lvl w:ilvl="0">
      <w:lvlJc w:val="left"/>
      <w:lvlText w:val="%1"/>
      <w:numFmt w:val="decimal"/>
      <w:start w:val="1"/>
    </w:lvl>
    <w:lvl w:ilvl="1">
      <w:lvlJc w:val="left"/>
      <w:lvlText w:val="(%2)"/>
      <w:numFmt w:val="lowerLetter"/>
      <w:start w:val="2"/>
    </w:lvl>
  </w:abstractNum>
  <w:abstractNum w:abstractNumId="26">
    <w:nsid w:val="5E884ADC"/>
    <w:multiLevelType w:val="hybridMultilevel"/>
    <w:lvl w:ilvl="0">
      <w:lvlJc w:val="left"/>
      <w:lvlText w:val="%1."/>
      <w:numFmt w:val="decimal"/>
      <w:start w:val="10"/>
    </w:lvl>
    <w:lvl w:ilvl="1">
      <w:lvlJc w:val="left"/>
      <w:lvlText w:val="(%2)"/>
      <w:numFmt w:val="lowerLetter"/>
      <w:start w:val="1"/>
    </w:lvl>
  </w:abstractNum>
  <w:abstractNum w:abstractNumId="27">
    <w:nsid w:val="51EAD36B"/>
    <w:multiLevelType w:val="hybridMultilevel"/>
    <w:lvl w:ilvl="0">
      <w:lvlJc w:val="left"/>
      <w:lvlText w:val="%1"/>
      <w:numFmt w:val="decimal"/>
      <w:start w:val="1"/>
    </w:lvl>
    <w:lvl w:ilvl="1">
      <w:lvlJc w:val="left"/>
      <w:lvlText w:val="(%2)"/>
      <w:numFmt w:val="lowerLetter"/>
      <w:start w:val="2"/>
    </w:lvl>
  </w:abstractNum>
  <w:abstractNum w:abstractNumId="28">
    <w:nsid w:val="2D517796"/>
    <w:multiLevelType w:val="hybridMultilevel"/>
    <w:lvl w:ilvl="0">
      <w:lvlJc w:val="left"/>
      <w:lvlText w:val="%1."/>
      <w:numFmt w:val="decimal"/>
      <w:start w:val="11"/>
    </w:lvl>
    <w:lvl w:ilvl="1">
      <w:lvlJc w:val="left"/>
      <w:lvlText w:val="(%2)"/>
      <w:numFmt w:val="lowerLetter"/>
      <w:start w:val="1"/>
    </w:lvl>
  </w:abstractNum>
  <w:abstractNum w:abstractNumId="29">
    <w:nsid w:val="580BD78F"/>
    <w:multiLevelType w:val="hybridMultilevel"/>
    <w:lvl w:ilvl="0">
      <w:lvlJc w:val="left"/>
      <w:lvlText w:val="%1."/>
      <w:numFmt w:val="decimal"/>
      <w:start w:val="12"/>
    </w:lvl>
  </w:abstractNum>
  <w:abstractNum w:abstractNumId="30">
    <w:nsid w:val="153EA438"/>
    <w:multiLevelType w:val="hybridMultilevel"/>
    <w:lvl w:ilvl="0">
      <w:lvlJc w:val="left"/>
      <w:lvlText w:val="%1."/>
      <w:numFmt w:val="decimal"/>
      <w:start w:val="19"/>
    </w:lvl>
    <w:lvl w:ilvl="1">
      <w:lvlJc w:val="left"/>
      <w:lvlText w:val="(%2)"/>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6">
    <w:nsid w:val="725A06F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7">
    <w:nsid w:val="2CD89A3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8">
    <w:nsid w:val="57E4CCAF"/>
    <w:multiLevelType w:val="hybridMultilevel"/>
    <w:lvl w:ilvl="0">
      <w:lvlJc w:val="left"/>
      <w:lvlText w:val="(%1)"/>
      <w:numFmt w:val="lowerLetter"/>
      <w:start w:val="3"/>
    </w:lvl>
  </w:abstractNum>
  <w:abstractNum w:abstractNumId="39">
    <w:nsid w:val="7A6D8D3C"/>
    <w:multiLevelType w:val="hybridMultilevel"/>
    <w:lvl w:ilvl="0">
      <w:lvlJc w:val="left"/>
      <w:lvlText w:val="%1."/>
      <w:numFmt w:val="decimal"/>
      <w:start w:val="7"/>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lowerLetter"/>
      <w:start w:val="1"/>
    </w:lvl>
  </w:abstractNum>
  <w:abstractNum w:abstractNumId="41">
    <w:nsid w:val="542289EC"/>
    <w:multiLevelType w:val="hybridMultilevel"/>
    <w:lvl w:ilvl="0">
      <w:lvlJc w:val="left"/>
      <w:lvlText w:val="%1."/>
      <w:numFmt w:val="decimal"/>
      <w:start w:val="9"/>
    </w:lvl>
    <w:lvl w:ilvl="1">
      <w:lvlJc w:val="left"/>
      <w:lvlText w:val="(%2)"/>
      <w:numFmt w:val="lowerLetter"/>
      <w:start w:val="1"/>
    </w:lvl>
  </w:abstractNum>
  <w:abstractNum w:abstractNumId="42">
    <w:nsid w:val="6DE91B18"/>
    <w:multiLevelType w:val="hybridMultilevel"/>
    <w:lvl w:ilvl="0">
      <w:lvlJc w:val="left"/>
      <w:lvlText w:val="%1"/>
      <w:numFmt w:val="decimal"/>
      <w:start w:val="1"/>
    </w:lvl>
    <w:lvl w:ilvl="1">
      <w:lvlJc w:val="left"/>
      <w:lvlText w:val="(%2)"/>
      <w:numFmt w:val="lowerLetter"/>
      <w:start w:val="3"/>
    </w:lvl>
  </w:abstractNum>
  <w:abstractNum w:abstractNumId="43">
    <w:nsid w:val="38437FDB"/>
    <w:multiLevelType w:val="hybridMultilevel"/>
    <w:lvl w:ilvl="0">
      <w:lvlJc w:val="left"/>
      <w:lvlText w:val="%1."/>
      <w:numFmt w:val="decimal"/>
      <w:start w:val="11"/>
    </w:lvl>
    <w:lvl w:ilvl="1">
      <w:lvlJc w:val="left"/>
      <w:lvlText w:val="%2"/>
      <w:numFmt w:val="lowerLetter"/>
      <w:start w:val="1"/>
    </w:lvl>
  </w:abstractNum>
  <w:abstractNum w:abstractNumId="44">
    <w:nsid w:val="7644A45C"/>
    <w:multiLevelType w:val="hybridMultilevel"/>
    <w:lvl w:ilvl="0">
      <w:lvlJc w:val="left"/>
      <w:lvlText w:val="%1."/>
      <w:numFmt w:val="decimal"/>
      <w:start w:val="15"/>
    </w:lvl>
    <w:lvl w:ilvl="1">
      <w:lvlJc w:val="left"/>
      <w:lvlText w:val="(%2)"/>
      <w:numFmt w:val="lowerLetter"/>
      <w:start w:val="1"/>
    </w:lvl>
  </w:abstractNum>
  <w:abstractNum w:abstractNumId="45">
    <w:nsid w:val="32FFF902"/>
    <w:multiLevelType w:val="hybridMultilevel"/>
    <w:lvl w:ilvl="0">
      <w:lvlJc w:val="left"/>
      <w:lvlText w:val="(%1)"/>
      <w:numFmt w:val="lowerLetter"/>
      <w:start w:val="5"/>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49" Type="http://schemas.openxmlformats.org/officeDocument/2006/relationships/hyperlink" Target="https://www.sec.gov/Archives/edgar/data/1133470/000155837021016557/cvgw-20211201xex10d1.htm" TargetMode="External"/><Relationship Id="rId50" Type="http://schemas.openxmlformats.org/officeDocument/2006/relationships/hyperlink" Target="https://www.sec.gov/Archives/edgar/data/1133470/000155837021016557/cvgw-20211201xex10d2.htm" TargetMode="External"/><Relationship Id="rId51" Type="http://schemas.openxmlformats.org/officeDocument/2006/relationships/hyperlink" Target="https://www.sec.gov/Archives/edgar/data/1133470/000155837021017004/cvgw-20211220xex99d2.htm" TargetMode="External"/><Relationship Id="rId52" Type="http://schemas.openxmlformats.org/officeDocument/2006/relationships/hyperlink" Target="https://www.sec.gov/Archives/edgar/data/1133470/000155837021017004/cvgw-20211220xex99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2022-03-14T16:09:03Z</dcterms:created>
  <dcterms:modified xsi:type="dcterms:W3CDTF">2022-03-14T16:09:03Z</dcterms:modified>
</cp:coreProperties>
</file>