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52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gridSpan w:val="3"/>
          </w:tcPr>
          <w:p>
            <w:pPr>
              <w:ind w:left="14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jc w:val="center"/>
              <w:ind w:left="3"/>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0" w:type="dxa"/>
            <w:vAlign w:val="bottom"/>
            <w:gridSpan w:val="6"/>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3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78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Pr>
          <w:p>
            <w:pPr>
              <w:jc w:val="center"/>
              <w:ind w:right="443"/>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020"/>
        <w:spacing w:after="0" w:line="184" w:lineRule="exact"/>
        <w:tabs>
          <w:tab w:leader="none" w:pos="666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1020"/>
        <w:spacing w:after="0" w:line="184" w:lineRule="exact"/>
        <w:tabs>
          <w:tab w:leader="none" w:pos="666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ind w:left="66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19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August 31, 2025 was 17,853,323.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9" w:lineRule="exact"/>
        <w:rPr>
          <w:sz w:val="20"/>
          <w:szCs w:val="20"/>
          <w:color w:val="auto"/>
        </w:rPr>
      </w:pPr>
    </w:p>
    <w:p>
      <w:pPr>
        <w:ind w:left="40" w:right="319" w:firstLine="259"/>
        <w:spacing w:after="0" w:line="242" w:lineRule="auto"/>
        <w:rPr>
          <w:sz w:val="20"/>
          <w:szCs w:val="20"/>
          <w:color w:val="auto"/>
        </w:rPr>
      </w:pPr>
      <w:r>
        <w:rPr>
          <w:rFonts w:ascii="Times New Roman" w:cs="Times New Roman" w:eastAsia="Times New Roman" w:hAnsi="Times New Roman"/>
          <w:sz w:val="16"/>
          <w:szCs w:val="16"/>
          <w:color w:val="auto"/>
        </w:rPr>
        <w:t>This Quarterly Report on Form 10-Q, including “Management’s Discussion and Analysis of Financial Condition and Results of Operations” in Part I, Item 2, contains statements relating to future events and results of Calavo Growers, Inc. and its consolidated subsidiaries (“Calavo,” the “Company,” “we,” “us” or “our”) that are “forward-looking statements” within the meaning of the Private Securities Litigation Reform Act of 1995. These statements involve risks, uncertainties, and assumptions, are based on current expectations, and are not guarantees of future performance. If any of these risks or uncertainties materialize, or if underlying assumptions prove incorrect, actual results may differ materially from those expressed or implied in the forward-looking statements.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All statements other than historical facts are forward-looking statements, including but not limited to:</w:t>
      </w:r>
    </w:p>
    <w:p>
      <w:pPr>
        <w:spacing w:after="0" w:line="181" w:lineRule="exact"/>
        <w:rPr>
          <w:sz w:val="20"/>
          <w:szCs w:val="20"/>
          <w:color w:val="auto"/>
        </w:rPr>
      </w:pPr>
    </w:p>
    <w:p>
      <w:pPr>
        <w:ind w:left="720" w:right="439" w:hanging="325"/>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Projections of revenue, gross profit, expenses, net sales, income/loss from unconsolidated entities, earnings per share, tax provisions, cash flows, and exchange rates;</w:t>
      </w:r>
    </w:p>
    <w:p>
      <w:pPr>
        <w:spacing w:after="0" w:line="1" w:lineRule="exact"/>
        <w:rPr>
          <w:rFonts w:ascii="Times New Roman" w:cs="Times New Roman" w:eastAsia="Times New Roman" w:hAnsi="Times New Roman"/>
          <w:sz w:val="18"/>
          <w:szCs w:val="18"/>
          <w:color w:val="auto"/>
        </w:rPr>
      </w:pP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impact of acquisitions, equity investments, or other financial transactions;</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Management’s plans and objectives for future operations, including restructuring and integration efforts;</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Commentary on macroeconomic trends or global events and their potential impact on Calavo’s performance;</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Updates on legal matters, investigations, or tax disputes;</w:t>
      </w:r>
    </w:p>
    <w:p>
      <w:pPr>
        <w:ind w:left="720" w:right="599"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potential impacts of changes in U.S. and foreign trade policy, including tariffs and quotas, on our sourcing, costs, pricing, and demand;</w:t>
      </w:r>
    </w:p>
    <w:p>
      <w:pPr>
        <w:spacing w:after="0" w:line="1" w:lineRule="exact"/>
        <w:rPr>
          <w:rFonts w:ascii="Times New Roman" w:cs="Times New Roman" w:eastAsia="Times New Roman" w:hAnsi="Times New Roman"/>
          <w:sz w:val="18"/>
          <w:szCs w:val="18"/>
          <w:color w:val="auto"/>
        </w:rPr>
      </w:pPr>
    </w:p>
    <w:p>
      <w:pPr>
        <w:ind w:left="720" w:right="499"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our cybersecurity risk management, planned enhancements to controls and documentation, and the potential impact of cyber incidents on operations, liquidity, or results;</w:t>
      </w:r>
    </w:p>
    <w:p>
      <w:pPr>
        <w:spacing w:after="0" w:line="1" w:lineRule="exact"/>
        <w:rPr>
          <w:rFonts w:ascii="Times New Roman" w:cs="Times New Roman" w:eastAsia="Times New Roman" w:hAnsi="Times New Roman"/>
          <w:sz w:val="18"/>
          <w:szCs w:val="18"/>
          <w:color w:val="auto"/>
        </w:rPr>
      </w:pPr>
    </w:p>
    <w:p>
      <w:pPr>
        <w:ind w:left="720" w:right="79"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working capital and liquidity, including the timing and magnitude of tariff prepayments and the timing of VAT/IVA (as each such term is defined below) refund collections in Mexico;</w:t>
      </w:r>
    </w:p>
    <w:p>
      <w:pPr>
        <w:spacing w:after="0" w:line="1" w:lineRule="exact"/>
        <w:rPr>
          <w:rFonts w:ascii="Times New Roman" w:cs="Times New Roman" w:eastAsia="Times New Roman" w:hAnsi="Times New Roman"/>
          <w:sz w:val="18"/>
          <w:szCs w:val="18"/>
          <w:color w:val="auto"/>
        </w:rPr>
      </w:pPr>
    </w:p>
    <w:p>
      <w:pPr>
        <w:ind w:left="720" w:right="239" w:hanging="325"/>
        <w:spacing w:after="0" w:line="22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the timing and outcomes of legal and tax proceedings in Mexico, including the recovery of IVA receivables and the resolution of assessments by the Mexican Tax Administration Service (“SAT”), and the effects of related court rulings; and</w:t>
      </w:r>
    </w:p>
    <w:p>
      <w:pPr>
        <w:ind w:left="720" w:right="579" w:hanging="325"/>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Statements regarding potential changes in Mexico’s tax policies or enforcement actions and the expected effects on our operations, costs, tax positions, or liquidity.</w:t>
      </w:r>
    </w:p>
    <w:p>
      <w:pPr>
        <w:spacing w:after="0" w:line="154" w:lineRule="exact"/>
        <w:rPr>
          <w:sz w:val="20"/>
          <w:szCs w:val="20"/>
          <w:color w:val="auto"/>
        </w:rPr>
      </w:pPr>
    </w:p>
    <w:p>
      <w:pPr>
        <w:ind w:left="40" w:right="299" w:firstLine="259"/>
        <w:spacing w:after="0" w:line="280" w:lineRule="auto"/>
        <w:rPr>
          <w:sz w:val="20"/>
          <w:szCs w:val="20"/>
          <w:color w:val="auto"/>
        </w:rPr>
      </w:pPr>
      <w:r>
        <w:rPr>
          <w:rFonts w:ascii="Times New Roman" w:cs="Times New Roman" w:eastAsia="Times New Roman" w:hAnsi="Times New Roman"/>
          <w:sz w:val="16"/>
          <w:szCs w:val="16"/>
          <w:color w:val="auto"/>
        </w:rPr>
        <w:t>The words “anticipates,” “expects,” “intends,” “plans,” “believes,” “seeks,” “estimates,” “projects,” and similar expressions often indicate forward-looking statements.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Factors that may cause actual results to differ materially from these forward-looking statements include, but are not limited to:</w:t>
      </w:r>
    </w:p>
    <w:p>
      <w:pPr>
        <w:spacing w:after="0" w:line="167" w:lineRule="exact"/>
        <w:rPr>
          <w:sz w:val="20"/>
          <w:szCs w:val="20"/>
          <w:color w:val="auto"/>
        </w:rPr>
      </w:pPr>
    </w:p>
    <w:p>
      <w:pPr>
        <w:ind w:left="720" w:hanging="325"/>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successfully execute operating and restructuring initiatives;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potential long-term effects of capital expenditure reductions;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Adverse weather impacting supply and costs;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Seasonal fluctuations;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Volatility in avocado and raw material prices (including packaging, paper, and fuel);</w:t>
      </w:r>
    </w:p>
    <w:p>
      <w:pPr>
        <w:jc w:val="both"/>
        <w:ind w:left="720" w:right="319" w:hanging="325"/>
        <w:spacing w:after="0" w:line="22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related to enhanced regulatory scrutiny or inspection protocols, including detention holds by the U.S. Food and Drug Administration, which have resulted and could in the future result in shipment delays, incremental costs, or loss of product value;</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Supply chain disruptions;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from current or future acquisitions, including integration;</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Data breaches or cybersecurity incidents;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Dependency on large customers and key personnel;</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Labor availability and wage inflation;</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Co-packer reliance and competitive pressures;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Product recalls or food safety issues;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Shifting consumer preferences and sustainability trends;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Environmental regulations and climate-related supply risk;</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Global trade complexities, including restrictions, tariffs, and currency movements;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Exposure to unconsolidated entities and the volatility of our stock; and</w:t>
      </w:r>
    </w:p>
    <w:p>
      <w:pPr>
        <w:ind w:left="720" w:hanging="325"/>
        <w:spacing w:after="0" w:line="22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resolution of pending matters with the SAT and the risk of unfavorable legal or administrative outcomes.</w:t>
      </w:r>
    </w:p>
    <w:p>
      <w:pPr>
        <w:spacing w:after="0" w:line="154" w:lineRule="exact"/>
        <w:rPr>
          <w:sz w:val="20"/>
          <w:szCs w:val="20"/>
          <w:color w:val="auto"/>
        </w:rPr>
      </w:pPr>
    </w:p>
    <w:p>
      <w:pPr>
        <w:ind w:left="40" w:right="339" w:firstLine="259"/>
        <w:spacing w:after="0" w:line="254" w:lineRule="auto"/>
        <w:rPr>
          <w:sz w:val="20"/>
          <w:szCs w:val="20"/>
          <w:color w:val="auto"/>
        </w:rPr>
      </w:pPr>
      <w:r>
        <w:rPr>
          <w:rFonts w:ascii="Times New Roman" w:cs="Times New Roman" w:eastAsia="Times New Roman" w:hAnsi="Times New Roman"/>
          <w:sz w:val="16"/>
          <w:szCs w:val="16"/>
          <w:color w:val="auto"/>
        </w:rPr>
        <w:t>Additional information about these and other risks is included in our most recent Annual Report on Form 10-K for the fiscal year ended October 31, 2024, and in our subsequent Quarterly Reports on Form 10-Q and other filings with the Securities and Exchange Commission.</w:t>
      </w:r>
    </w:p>
    <w:p>
      <w:pPr>
        <w:spacing w:after="0" w:line="145" w:lineRule="exact"/>
        <w:rPr>
          <w:sz w:val="20"/>
          <w:szCs w:val="20"/>
          <w:color w:val="auto"/>
        </w:rPr>
      </w:pPr>
    </w:p>
    <w:p>
      <w:pPr>
        <w:ind w:left="40" w:right="339" w:firstLine="259"/>
        <w:spacing w:after="0" w:line="263" w:lineRule="auto"/>
        <w:rPr>
          <w:sz w:val="20"/>
          <w:szCs w:val="20"/>
          <w:color w:val="auto"/>
        </w:rPr>
      </w:pPr>
      <w:r>
        <w:rPr>
          <w:rFonts w:ascii="Times New Roman" w:cs="Times New Roman" w:eastAsia="Times New Roman" w:hAnsi="Times New Roman"/>
          <w:sz w:val="16"/>
          <w:szCs w:val="16"/>
          <w:color w:val="auto"/>
        </w:rPr>
        <w:t>Forward-looking statements are made as of the date of this report. We undertake no obligation to update or revise them, except as required by applicable securities laws.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14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70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Condensed Consolidated Balance Sheets –July 31, 2025 and October 31, 2024 (Unaudited)</w:t>
            </w:r>
          </w:p>
        </w:tc>
        <w:tc>
          <w:tcPr>
            <w:tcW w:w="164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Condensed Consolidated Statements of Operations – Three and Nine Months Ended July 31, 2025 and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8"/>
              </w:rPr>
              <w:t>(Unaudited)</w:t>
            </w:r>
          </w:p>
        </w:tc>
        <w:tc>
          <w:tcPr>
            <w:tcW w:w="6220" w:type="dxa"/>
            <w:vAlign w:val="bottom"/>
            <w:tcBorders>
              <w:top w:val="single" w:sz="8" w:color="0000EE"/>
            </w:tcBorders>
            <w:gridSpan w:val="12"/>
          </w:tcPr>
          <w:p>
            <w:pPr>
              <w:spacing w:after="0"/>
              <w:rPr>
                <w:sz w:val="15"/>
                <w:szCs w:val="15"/>
                <w:color w:val="auto"/>
              </w:rPr>
            </w:pPr>
          </w:p>
        </w:tc>
        <w:tc>
          <w:tcPr>
            <w:tcW w:w="54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Condensed Consolidated Statements of Cash Flows – Nine Months Ended July 31, 2025 and 2024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Condensed Consolidated Statements of Shareholders’ Equity – Three and Nine Months Ended July 31, 2025 and</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8"/>
              </w:rPr>
              <w:t>2024 (Unaudited)</w:t>
            </w:r>
          </w:p>
        </w:tc>
        <w:tc>
          <w:tcPr>
            <w:tcW w:w="640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72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360" w:type="dxa"/>
            <w:vAlign w:val="bottom"/>
            <w:tcBorders>
              <w:left w:val="single" w:sz="8" w:color="0000EE"/>
            </w:tcBorders>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54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6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860" w:type="dxa"/>
            <w:vAlign w:val="bottom"/>
            <w:gridSpan w:val="16"/>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7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$3,430 (2025) and $3,624 (2024)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19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159,112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50,603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r>
      <w:tr>
        <w:trPr>
          <w:trHeight w:val="20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54,435</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r>
      <w:tr>
        <w:trPr>
          <w:trHeight w:val="236"/>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301,249</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183"/>
        </w:trPr>
        <w:tc>
          <w:tcPr>
            <w:tcW w:w="7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196"/>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finance leases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19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17,853 (2025) and 17,802 (2024)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27,603</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r>
      <w:tr>
        <w:trPr>
          <w:trHeight w:val="196"/>
        </w:trPr>
        <w:tc>
          <w:tcPr>
            <w:tcW w:w="7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Calavo Growers, Inc 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200,332</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196"/>
        </w:trPr>
        <w:tc>
          <w:tcPr>
            <w:tcW w:w="7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208,000</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201,776</w:t>
            </w:r>
          </w:p>
        </w:tc>
      </w:tr>
      <w:tr>
        <w:trPr>
          <w:trHeight w:val="196"/>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301,249</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20"/>
        </w:trPr>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wp:posOffset>
            </wp:positionV>
            <wp:extent cx="1114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5680"/>
        <w:spacing w:after="0"/>
        <w:tabs>
          <w:tab w:leader="none" w:pos="66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wp:posOffset>
            </wp:positionV>
            <wp:extent cx="1114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-3175</wp:posOffset>
            </wp:positionV>
            <wp:extent cx="1003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4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-3175</wp:posOffset>
            </wp:positionV>
            <wp:extent cx="1003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6940" w:space="640"/>
            <w:col w:w="14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178,822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523,753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491,585</w:t>
            </w: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160,624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471,738</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440,071</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178"/>
        </w:trPr>
        <w:tc>
          <w:tcPr>
            <w:tcW w:w="50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net income from unconsolidated</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3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197"/>
        </w:trPr>
        <w:tc>
          <w:tcPr>
            <w:tcW w:w="5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197"/>
        </w:trPr>
        <w:tc>
          <w:tcPr>
            <w:tcW w:w="5060" w:type="dxa"/>
            <w:vAlign w:val="bottom"/>
            <w:tcBorders>
              <w:bottom w:val="single" w:sz="8" w:color="CCEEFF"/>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17,893</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17,848</w:t>
            </w:r>
          </w:p>
        </w:tc>
      </w:tr>
      <w:tr>
        <w:trPr>
          <w:trHeight w:val="20"/>
        </w:trPr>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16,111</w:t>
            </w:r>
          </w:p>
        </w:tc>
        <w:tc>
          <w:tcPr>
            <w:tcW w:w="360" w:type="dxa"/>
            <w:vAlign w:val="bottom"/>
          </w:tcPr>
          <w:p>
            <w:pPr>
              <w:spacing w:after="0"/>
              <w:rPr>
                <w:sz w:val="12"/>
                <w:szCs w:val="12"/>
                <w:color w:val="auto"/>
              </w:rPr>
            </w:pPr>
          </w:p>
        </w:tc>
        <w:tc>
          <w:tcPr>
            <w:tcW w:w="200" w:type="dxa"/>
            <w:vAlign w:val="bottom"/>
            <w:gridSpan w:val="2"/>
          </w:tcPr>
          <w:p>
            <w:pPr>
              <w:jc w:val="right"/>
              <w:ind w:right="11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5,656</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 from unconsolidated entities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loss on disposal of property, plant, and equipment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19,234</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(11,445)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6,723</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beginning of period</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end of period</w:t>
            </w:r>
          </w:p>
        </w:tc>
        <w:tc>
          <w:tcPr>
            <w:tcW w:w="8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63,754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360" w:type="dxa"/>
            <w:vAlign w:val="bottom"/>
          </w:tcPr>
          <w:p>
            <w:pPr>
              <w:spacing w:after="0"/>
              <w:rPr>
                <w:sz w:val="16"/>
                <w:szCs w:val="16"/>
                <w:color w:val="auto"/>
              </w:rPr>
            </w:pPr>
          </w:p>
        </w:tc>
        <w:tc>
          <w:tcPr>
            <w:tcW w:w="200" w:type="dxa"/>
            <w:vAlign w:val="bottom"/>
            <w:gridSpan w:val="2"/>
          </w:tcPr>
          <w:p>
            <w:pPr>
              <w:jc w:val="right"/>
              <w:ind w:right="11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319</w:t>
            </w:r>
          </w:p>
        </w:tc>
        <w:tc>
          <w:tcPr>
            <w:tcW w:w="36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5"/>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8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2025</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17,876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178,522</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26,465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1,554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206,559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(0.20 per share)</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(3,576)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(3,576)</w:t>
            </w:r>
          </w:p>
        </w:tc>
      </w:tr>
      <w:tr>
        <w:trPr>
          <w:trHeight w:val="117"/>
        </w:trPr>
        <w:tc>
          <w:tcPr>
            <w:tcW w:w="3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5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awards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4,714</w:t>
            </w:r>
          </w:p>
        </w:tc>
      </w:tr>
      <w:tr>
        <w:trPr>
          <w:trHeight w:val="129"/>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2025</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178,803</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27,603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1,576</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208,000</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740" w:type="dxa"/>
            <w:vAlign w:val="bottom"/>
          </w:tcPr>
          <w:p>
            <w:pPr>
              <w:spacing w:after="0"/>
              <w:rPr>
                <w:sz w:val="13"/>
                <w:szCs w:val="13"/>
                <w:color w:val="auto"/>
              </w:rPr>
            </w:pPr>
          </w:p>
        </w:tc>
      </w:tr>
      <w:tr>
        <w:trPr>
          <w:trHeight w:val="129"/>
        </w:trPr>
        <w:tc>
          <w:tcPr>
            <w:tcW w:w="3540" w:type="dxa"/>
            <w:vAlign w:val="bottom"/>
          </w:tcPr>
          <w:p>
            <w:pPr>
              <w:spacing w:after="0"/>
              <w:rPr>
                <w:sz w:val="11"/>
                <w:szCs w:val="11"/>
                <w:color w:val="auto"/>
              </w:rPr>
            </w:pPr>
          </w:p>
        </w:tc>
        <w:tc>
          <w:tcPr>
            <w:tcW w:w="7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1"/>
                <w:szCs w:val="11"/>
                <w:color w:val="auto"/>
              </w:rPr>
            </w:pPr>
          </w:p>
        </w:tc>
        <w:tc>
          <w:tcPr>
            <w:tcW w:w="98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177,302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28,572</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207,331</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(732)</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w:t>
            </w:r>
          </w:p>
        </w:tc>
      </w:tr>
      <w:tr>
        <w:trPr>
          <w:trHeight w:val="128"/>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2024</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177,690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205,177</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2024</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177,973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201,776</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878</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(0.20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(10,717)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(10,717)</w:t>
            </w:r>
          </w:p>
        </w:tc>
      </w:tr>
      <w:tr>
        <w:trPr>
          <w:trHeight w:val="117"/>
        </w:trPr>
        <w:tc>
          <w:tcPr>
            <w:tcW w:w="3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awards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15,979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15,979</w:t>
            </w:r>
          </w:p>
        </w:tc>
      </w:tr>
      <w:tr>
        <w:trPr>
          <w:trHeight w:val="129"/>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2025</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17,853</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178,803</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27,603</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1,576</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208,000</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1,834</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(937)</w:t>
            </w:r>
          </w:p>
        </w:tc>
      </w:tr>
      <w:tr>
        <w:trPr>
          <w:trHeight w:val="129"/>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July 31, 2024</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177,690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26,060</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1,409</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205,177</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259" w:firstLine="259"/>
        <w:spacing w:after="0" w:line="255"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sourcing, packing and distribution of fresh avocados, tomatoes, papayas and processing of guacamole and other avocado products. Drawing on decades of expertise with fresh and prepared produce, we deliver a broad portfolio of products to retail grocers, club and mass-merchandise stores, foodservice operators, and wholesalers worldwide. We procure avocados from California, Mexico, and other key growing regions. Across our operating facilities, we (i) sort, pack, ripen, and ship avocados, tomatoes, and Hawaiian-grown papayas and (ii) process and package fresh and frozen guacamole. Our products are distributed both domestically and internationally.</w:t>
      </w:r>
    </w:p>
    <w:p>
      <w:pPr>
        <w:spacing w:after="0" w:line="189"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2025, we renamed our “Grown” reportable segment to “Fresh” to better reflect its activities; the change did not affect the segment’s composition, financial results, or internal performance metrics. We report results under two segments: Fresh and Prepared.</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“interim financial statements”) have been prepared by the Company in accordance with accounting principles generally accepted in the United States and with the instructions to Form 10-Q and Article 10 of Regulation S-X of the Securities and Exchange Commission (“SEC”). Accordingly, they do not include all the information and footnotes required by accounting principles generally accepted in the United States for complete financial statements. In the opinion of management, the accompanying interim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2024.</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259"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which expands interim and annual requirements to include disclosure about specific types of expenses included in the expense captions presented on the face of the income statement as well as disclosures about selling expenses. The guidance will be effective for annual periods beginning after December 15, 2026, with either retrospective or prospective application. The ASU allows for early adoption of these requirements. The Company is currently evaluating the potential effect that this ASU will have on its financial statement disclosures.</w:t>
      </w:r>
    </w:p>
    <w:p>
      <w:pPr>
        <w:spacing w:after="0" w:line="189" w:lineRule="exact"/>
        <w:rPr>
          <w:sz w:val="20"/>
          <w:szCs w:val="20"/>
          <w:color w:val="auto"/>
        </w:rPr>
      </w:pPr>
    </w:p>
    <w:p>
      <w:pPr>
        <w:ind w:left="40" w:right="199"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This ASU amends Accounting Standards Codification (“ASC”) 740 to enhance the nature of disclosures for income taxes. Specifically, the ASU requires public business entities to disclose additional information in categories defined within the ASU within the reconciliation of the effective tax rate to the statutory rate for federal, state and foreign income taxes. Additionally, the ASU requires disclosure of taxes paid, net of refunds received, disaggregated by federal, state and foreign taxes. ASU 2023-09 is effective for years beginning after December 15, 2024 with early adoption permitted. The Company is currently evaluating the potential effect that this ASU will have on its financial statement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 fiscal years beginning after December 15, 2024, with early adoption permitted. The Company is currently evaluating the potential effect that this ASU will have on its financial statement disclosures.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2025, we changed the name of our ‘Grown’ reportable segment to ‘Fresh’ to more accurately represent the segment’s business activities. This change in title does not affect the segment’s composition, financial results, or how we assess performance internally. We report our operations in two different business segments: Fresh and Prepared. The Fresh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20" w:type="dxa"/>
            <w:vAlign w:val="bottom"/>
            <w:gridSpan w:val="1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July 31, 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11"/>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5"/>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147,344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$ 147,344</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$ 151,814</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Papayas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Guacamole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94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155,851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$ 22,971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$ 178,822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$ 163,218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$ 16,378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$ 179,596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Borders>
              <w:bottom w:val="single" w:sz="8" w:color="auto"/>
            </w:tcBorders>
            <w:gridSpan w:val="11"/>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July 31, 2025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31, 2024</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$ 431,864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$ 431,864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$ 387,500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$ 387,500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30,844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30,844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49,226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9,209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54,107</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1260" w:type="dxa"/>
            <w:vAlign w:val="bottom"/>
            <w:gridSpan w:val="2"/>
          </w:tcPr>
          <w:p>
            <w:pPr>
              <w:spacing w:after="0"/>
              <w:rPr>
                <w:sz w:val="17"/>
                <w:szCs w:val="17"/>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471,981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57,395</w:t>
            </w:r>
          </w:p>
        </w:tc>
        <w:tc>
          <w:tcPr>
            <w:tcW w:w="300" w:type="dxa"/>
            <w:vAlign w:val="bottom"/>
            <w:gridSpan w:val="2"/>
          </w:tcPr>
          <w:p>
            <w:pPr>
              <w:spacing w:after="0"/>
              <w:rPr>
                <w:sz w:val="17"/>
                <w:szCs w:val="17"/>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529,376</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444,998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54,107</w:t>
            </w: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196"/>
        </w:trPr>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1260" w:type="dxa"/>
            <w:vAlign w:val="bottom"/>
            <w:gridSpan w:val="2"/>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$ 470,307</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53,446</w:t>
            </w:r>
          </w:p>
        </w:tc>
        <w:tc>
          <w:tcPr>
            <w:tcW w:w="300" w:type="dxa"/>
            <w:vAlign w:val="bottom"/>
            <w:gridSpan w:val="2"/>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$ 523,753</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$ 442,999</w:t>
            </w:r>
          </w:p>
        </w:tc>
        <w:tc>
          <w:tcPr>
            <w:tcW w:w="160" w:type="dxa"/>
            <w:vAlign w:val="bottom"/>
            <w:gridSpan w:val="2"/>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48,586</w:t>
            </w: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$ 491,585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8"/>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2024</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2025, intercompany sales and cost of sales of $0.1 million between Fresh products and Prepared products were eliminated. For the nine months ended July 31, 2025 and 2024, intercompany sales and cost of sales of $0.8 million and $0.6 million between Fresh products and Prepared products were eliminated.</w:t>
      </w:r>
    </w:p>
    <w:p>
      <w:pPr>
        <w:spacing w:after="0" w:line="176"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$17.2 million and $11.9 million for the three months ended July 31, 2025, and 2024. Sales to customers outside the U.S. were approximately $42 million and $35.7 million for the nine months ended July 31, 2025 and 2024.</w:t>
      </w:r>
    </w:p>
    <w:p>
      <w:pPr>
        <w:spacing w:after="0" w:line="176"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July 31, 2025, and October 31, 2024, are as follows (in thousands):</w:t>
      </w:r>
    </w:p>
    <w:tbl>
      <w:tblPr>
        <w:tblLayout w:type="fixed"/>
        <w:tblInd w:w="4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2025</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8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4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$ 16,233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$ 30,328</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$2.6 million in slow moving inventories and amounts estimated not to be sold as of July 31, 2025 and $0.4 million as of October 31, 2024. The increase in reserves at July 31, 2025 reflects higher slow-moving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inventories and market-related factors in the third quarter, including the temporary detention hold on certain avocados from Mexico by the U.S. Food and Drug Administration (the “FDA”), which led to inventory write-downs on fruit diverted or sold at distressed prices. See Note 6 for additional information regarding this temporary FDA detention hold and the impacts thereof.</w:t>
      </w:r>
    </w:p>
    <w:p>
      <w:pPr>
        <w:spacing w:after="0" w:line="17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 &amp; Chief Executive Officer</w:t>
      </w:r>
    </w:p>
    <w:p>
      <w:pPr>
        <w:spacing w:after="0" w:line="227"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and nine months ended July 31, 2025, the amount of avocados procured from entities owned or controlled by members of our Board of Directors was $2.7 million and $4.3 million. For the three and nine months ended July 31, 2024, the aggregate amount of avocados procured from entities owned or controlled by members of our Board of Directors was $1.9 million and $2.2 million. As of July 31, 2025, we had less than $0.1 million in outstanding payables to these Board members. We did not have any amounts payable to the entities owned or controlled by these Board members as of October 31, 2024.</w:t>
      </w:r>
    </w:p>
    <w:p>
      <w:pPr>
        <w:spacing w:after="0" w:line="18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July 31, 2025, we procured $2.5 million and $6 million of avocados from entities affiliated with our Chief Executive Officer. For the three and nine months ended July 31, 2024, we procured $3.3 million and $4.7 million of avocados from entities affiliated with our Chief Executive Officer. As of July 31, 2025, we had $0.7 million in outstanding payables to entities affiliated with our Chief Executive Officer. There were no outstanding payables to entities affiliated with our Chief Executive Officer as of October 31,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139" w:firstLine="259"/>
        <w:spacing w:after="0" w:line="252" w:lineRule="auto"/>
        <w:rPr>
          <w:sz w:val="20"/>
          <w:szCs w:val="20"/>
          <w:color w:val="auto"/>
        </w:rPr>
      </w:pPr>
      <w:r>
        <w:rPr>
          <w:rFonts w:ascii="Times New Roman" w:cs="Times New Roman" w:eastAsia="Times New Roman" w:hAnsi="Times New Roman"/>
          <w:sz w:val="18"/>
          <w:szCs w:val="18"/>
          <w:color w:val="auto"/>
        </w:rPr>
        <w:t>As of July 31, 2025, and October 31, 2024, we had investments of $2.6 million and $2.4 million, respectively,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July 31, 2025 and 2024, we advanced $1.6 million and $0 of preseason advances to Don Memo. For the nine months ended July 31, 2025 and 2024, we advanced $4.5 million and $4.5 million of preseason advances to Don Memo. As of July 31, 2025 and October 31, 2024, we had outstanding advances of $8.2 million and $7.7 million to Don Memo. In October 2020, we entered into an infrastructure loan agreement with Don Memo for up to $2.4 million secured by certain property and equipment of Don Memo. This infrastructure loan accrues interest at 7.25%. The total outstanding infrastructure loan balance both at July 31, 2025 and at October 31, 2024, was $1.6 million which is included in prepaids and other current assets. During the three months ended July 31, 2025 and 2024, we incurred $2.2 million and $3.3 million of cost of sales to Don Memo. During the nine months ended July 31, 2025 and 2024, we incurred $10.6 million and $10.6 million of cost of sales to Don Memo pursuant to our purchase consignment agreement.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For the three months ended July 31, 2025, we advanced $3.8 million of preseason advances to Behler. For the nine months ended July 31, 2025, we advanced $3.9 million of preseason advances to Belher. For the three and nine months ended July 31, 2024, we advanced $2.5 million and $3.5 million of preseason advances to Belher. We had grower advances due from Belher totaling $4.3 million as of July 31, 2025 and $5.1 million as of October 31, 2024, which are recorded as advances to suppliers. In July 2021, we made a bridge loan of $3.5 million to Belher. This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loan is secured by certain farmland in Mexico and accrues interest at 10%. As part of this loan agreement, we can withhold payments on both the infrastructure advances and the bridge loan by netting these amounts against the grower payable due to Belher. As of July 31, 2025, the bridge loan balance of $0.5 million was recorded in prepaid expenses and other current assets. At October 31, 2024, the bridge loan balance was $1.1 million, consisting of $0.6 million in prepaid expenses and other current assets and $0.5 million in other assets. During the three months ended July 31, 2025 and 2024, we incurred $2.9 million and $4.1 million of cost of sales to Belher pursuant to our purchase consignment agreement. During the nine months ended July 31, 2025 and 2024, we incurred $16 million and $29.1 million of cost of sales to Belher pursuant to our purchase consignment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July 31, 2025, this entity was approximately 83% owned by Calavo and was consolidated in our interim financial statements. Avocados de Jalisco built a packinghouse located in Jalisco, Mexico, which began operations in June of 2017. During the three months ended July 31, 2025 and 2024, we purchased approximately $1.2 million and $3.5 million of avocados from the partners of Avocado de Jalisco. During the nine months ended July 31, 2025 and 2024 we purchased approximately $3 million and $7.1 million of avocados from the partners of Avocados de Jalisco.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9)</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$ 53,854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$ 54,435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April 29, 2025, we paid a dividend of $0.20 per share, or an aggregate of $3.6 million to shareholders of record on April 1, 2025. On July 28, 2025, we paid a dividend of $0.20 per share, or an aggregate of $3.6 million, to shareholders of record on June 30, 2025. The Board of Directors declared a quarterly cash dividend of $0.20 per share to be paid on October 31, 2025, to shareholders of record on September 30, 2025.</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29"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In July 2025, the FDA placed Calavo de México (“CDM”), our wholly owned subsidiary, on a Red List Detention Hold after trace levels of Imazalil (not approved for avocados) were detected in a single line item. All subsequent third-party tests were clean. During the third quarter of fiscal 2025, the hold resulted in third-party inspection and testing costs, incremental logistics/handling costs, and inventory write-downs on fruit diverted or sold at distressed prices, with an estimated incremental cost of approximately $4.2 million recorded in cost of sales. This FDA matter was fully resolved in September 2025.</w:t>
      </w:r>
    </w:p>
    <w:p>
      <w:pPr>
        <w:spacing w:after="0" w:line="187"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During our fourth quarter of 2025, we submitted an insurance claim seeking recovery of costs associated with the FDA detention hold described above. The claim remains under review, and while we are pursuing recovery and believe it is achievable, as of the date of this report we have not yet obtained sufficient information to conclude that recovery of recognized losses is probable under applicable accounting guidance. Accordingly, no insurance receivable has been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recorded. We will recognize any recovery up to the amount of recognized losses when realization becomes probable, and will recognize any amounts in excess of recognized losses, if any, when realized.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619" w:firstLine="259"/>
        <w:spacing w:after="0" w:line="282" w:lineRule="auto"/>
        <w:rPr>
          <w:sz w:val="20"/>
          <w:szCs w:val="20"/>
          <w:color w:val="auto"/>
        </w:rPr>
      </w:pPr>
      <w:r>
        <w:rPr>
          <w:rFonts w:ascii="Times New Roman" w:cs="Times New Roman" w:eastAsia="Times New Roman" w:hAnsi="Times New Roman"/>
          <w:sz w:val="18"/>
          <w:szCs w:val="18"/>
          <w:color w:val="auto"/>
        </w:rPr>
        <w:t>On September 2, 2025, the U.S. Department of Justice officially notified us that it has closed its Foreign Corrupt Practices Act (“FCPA”) inquiry related to our operations in Mexico.</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July 2025, the One Big Beautiful Bill Act (“OBBBA”) was enacted into law in the U.S. The OBBBA includes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numerous provisions that affect corporate taxation, including changes to bonus depreciation, the expensing of domestic</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research costs, and modifications to certain U.S. international tax rules. The company has analyzed the impacts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OBBBA and reflected them in the current period. These impacts do not have a material effect on the tax rate for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three and nine months ended July 31, 2025. The majority of the tax law changes will take effect in future years.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In January 2017, CDM received preliminary observations from the Servicio de Administración Tributaria in Mexico (the “SAT”) related to an audit for fiscal year 2013 outlining certain proposed adjustments primarily related to intercompany funding, deductions for services from certain vendors/suppliers and Value Added Taxes (“VAT”). We provided a written rebuttal to these preliminary observations during our third fiscal quarter of 2017.</w:t>
      </w:r>
    </w:p>
    <w:p>
      <w:pPr>
        <w:spacing w:after="0" w:line="180"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In January 2018, the SAT’s local office in Uruapan issued to CDM a final tax assessment (the “2013 Assessment”) totaling approximately 2.6 billion Mexican pesos (which includes annual adjustments for inflation, and equals approximately $138.7 million USD at July 31, 2025) related to income tax, flat rate business tax, value added tax and fines, related to this fiscal 2013 tax audit. This amount has been adjusted for inflation as of July 31, 2025 to the amount of 3 billion Mexican pesos (approximately $160 million USD). Additionally, the tax authorities have determined that we owe our employees profit-sharing liability, totaling approximately 118 million Mexican pesos (approximately $6.3 million USD at July 31, 2025).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guarantee the 2013 Assessment. Based on legal counsel from our tax advisory firm, we and our tax advisory firm have concluded that the March notification was not legally communicated.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VAT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CDM filed a Nullity Trial (the “Nullity Trial”) with the Federal Tax Court in Mexico, which among other things, strongly contends that the notifications made by the SAT to CDM and its designated advisors of the resolution of the Administrative Appeal in March 2021 were not legally communicated. In addition, the Nullity Trial asserts the same matters central to the Reconsideration, as described above, as wrongly concluded in the resolution of the Administrative Appeal.</w:t>
      </w:r>
    </w:p>
    <w:p>
      <w:pPr>
        <w:spacing w:after="0" w:line="183"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Nullity Trial filed on August 20, 2021, as a result of the response to the lawsuit filed by the tax authority, pointing out that the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 and</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222"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On November 14, 2023, the Federal Tax Court acknowledged the admission of the extension to the lawsuit. Additionally, in November 2024, the Administrative Reconsideration and related Injunction action were finalized. The tax authority determined that the filing of the Administrative Reconsideration was not legally viable, citing the existence of a concurrent legal remedy—the Nullity Trial. Furthermore, the SAT noted a presumption that the Nullity Trial was filed within the required timeframe, as evidenced by its admission by the Federal Tax Court.</w:t>
      </w:r>
    </w:p>
    <w:p>
      <w:pPr>
        <w:spacing w:after="0" w:line="21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These resolutions can be used as supervening evidence to support the arguments that the Nullity Petition should be admitted. The resolutions will contribute to demonstrate that the SAT considers that the Nullity Petition was filed on time. This is a statement made within a formal procedure that contradicts what the SAT had been arguing (within the reconsideration procedure).</w:t>
      </w:r>
    </w:p>
    <w:p>
      <w:pPr>
        <w:spacing w:after="0" w:line="180"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While we continue to believe that the tax assessment for fiscal year 2013 is completely without merit, and that we will prevail on the Nullity Trial in the Tax Court, we also believe that it is in the best interest of CDM and the Company to settle the 2013 Assessment as quickly as possible. In accordance with our cumulative probability analysis on uncertain tax positions, settlements made by the SAT in other cases, the 2011 tax assessment reached by CDM with the Ministry of Finance and Administration of the government of the State of Michoacan, Mexico, and the value of CDM assets, we recorded a provision of $11 million, in the third quarter of fiscal year 2021, as a discrete item in Income Tax Provision. The provision includes estimated fines, interest and inflationary adjustments.</w:t>
      </w:r>
    </w:p>
    <w:p>
      <w:pPr>
        <w:spacing w:after="0" w:line="189" w:lineRule="exact"/>
        <w:rPr>
          <w:sz w:val="20"/>
          <w:szCs w:val="20"/>
          <w:color w:val="auto"/>
        </w:rPr>
      </w:pPr>
    </w:p>
    <w:p>
      <w:pPr>
        <w:jc w:val="both"/>
        <w:ind w:left="40" w:right="299" w:firstLine="259"/>
        <w:spacing w:after="0" w:line="289" w:lineRule="auto"/>
        <w:rPr>
          <w:sz w:val="20"/>
          <w:szCs w:val="20"/>
          <w:color w:val="auto"/>
        </w:rPr>
      </w:pPr>
      <w:r>
        <w:rPr>
          <w:rFonts w:ascii="Times New Roman" w:cs="Times New Roman" w:eastAsia="Times New Roman" w:hAnsi="Times New Roman"/>
          <w:sz w:val="17"/>
          <w:szCs w:val="17"/>
          <w:color w:val="auto"/>
        </w:rPr>
        <w:t>We believe that this provision remains appropriate as of July 31, 2025 based on our cumulative probability analysis. We incurred $0.3 million and $0.9 million of related professional fees for the three and nine months ended July 31, 2025 which have been recorded in Expenses related to Mexican Tax matters on the consolidated statements of operations.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 contingency</w:t>
      </w:r>
    </w:p>
    <w:p>
      <w:pPr>
        <w:spacing w:after="0" w:line="229"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In conjunction with the sale of the Fresh Cut business on August 15, 2024, the Company assigned certain leases to the buyer. As a result of these lease assignments, the buyer is the primary obligor under the leases, with the Company secondarily liable as a guarantor. If the buyer fails to perform under a lease, the Company could be responsible for fulfilling any remaining lease obligation. The leases had a remaining average term of 5.3 years as of October 31,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19"/>
        <w:spacing w:after="0" w:line="282" w:lineRule="auto"/>
        <w:rPr>
          <w:sz w:val="20"/>
          <w:szCs w:val="20"/>
          <w:color w:val="auto"/>
        </w:rPr>
      </w:pPr>
      <w:r>
        <w:rPr>
          <w:rFonts w:ascii="Times New Roman" w:cs="Times New Roman" w:eastAsia="Times New Roman" w:hAnsi="Times New Roman"/>
          <w:sz w:val="18"/>
          <w:szCs w:val="18"/>
          <w:color w:val="auto"/>
        </w:rPr>
        <w:t>with a maximum exposure of $32.0 million in undiscounted future minimum lease payments, plus $13.3 million in potential additional payments related to common area maintenance, taxes, insurance, and other obligations.</w:t>
      </w:r>
    </w:p>
    <w:p>
      <w:pPr>
        <w:spacing w:after="0" w:line="162"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of July 31, 2025, we had not experienced any changes related to this contingency, and there were no new developments affecting its likelihood or potential financial impact. We continue to assess this obligation, but do not believe it is probable that we will be required to fulfill any obligations under these leases.</w:t>
      </w:r>
    </w:p>
    <w:p>
      <w:pPr>
        <w:spacing w:after="0" w:line="10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162"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vMerge w:val="restart"/>
          </w:tcPr>
          <w:p>
            <w:pPr>
              <w:spacing w:after="0"/>
              <w:rPr>
                <w:sz w:val="15"/>
                <w:szCs w:val="15"/>
                <w:color w:val="auto"/>
              </w:rPr>
            </w:pPr>
          </w:p>
        </w:tc>
        <w:tc>
          <w:tcPr>
            <w:tcW w:w="228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(data in thousands, except per share data):</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(Note 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6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(Note 10)</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VAT amounts recoverable from the Mexican government.</w:t>
      </w:r>
    </w:p>
    <w:p>
      <w:pPr>
        <w:spacing w:after="0" w:line="176"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of July 31, 2025 and October 31, 2024, CDM VAT receivables, net of our estimated provision for uncollectable amounts, totaled $53.9 million (1.0 billion Mexican pesos) and $48.7 million (976.0 million Mexican pesos). Historically, CDM received VAT refund payments from the Mexican tax authorities on a timely basis. Beginning in fiscal 2014 and continuing into fiscal 2025, the tax authorities began objecting to refund requests and supporting documentation that had previously been deemed acceptable to process a refund. Additionally, they are also contesting the refunds requested attributable to VAT paid to certain suppliers that allegedly did not fulfill their own tax obligations. We believe these factors and others have contributed to delays in the processing of VAT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8"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could not claim the refundable VAT balance. CDM has strong arguments and supporting documentation to sustain its declared tax structure for VAT and income tax purposes. CDM started an Administrative Appeal for the VAT related to the refund requests for the months of July, August and September of 2015 (the “2015 Appeal”) in order to assert its argument that CDM is properly documented and to therefore change the SAT’s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VAT related to the months of July, August and September 2015. Therefore, in October 2018, CDM filed a substance-over-form Annulment Suit in the Federal Tax Court to recover its full refund for VAT over the subject period.</w:t>
      </w:r>
    </w:p>
    <w:p>
      <w:pPr>
        <w:spacing w:after="0" w:line="187"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In April 2022, the Chamber specializing in exclusive resolution of the substantial matters belonging to the Federal Tax Court issued the ruling for the months of July, August and September 2015 through which it was declared that the following resolutions were resolved:</w:t>
      </w:r>
    </w:p>
    <w:p>
      <w:pPr>
        <w:spacing w:after="0" w:line="176" w:lineRule="exact"/>
        <w:rPr>
          <w:sz w:val="20"/>
          <w:szCs w:val="20"/>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ind w:left="660" w:right="99" w:hanging="333"/>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are subject to the maquila program and it is not accruable income for purposes of Income Tax nor activities subject to VAT.</w:t>
      </w:r>
    </w:p>
    <w:p>
      <w:pPr>
        <w:ind w:left="660" w:right="359" w:hanging="333"/>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jc w:val="both"/>
        <w:ind w:left="660" w:right="219" w:hanging="333"/>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certain VAT amounts attributed to the purchase of certain packing materials are not recoverable as CDM was not the buyer on record and therefore did not pay for the materials, which approximated 6.9 million Mexican pesos (approximately $0.4 million USD).</w:t>
      </w:r>
    </w:p>
    <w:p>
      <w:pPr>
        <w:spacing w:after="0" w:line="186"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VAT amounts. With assistance from our internationally recognized tax advisory firm, as of July 31, 2025, CDM filed Administrative Appeals for months for which VAT refunds have been denied by the SAT, and will continue filing such appeals for any months for which refunds are denied in the future. Therefore, we believe it is probable that the Mexican tax authorities will ultimately authorize the refund of the remaining VAT amounts.</w:t>
      </w:r>
    </w:p>
    <w:p>
      <w:pPr>
        <w:spacing w:after="0" w:line="18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the SAT refunded 36.7 million Mexican pesos in VAT (approximately $1.9 million USD), including inflationary adjustments, relating to claims for March, April, and November 2019. These refunds were secured directly from the tax authority rather than through the court system.</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Recent legal development</w:t>
      </w:r>
    </w:p>
    <w:p>
      <w:pPr>
        <w:spacing w:after="0" w:line="227"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In August 2025, the Fifth Collegiate Circuit Court issued a ruling recognizing CDM as a maquila and directing the SAT to refund IVA balances for January through June 2013. We believe this decision provides important judicial confirmation of CDM’s maquila status, which strengthens our position to recover outstanding IVA receivables and also reinforces our defense in the 2013 Assessment described in Note 6. In August 2025, the SAT appealed this decision to the Mexican Supreme Court. We will continue to pursue collection of IVA refunds through administrative processes and, where necessary, legal remedies.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Assets Held for Sale and Discontinued Operations</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In August 2024, we completed the sale of our Fresh Cut business and related real estate for $83 million. The Fresh Cut business represented substantially all the Prepared segment, excluding the retained guacamole business.</w:t>
      </w:r>
    </w:p>
    <w:p>
      <w:pPr>
        <w:spacing w:after="0" w:line="162" w:lineRule="exact"/>
        <w:rPr>
          <w:sz w:val="20"/>
          <w:szCs w:val="20"/>
          <w:color w:val="auto"/>
        </w:rPr>
      </w:pPr>
    </w:p>
    <w:p>
      <w:pPr>
        <w:jc w:val="both"/>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As previously disclosed, the Fresh Cut business was classified as held for sale and discontinued operations in the first quarter of fiscal 2024. In connection with the sale, we recorded a $9.3 million goodwill impairment charge in the quarter ended July 31, 2024, based on the transaction’s sale price.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89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12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9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81,224</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 before income taxes and gain on sale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4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Sale of Fresh Cut Business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Fresh Cut Business -- Asset Purchase Agreement and Purchase and Sale Agreement</w:t>
      </w:r>
    </w:p>
    <w:p>
      <w:pPr>
        <w:spacing w:after="0" w:line="227"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August 15, 2024, we completed the sale of our Fresh Cut business and related real estate for a total transaction value of $83 million. The sale included certain assets, leasehold interests, and specified liabilities related to the Fresh Cut business, while the guacamole business was retained.</w:t>
      </w:r>
    </w:p>
    <w:p>
      <w:pPr>
        <w:spacing w:after="0" w:line="17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purchase price for the business assets was $52.0 million, subject to customary adjustments, and the real estate was sold separately for $31.0 million. See Note 6.</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Amendment to Credit Agreement</w:t>
      </w:r>
    </w:p>
    <w:p>
      <w:pPr>
        <w:spacing w:after="0" w:line="227"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212529"/>
        </w:rPr>
        <w:t>On August 15, 2024, we entered into a First Amendment to Credit Agreement and Consent (as amended, the “Credit Agreement”) with Wells Fargo Bank, National Association, as agent and lender (“Agent”), whereby (i) the Credit Agreement was amended to reduce the revolving commitments thereunder from $90,000,000 to $75,000,000, among other minor adjustments to align the borrowing base with our current asset base excluding the Fresh Cut business (which was sold on August 15, 2024), and (ii) we obtained consent from Agent for entry into the Asset Purchase Agreement and Purchase and Sale Agreement with respect to the sale of the Fresh Cut business.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through September 9, 2025, the date these interim financial statements were issued.</w:t>
      </w:r>
    </w:p>
    <w:p>
      <w:pPr>
        <w:spacing w:after="0" w:line="162" w:lineRule="exact"/>
        <w:rPr>
          <w:sz w:val="20"/>
          <w:szCs w:val="20"/>
          <w:color w:val="auto"/>
        </w:rPr>
      </w:pPr>
    </w:p>
    <w:p>
      <w:pPr>
        <w:ind w:left="40" w:right="399" w:firstLine="324"/>
        <w:spacing w:after="0" w:line="282" w:lineRule="auto"/>
        <w:rPr>
          <w:sz w:val="20"/>
          <w:szCs w:val="20"/>
          <w:color w:val="auto"/>
        </w:rPr>
      </w:pPr>
      <w:r>
        <w:rPr>
          <w:rFonts w:ascii="Times New Roman" w:cs="Times New Roman" w:eastAsia="Times New Roman" w:hAnsi="Times New Roman"/>
          <w:sz w:val="18"/>
          <w:szCs w:val="18"/>
          <w:color w:val="auto"/>
        </w:rPr>
        <w:t>In August 2025, the Fifth Collegiate Circuit Court issued a ruling recognizing CDM as a maquila and directing the SAT to refund IVA balances for January through June 2013, as further described in Note 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619"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declared a quarterly cash dividend of $0.20 per share to be paid on October 31, 2025, to shareholders of record on September 30, 2025.</w:t>
      </w:r>
    </w:p>
    <w:p>
      <w:pPr>
        <w:spacing w:after="0" w:line="162"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We have determined that, other than the ruling of the Fifth Collegiate Circuit Court and the dividend declaration noted above, no other material subsequent events have occurred that would require disclosure or adjustment to these interim financial statements.</w:t>
      </w:r>
    </w:p>
    <w:p>
      <w:pPr>
        <w:spacing w:after="0" w:line="172"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the notes thereto (the “interim financial statements”) included in this Quarterly Report, and the audited consolidated financial statements and notes thereto and Management's Discussion and Analysis of Financial Condition and Results of Operations contained in the Annual Report on Form 10-K for the fiscal year ended October 31, 2024 of Calavo Growers, Inc. (“we”, “Calavo”, or the “Company”).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July 28, 2025, we paid a dividend of $0.20 per share, or an aggregate of $3.6 million to shareholders of record as of June 30, 2025. The Board of Directors declared a quarterly cash dividend of $0.20 per share to be paid on October 31, 2025, to shareholders of record on September 30, 2025.</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619" w:firstLine="259"/>
        <w:spacing w:after="0" w:line="282" w:lineRule="auto"/>
        <w:rPr>
          <w:sz w:val="20"/>
          <w:szCs w:val="20"/>
          <w:color w:val="auto"/>
        </w:rPr>
      </w:pPr>
      <w:r>
        <w:rPr>
          <w:rFonts w:ascii="Times New Roman" w:cs="Times New Roman" w:eastAsia="Times New Roman" w:hAnsi="Times New Roman"/>
          <w:sz w:val="18"/>
          <w:szCs w:val="18"/>
          <w:color w:val="auto"/>
        </w:rPr>
        <w:t>On September 2, 2025, the U.S. Department of Justice officially notified us that it has closed its Foreign Corrupt Practices Act (“FCPA”) inquiry related to our operations in Mexico.</w:t>
      </w:r>
    </w:p>
    <w:p>
      <w:pPr>
        <w:spacing w:after="0" w:line="162"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the SAT refunded 36.7 million Mexican pesos in VAT (approximately $1.9 million USD), including inflationary adjustments, relating to refund claims for March, April, and November 2019. These refunds were secured directly from the tax authority rather than through the court system and provide positive momentum as we continue working to recover additional outstanding balances. Management views these outcomes as a sign of progress in our broader tax strategy and of improved engagement with the SAT.</w:t>
      </w:r>
    </w:p>
    <w:p>
      <w:pPr>
        <w:spacing w:after="0" w:line="210"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August 2025, the Fifth Collegiate Circuit Court issued a ruling recognizing Calavo de México (“CDM”) as a maquila and directing the SAT to refund IVA balances for January through June 2013. Management believes this decision provides important judicial confirmation of CDM’s maquila status, strengthens our position to recover outstanding IVA receivables, and bolsters our defense in the 2013 Assessment described in Note 6 to the consolidated financial statements. In August 2025, the SAT appealed this decision to the Mexican Supreme Court. We will continue to pursue collection of IVA refunds through administrative processes and, where necessary, legal remedies.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Market Trends and Uncertainties</w:t>
      </w:r>
    </w:p>
    <w:p>
      <w:pPr>
        <w:spacing w:after="0" w:line="268"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We continue to be impacted by macroeconomic challenges, including inflationary pressures and shifts in trade policies, which have affected our operations in the past and may continue to do so in the future. These challenges drive cost fluctuations in key areas such as fruit procurement, labor, corrugated and plastic packaging, and overall operating expenses. To manage these pressures, we implement various strategies, including adjusting selling prices and optimizing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global sourcing strategies. We anticipate that inflationary and other cost pressures will persist in the remainder of fiscal 2025 and there is no assurance that we will be able to fully offset these cost increases.</w:t>
      </w:r>
    </w:p>
    <w:p>
      <w:pPr>
        <w:spacing w:after="0" w:line="202"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In July 2025, the U.S. Food and Drug Administration (the “FDA”) placed our CDM facility on a detention hold after trace levels of Imazalil were detected in a single shipment of conventional avocados. All subsequent third-party tests were clean, and the hold was lifted in September 2025. While this was the first such event in our Mexican operations since they began in 1998, the detention hold caused incremental third-party inspection and testing costs, incremental logistics/handling costs, and inventory write-downs on fruit diverted or sold at distressed prices. Regulatory actions of this type, if repeated, could continue to disrupt our supply chain, increase costs, and adversely impact our operating results.</w:t>
      </w:r>
    </w:p>
    <w:p>
      <w:pPr>
        <w:spacing w:after="0" w:line="214"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During our fourth quarter of 2025, we submitted an insurance claim seeking recovery of costs associated with the FDA detention hold described above. The claim remains under review, and while we are pursuing recovery and believe it is achievable, as of the date of this report we have not yet obtained sufficient information to conclude that recovery of recognized losses is probable under applicable accounting guidance. Accordingly, no insurance receivable has been recorded. We will recognize any recovery up to the amount of recognized losses when realization becomes probable, and will recognize any amounts in excess of recognized losses, if any, when realized.</w:t>
      </w:r>
    </w:p>
    <w:p>
      <w:pPr>
        <w:spacing w:after="0" w:line="228"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In addition, ongoing uncertainty surrounding U.S. trade policy—particularly as it relates to Mexico—could adversely affect our business. On February 2, 2025, the United States announced tariffs of up to 25 percent on imports from several countries (including Mexico and Canada) and higher duties on selected Chinese goods; all of these measures were subsequently put on hold. A separate 25 percent tariff on Mexican imports was briefly in effect from March 4 to March 6, 2025, before being suspended. As of May 30, 2025, no further reciprocal tariffs are scheduled, but the situation remains fluid and additional trade actions could be announced without advance notice.</w:t>
      </w:r>
    </w:p>
    <w:p>
      <w:pPr>
        <w:spacing w:after="0" w:line="228"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At present, it remains uncertain whether, and to what extent, any of the proposed tariffs or duties will apply to the fresh fruit and prepared products we import from Mexico. Given that a substantial portion of our produce originates there, new or increased trade barriers could raise our input costs. If we cannot pass along these extra costs to customers, renegotiate grower pricing, alter sourcing patterns, or implement other mitigation strategies, then our margins, operating results, and cash flows could be materially adversely affected.</w:t>
      </w:r>
    </w:p>
    <w:p>
      <w:pPr>
        <w:spacing w:after="0" w:line="210"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Although tariffs on imports from Mexico introduce additional costs, we do not currently expect them to have a material impact on our long-term profitability. Given the evolving nature of trade policies and recent short-term financial impacts, we will continue to assess the situation, adjust our sourcing and pricing strategies as needed, and take proactive measures to mitigate potential challenges.</w:t>
      </w:r>
    </w:p>
    <w:p>
      <w:pPr>
        <w:spacing w:after="0" w:line="220" w:lineRule="exact"/>
        <w:rPr>
          <w:sz w:val="20"/>
          <w:szCs w:val="20"/>
          <w:color w:val="auto"/>
        </w:rPr>
      </w:pPr>
    </w:p>
    <w:p>
      <w:pPr>
        <w:jc w:val="both"/>
        <w:ind w:left="40" w:right="139" w:firstLine="259"/>
        <w:spacing w:after="0" w:line="270" w:lineRule="auto"/>
        <w:rPr>
          <w:sz w:val="20"/>
          <w:szCs w:val="20"/>
          <w:color w:val="auto"/>
        </w:rPr>
      </w:pPr>
      <w:r>
        <w:rPr>
          <w:rFonts w:ascii="Times New Roman" w:cs="Times New Roman" w:eastAsia="Times New Roman" w:hAnsi="Times New Roman"/>
          <w:sz w:val="17"/>
          <w:szCs w:val="17"/>
          <w:color w:val="auto"/>
        </w:rPr>
        <w:t>The U.S. Department of Commerce also terminated the U.S.–Mexico Tomato Suspension Agreement (“TSA”) on July 14, 2025. Such termination automatically imposes a 17 percent anti-dumping duty on Mexican tomatoes. Industry groups such as the Texas International Produce Association warned that ending the TSA could sharply raise tomato prices, disrupt national supply chains, and threaten roughly 46,900 U.S. jobs tied to $3.1 billion in annual Mexican tomato imports.</w:t>
      </w:r>
    </w:p>
    <w:p>
      <w:pPr>
        <w:spacing w:after="0" w:line="3" w:lineRule="exact"/>
        <w:rPr>
          <w:sz w:val="20"/>
          <w:szCs w:val="20"/>
          <w:color w:val="auto"/>
        </w:rPr>
      </w:pPr>
    </w:p>
    <w:p>
      <w:pPr>
        <w:ind w:left="40" w:right="279"/>
        <w:spacing w:after="0" w:line="260" w:lineRule="auto"/>
        <w:rPr>
          <w:sz w:val="20"/>
          <w:szCs w:val="20"/>
          <w:color w:val="auto"/>
        </w:rPr>
      </w:pPr>
      <w:r>
        <w:rPr>
          <w:rFonts w:ascii="Times New Roman" w:cs="Times New Roman" w:eastAsia="Times New Roman" w:hAnsi="Times New Roman"/>
          <w:sz w:val="18"/>
          <w:szCs w:val="18"/>
          <w:color w:val="auto"/>
        </w:rPr>
        <w:t>Because we source and distribute significant volumes of tomatoes, any resulting supply shortages or cost increases could materially adversely affect our sales volumes and customer relationships.</w:t>
      </w:r>
    </w:p>
    <w:p>
      <w:pPr>
        <w:spacing w:after="0" w:line="222" w:lineRule="exact"/>
        <w:rPr>
          <w:sz w:val="20"/>
          <w:szCs w:val="20"/>
          <w:color w:val="auto"/>
        </w:rPr>
      </w:pPr>
    </w:p>
    <w:p>
      <w:pPr>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risk factor entitled “Tariffs on Imported Goods Could Materially Impact Our Business, Financial Condition, and Results of Operations” in Part II, Item 1A. Risk Factors, in our Quarterly Report on Form 10-Q filed on March 12, 2025.</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68"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During our first fiscal quarter of 2025, one of our Mexican packinghouses temporarily paused its operations due to the detection of a small number of avocado weevils in a pre-production area. After completing remedial measures, including those described below, the affected packinghouse was re-certified by the relevant authorities and resumed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normal operations. During our second fiscal quarter of 2025, we implemented enhanced monitoring protocols in our pre-production areas, which have effectively prevented any further avocado weevil outbreaks. A severe outbreak of the avocado weevil in the future, however, could result in reduced avocado supply and higher procurement costs, impacting our ability to meet consumer demand and maintain product quality standards. Any sustained disruption caused by this pest could materially and adversely affect our business, financial condition, and results of operations.</w:t>
      </w:r>
    </w:p>
    <w:p>
      <w:pPr>
        <w:spacing w:after="0" w:line="224"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Regulatory responses, such as quarantine measures or restrictions on avocado imports from affected regions, could further disrupt our supply chain, limit our sourcing options, and reduce the volume of avocados available for sale. The implementation of such measures, whether in response to pests or other phytosanitary or chemical compliance issues, may also continue to increase logistical complexities, delay shipments, and introduce additional compliance costs.</w:t>
      </w:r>
    </w:p>
    <w:p>
      <w:pPr>
        <w:spacing w:after="0" w:line="207"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risk factor entitled “The Spread of the Avocado Seed Weevil Could Disrupt Our Supply Chain and Adversely Impact Our Business” in Part II, Item 1A. Risk Factors, in our Quarterly Report on Form 10-Q filed on March 12, 2025.</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56"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and nine months ended July 31, 2025, as compared to those disclosed in the “Management’s Discussion and Analysis of Financial Condition and Results of Operations—Critical Accounting Estimates” in our Annual Report on Form 10-K for our fiscal year ended October 31, 2024.</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nine months ended July 31, 2025 and 2024 (dollar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52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5"/>
                <w:szCs w:val="15"/>
                <w:color w:val="auto"/>
              </w:rPr>
            </w:pPr>
          </w:p>
        </w:tc>
        <w:tc>
          <w:tcPr>
            <w:tcW w:w="27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42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09"/>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$ 155,851</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 $ 163,218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$ 470,307</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6 % $ 442,999</w:t>
            </w:r>
          </w:p>
        </w:tc>
        <w:tc>
          <w:tcPr>
            <w:tcW w:w="200" w:type="dxa"/>
            <w:vAlign w:val="bottom"/>
          </w:tcPr>
          <w:p>
            <w:pPr>
              <w:spacing w:after="0"/>
              <w:rPr>
                <w:sz w:val="18"/>
                <w:szCs w:val="18"/>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200" w:type="dxa"/>
            <w:vAlign w:val="bottom"/>
            <w:shd w:val="clear" w:color="auto" w:fill="CCEEFF"/>
          </w:tcPr>
          <w:p>
            <w:pPr>
              <w:spacing w:after="0"/>
              <w:rPr>
                <w:sz w:val="18"/>
                <w:szCs w:val="18"/>
                <w:color w:val="auto"/>
              </w:rPr>
            </w:pPr>
          </w:p>
        </w:tc>
      </w:tr>
      <w:tr>
        <w:trPr>
          <w:trHeight w:val="250"/>
        </w:trPr>
        <w:tc>
          <w:tcPr>
            <w:tcW w:w="3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$ 178,822</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$ 179,596</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$ 523,753</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$ 491,585</w:t>
            </w:r>
          </w:p>
        </w:tc>
        <w:tc>
          <w:tcPr>
            <w:tcW w:w="200" w:type="dxa"/>
            <w:vAlign w:val="bottom"/>
            <w:tcBorders>
              <w:bottom w:val="single" w:sz="8" w:color="CCEEFF"/>
            </w:tcBorders>
          </w:tcPr>
          <w:p>
            <w:pPr>
              <w:spacing w:after="0"/>
              <w:rPr>
                <w:sz w:val="21"/>
                <w:szCs w:val="21"/>
                <w:color w:val="auto"/>
              </w:rPr>
            </w:pPr>
          </w:p>
        </w:tc>
      </w:tr>
      <w:tr>
        <w:trPr>
          <w:trHeight w:val="197"/>
        </w:trPr>
        <w:tc>
          <w:tcPr>
            <w:tcW w:w="3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87 %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13 %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0"/>
        </w:trPr>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July 31, 2025, decreased by $0.8 million, or less than 1%, compared to the same period in fiscal 2024, reaching $178.8 million. This stability was driven primarily by a 2% increase in price per avocado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carton, partially offset by a 5% decrease in avocado carton volume, while Prepared segment sales increased by 40% year-over-year due primarily to increased sales volumes. Net sales for the nine months ended July 31, 2025, compared to the corresponding period in fiscal 2024, increased by $32.2 million, or approximately 7%. This growth was driven by a 6% increase in Fresh segment sales, primarily due to higher avocado pricing, partially offset by a decline in carton volume, while Prepared segment sales increased by 10% year-over-year due primarily to increases in sales volumes, while average selling prices remained steady.</w:t>
      </w:r>
    </w:p>
    <w:p>
      <w:pPr>
        <w:spacing w:after="0" w:line="187"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remain focused on expanding grower partnerships and strengthening relationships with retail and foodservice customers to support long-term net sales growth across both segments. Our Fresh and Prepared businesses are subject to seasonal trends, which may impact the volume and quality of raw materials sourced in any given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2025 vs. Third Quarter 2024</w:t>
      </w:r>
    </w:p>
    <w:p>
      <w:pPr>
        <w:spacing w:after="0" w:line="225"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Fresh segment decreased by approximately $7.4 million, or 5%, for the third quarter of fiscal 2025 compared to the same period in fiscal 2024. The decrease was primarily driven by lower avocado sales.</w:t>
      </w:r>
    </w:p>
    <w:p>
      <w:pPr>
        <w:spacing w:after="0" w:line="162" w:lineRule="exact"/>
        <w:rPr>
          <w:sz w:val="20"/>
          <w:szCs w:val="20"/>
          <w:color w:val="auto"/>
        </w:rPr>
      </w:pPr>
    </w:p>
    <w:p>
      <w:pPr>
        <w:ind w:left="1040" w:right="159" w:hanging="321"/>
        <w:spacing w:after="0" w:line="244" w:lineRule="auto"/>
        <w:tabs>
          <w:tab w:leader="none" w:pos="10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Avocado sales decreased by $4.3 million, or 3%, due to a 5% decline in carton volume, partially offset by a 2% increase in average selling price per carton. While average prices were higher year over year, sales were negatively impacted by a sharp sequential decline from the second quarter to the third quarter as industry supply from Mexico, California, and Peru converged at elevated levels. The period-over-period volume decline also reflects sourcing shifts by certain large retailers during the quarter.</w:t>
      </w:r>
    </w:p>
    <w:p>
      <w:pPr>
        <w:spacing w:after="0" w:line="197" w:lineRule="exact"/>
        <w:rPr>
          <w:rFonts w:ascii="Times New Roman" w:cs="Times New Roman" w:eastAsia="Times New Roman" w:hAnsi="Times New Roman"/>
          <w:sz w:val="22"/>
          <w:szCs w:val="22"/>
          <w:color w:val="auto"/>
        </w:rPr>
      </w:pPr>
    </w:p>
    <w:p>
      <w:pPr>
        <w:ind w:left="1040" w:right="139" w:hanging="321"/>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sales decreased by $3.8 million, or 40%, primarily due to a 27% decline in carton volume and a 18% decrease in average selling price. The decline was primarily driven by the United States’ termination of the 2019 Tomato Suspension Agreement on July 14, 2025, which resulted in the imposition of an approximate 17% anti-dumping duty on most fresh tomatoes imported from Mexico.</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2025 vs. Nine Months Ended July 31, 2024</w:t>
      </w:r>
    </w:p>
    <w:p>
      <w:pPr>
        <w:spacing w:after="0" w:line="225"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Fresh segment increased by approximately $27.3 million, or 6%, for the nine months ended July 31, 2025, compared to the corresponding period in fiscal 2024. The increase was primarily due to higher average avocado selling prices, partially offset by a decline in avocado and tomato sales.</w:t>
      </w:r>
    </w:p>
    <w:p>
      <w:pPr>
        <w:spacing w:after="0" w:line="176" w:lineRule="exact"/>
        <w:rPr>
          <w:sz w:val="20"/>
          <w:szCs w:val="20"/>
          <w:color w:val="auto"/>
        </w:rPr>
      </w:pPr>
    </w:p>
    <w:p>
      <w:pPr>
        <w:ind w:left="1040" w:right="159" w:hanging="321"/>
        <w:spacing w:after="0" w:line="243" w:lineRule="auto"/>
        <w:tabs>
          <w:tab w:leader="none" w:pos="10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avocados increased $44.6 million, or 12%, for the nine-month period, driven primarily by a 22% increase in average selling price per carton, partially offset by a 9% decline in volume. The majority of the volume decline occurred during the second quarter, though sequentially lower prices in the third quarter also reduced sales growth compared to the first half of fiscal 2025.</w:t>
      </w:r>
    </w:p>
    <w:p>
      <w:pPr>
        <w:spacing w:after="0" w:line="195" w:lineRule="exact"/>
        <w:rPr>
          <w:rFonts w:ascii="Times New Roman" w:cs="Times New Roman" w:eastAsia="Times New Roman" w:hAnsi="Times New Roman"/>
          <w:sz w:val="22"/>
          <w:szCs w:val="22"/>
          <w:color w:val="auto"/>
        </w:rPr>
      </w:pPr>
    </w:p>
    <w:p>
      <w:pPr>
        <w:ind w:left="1040" w:right="199" w:hanging="321"/>
        <w:spacing w:after="0" w:line="243" w:lineRule="auto"/>
        <w:tabs>
          <w:tab w:leader="none" w:pos="10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of tomatoes decreased $18.3 million, or 37%, primarily due to a 34% decline in volume and a 6% decrease in average selling price per carton. The decline was concentrated in the second and third quarters, reflecting adverse weather and abundant domestic supply that reduced import demand in the third quarter of fiscal 2025.</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2025 vs. Third Quarter 2024</w:t>
      </w:r>
    </w:p>
    <w:p>
      <w:pPr>
        <w:spacing w:after="0" w:line="225"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Prepared segment increased by $6.6 million, or 40%, for the three months ended July 31, 2025, compared to the same period in fiscal 2024. The increase was primarily driven by a 35% increase in pounds sold and a 3% increase in average selling price per pound. Growth reflected expanded sales to existing customers and meaningful new customer wins across retail and foodservice in both domestic and international markets. Net sales also benefited from an updated estimate of sales allowances, which increased revenue by approximately $0.5 million based on recent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claims experience and customer mix. Our avocado squeeze pouch product contributed modestly to the quarter, supported by its extended shelf life and portion control format.</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July 31, 2025 vs. Nine Months Ended July 31, 2024</w:t>
      </w:r>
    </w:p>
    <w:p>
      <w:pPr>
        <w:spacing w:after="0" w:line="225"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Net sales for the Prepared segment increased by $4.9 million, or 10%, for the nine months ended July 31, 2025, compared to the same period in fiscal 2024. The increase was primarily due to an 11% increase in pounds sold, partially offset by a 1% decrease in average selling price per pound. In the third quarter, strong volume growth and customer program expansion more than offset earlier softness, with momentum driven by expanded sales to existing customers, new wins across retail and foodservice in both domestic and international markets, modestly higher pricing on certain products, lower fruit input costs, and improved operating efficiencies. Our avocado squeeze pouch product also contributed modestly to year-to-date growth. Based on recent trends, including the third-quarter ramp, we currently estimate Prepared segment sales of approximately $115 million in fiscal 2026, subject to demand, pricing, and execution.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nine months ended July 31, 2025, and 2024 (dollar amounts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$ 12,427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$ 18,175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$ 38,617</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$ 40,958</w:t>
            </w:r>
          </w:p>
        </w:tc>
        <w:tc>
          <w:tcPr>
            <w:tcW w:w="180" w:type="dxa"/>
            <w:vAlign w:val="bottom"/>
          </w:tcPr>
          <w:p>
            <w:pPr>
              <w:spacing w:after="0"/>
              <w:rPr>
                <w:sz w:val="18"/>
                <w:szCs w:val="18"/>
                <w:color w:val="auto"/>
              </w:rPr>
            </w:pPr>
          </w:p>
        </w:tc>
      </w:tr>
      <w:tr>
        <w:trPr>
          <w:trHeight w:val="216"/>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80" w:type="dxa"/>
            <w:vAlign w:val="bottom"/>
            <w:shd w:val="clear" w:color="auto" w:fill="CCEEFF"/>
          </w:tcPr>
          <w:p>
            <w:pPr>
              <w:spacing w:after="0"/>
              <w:rPr>
                <w:sz w:val="18"/>
                <w:szCs w:val="18"/>
                <w:color w:val="auto"/>
              </w:rPr>
            </w:pPr>
          </w:p>
        </w:tc>
      </w:tr>
      <w:tr>
        <w:trPr>
          <w:trHeight w:val="249"/>
        </w:trPr>
        <w:tc>
          <w:tcPr>
            <w:tcW w:w="2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1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$ 18,198</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$ 20,093</w:t>
            </w:r>
          </w:p>
        </w:tc>
        <w:tc>
          <w:tcPr>
            <w:tcW w:w="2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$ 52,015</w:t>
            </w:r>
          </w:p>
        </w:tc>
        <w:tc>
          <w:tcPr>
            <w:tcW w:w="9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$ 51,514</w:t>
            </w:r>
          </w:p>
        </w:tc>
        <w:tc>
          <w:tcPr>
            <w:tcW w:w="180" w:type="dxa"/>
            <w:vAlign w:val="bottom"/>
            <w:tcBorders>
              <w:bottom w:val="single" w:sz="8" w:color="CCEEFF"/>
            </w:tcBorders>
          </w:tcPr>
          <w:p>
            <w:pPr>
              <w:spacing w:after="0"/>
              <w:rPr>
                <w:sz w:val="21"/>
                <w:szCs w:val="21"/>
                <w:color w:val="auto"/>
              </w:rPr>
            </w:pPr>
          </w:p>
        </w:tc>
      </w:tr>
      <w:tr>
        <w:trPr>
          <w:trHeight w:val="197"/>
        </w:trPr>
        <w:tc>
          <w:tcPr>
            <w:tcW w:w="2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21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8 %</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25 %</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12 %</w:t>
            </w: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1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10 %</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primarily of ingredient costs (including fruit and other food products), packing materials, freight and handling, labor, and overhead (including depreciation) associated with packing, distributing, and/or preparing food products, as well as other direct expenses related to products sold.</w:t>
      </w:r>
    </w:p>
    <w:p>
      <w:pPr>
        <w:spacing w:after="0" w:line="176"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Gross profit decreased by approximately $1.9 million, or 9%, for the third quarter of fiscal 2025, compared to the corresponding period in fiscal 2024. The decline was primarily driven by approximately $4.2 million of discrete costs associated with the FDA detention hold on certain avocado imports from Mexico, where the fungicide was present on fruit purchased from a grower and is never applied in Calavo facilities, as well as lower volumes and pricing pressure in tomatoes due to abundant U.S. supply that reduced import demand.</w:t>
      </w:r>
    </w:p>
    <w:p>
      <w:pPr>
        <w:spacing w:after="0" w:line="183"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Gross profit increased by $0.5 million, or 1%, for the nine months ended July 31, 2025, compared to the same period in fiscal 2024. Prepared segment gross profit rose by $2.8 million, or 27%, driven by an 11% increase in pounds sold, continued operating leverage, and lower fruit input costs. This improvement offset a $2.3 million, or 6%, decline in Fresh segment gross profit, which reflected lower avocado and tomato volumes and included approximately $4.2 million of discrete costs associated with the FDA detention hold on certain avocado imports from Mexico in the third quarter.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40" w:right="179" w:firstLine="324"/>
        <w:spacing w:after="0" w:line="282" w:lineRule="auto"/>
        <w:rPr>
          <w:sz w:val="20"/>
          <w:szCs w:val="20"/>
          <w:color w:val="auto"/>
        </w:rPr>
      </w:pPr>
      <w:r>
        <w:rPr>
          <w:rFonts w:ascii="Times New Roman" w:cs="Times New Roman" w:eastAsia="Times New Roman" w:hAnsi="Times New Roman"/>
          <w:sz w:val="18"/>
          <w:szCs w:val="18"/>
          <w:color w:val="auto"/>
        </w:rPr>
        <w:t>The decrease in Fresh products gross profit for the third quarter of fiscal 2025 was primarily driven by lower volumes for both avocados and tomatoes.</w:t>
      </w:r>
    </w:p>
    <w:p>
      <w:pPr>
        <w:spacing w:after="0" w:line="162" w:lineRule="exact"/>
        <w:rPr>
          <w:sz w:val="20"/>
          <w:szCs w:val="20"/>
          <w:color w:val="auto"/>
        </w:rPr>
      </w:pPr>
    </w:p>
    <w:p>
      <w:pPr>
        <w:ind w:left="720" w:right="99" w:hanging="325"/>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decreased, reflecting lower carton volumes and the impact of approximately $4.2 million of discrete costs associated with the FDA detention hold on certain avocado imports from Mexico in July 2025. The detention hold resulted in third-party inspection and testing costs, incremental logistics/handling costs, and inventory write-downs on fruit diverted or sold at distressed prices, which reduced per-carton profitability despite higher average selling prices year-over-year.</w:t>
      </w:r>
    </w:p>
    <w:p>
      <w:pPr>
        <w:spacing w:after="0" w:line="183" w:lineRule="exact"/>
        <w:rPr>
          <w:rFonts w:ascii="Times New Roman" w:cs="Times New Roman" w:eastAsia="Times New Roman" w:hAnsi="Times New Roman"/>
          <w:sz w:val="18"/>
          <w:szCs w:val="18"/>
          <w:color w:val="auto"/>
        </w:rPr>
      </w:pPr>
    </w:p>
    <w:p>
      <w:pPr>
        <w:ind w:left="720" w:right="459" w:hanging="325"/>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decreased, driven by a 27% decline in carton volume and lower average selling prices. Market conditions in the U.S. remained oversupplied during the quarter, which reduced demand for Mexican imports and pressured pricing.</w:t>
      </w:r>
    </w:p>
    <w:p>
      <w:pPr>
        <w:spacing w:after="0" w:line="176" w:lineRule="exact"/>
        <w:rPr>
          <w:sz w:val="20"/>
          <w:szCs w:val="20"/>
          <w:color w:val="auto"/>
        </w:rPr>
      </w:pPr>
    </w:p>
    <w:p>
      <w:pPr>
        <w:ind w:left="40" w:right="339" w:firstLine="324"/>
        <w:spacing w:after="0" w:line="261" w:lineRule="auto"/>
        <w:rPr>
          <w:sz w:val="20"/>
          <w:szCs w:val="20"/>
          <w:color w:val="auto"/>
        </w:rPr>
      </w:pPr>
      <w:r>
        <w:rPr>
          <w:rFonts w:ascii="Times New Roman" w:cs="Times New Roman" w:eastAsia="Times New Roman" w:hAnsi="Times New Roman"/>
          <w:sz w:val="18"/>
          <w:szCs w:val="18"/>
          <w:color w:val="auto"/>
        </w:rPr>
        <w:t>The decrease in Fresh products gross profit for the nine months ended July 31, 2025, was primarily driven by lower avocado and tomato volumes along with regulatory costs such as third-party inspection and testing costs, incremental logistics/handling costs, and inventory write-downs on fruit diverted or sold at distressed prices related, to the FDA detention hold in the third quarter and a temporary tariff event in the second quarter.</w:t>
      </w:r>
    </w:p>
    <w:p>
      <w:pPr>
        <w:spacing w:after="0" w:line="180" w:lineRule="exact"/>
        <w:rPr>
          <w:sz w:val="20"/>
          <w:szCs w:val="20"/>
          <w:color w:val="auto"/>
        </w:rPr>
      </w:pPr>
    </w:p>
    <w:p>
      <w:pPr>
        <w:ind w:left="720" w:right="79" w:hanging="325"/>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decreased by $1.5 million, reflecting lower carton volumes and reduced per-carton profitability. Profitability was negatively impacted by the three-day tariff event described in our Quarterly Report on Form 10-Q for our fiscal quarter ended April 30, 2025 and by the costs associated with the FDA detention hold on certain avocado imports from Mexico in the third quarter.</w:t>
      </w:r>
    </w:p>
    <w:p>
      <w:pPr>
        <w:spacing w:after="0" w:line="179" w:lineRule="exact"/>
        <w:rPr>
          <w:rFonts w:ascii="Times New Roman" w:cs="Times New Roman" w:eastAsia="Times New Roman" w:hAnsi="Times New Roman"/>
          <w:sz w:val="18"/>
          <w:szCs w:val="18"/>
          <w:color w:val="auto"/>
        </w:rPr>
      </w:pPr>
    </w:p>
    <w:p>
      <w:pPr>
        <w:ind w:left="720" w:right="179" w:hanging="325"/>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decreased by $0.8 million, reflecting lower volume and modestly reduced average selling prices. The decline was concentrated in the second and third quarters: in the second quarter, adverse winter weather in key U.S. markets and strong domestic supply led to sales at or near contractual pricing floors and underutilization of fixed cost infrastructure; and in the third quarter, abundant domestic supply continued to limit import opportunities and weigh on pricing.</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jc w:val="both"/>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Gross profit per pound for guacamole products increased during the third quarter of fiscal 2025 compared to the same period last year, reflecting improved operational efficiency and stronger cost management. For the nine months ended July 31, 2025, Prepared segment gross profit increased 14.6% to $13.4 million, reflecting higher sales volumes, lower fruit input costs compared to the prior year, and improved operating efficiencies.</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5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80" w:type="dxa"/>
            <w:vAlign w:val="bottom"/>
          </w:tcPr>
          <w:p>
            <w:pPr>
              <w:spacing w:after="0"/>
              <w:rPr>
                <w:sz w:val="12"/>
                <w:szCs w:val="12"/>
                <w:color w:val="auto"/>
              </w:rPr>
            </w:pPr>
          </w:p>
        </w:tc>
        <w:tc>
          <w:tcPr>
            <w:tcW w:w="60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0"/>
        </w:trPr>
        <w:tc>
          <w:tcPr>
            <w:tcW w:w="3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3880" w:type="dxa"/>
            <w:vAlign w:val="bottom"/>
          </w:tcPr>
          <w:p>
            <w:pPr>
              <w:spacing w:after="0"/>
              <w:rPr>
                <w:sz w:val="11"/>
                <w:szCs w:val="11"/>
                <w:color w:val="auto"/>
              </w:rPr>
            </w:pPr>
          </w:p>
        </w:tc>
        <w:tc>
          <w:tcPr>
            <w:tcW w:w="2260" w:type="dxa"/>
            <w:vAlign w:val="bottom"/>
            <w:gridSpan w:val="5"/>
          </w:tcPr>
          <w:p>
            <w:pPr>
              <w:jc w:val="center"/>
              <w:ind w:left="181"/>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2340" w:type="dxa"/>
            <w:vAlign w:val="bottom"/>
            <w:gridSpan w:val="5"/>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43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$ 9,232</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$ 10,510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$ 29,822</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$ 36,993</w:t>
            </w:r>
          </w:p>
        </w:tc>
        <w:tc>
          <w:tcPr>
            <w:tcW w:w="200" w:type="dxa"/>
            <w:vAlign w:val="bottom"/>
            <w:shd w:val="clear" w:color="auto" w:fill="CCEEFF"/>
          </w:tcPr>
          <w:p>
            <w:pPr>
              <w:spacing w:after="0"/>
              <w:rPr>
                <w:sz w:val="24"/>
                <w:szCs w:val="24"/>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bl>
    <w:p>
      <w:pPr>
        <w:spacing w:after="0" w:line="17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totaled $9.2 million for the three months ended July 31, 2025. These expenses include marketing and advertising costs, sales expenses (including broker commissions), and other general and administrative costs.</w:t>
      </w:r>
    </w:p>
    <w:p>
      <w:pPr>
        <w:spacing w:after="0" w:line="176"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SG&amp;A expenses for the three months ended July 31, 2025 decreased by $1.3 million, or 12%, compared to the three months ended July 31, 2024. The decrease was driven by a $2.0 million reduction in professional and consulting fees, including lower FCPA-related legal expenses, partially offset by a $0.3 million increase in bonus expense.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SG&amp;A expenses for the nine months ended July 31, 2025 decreased by $7.2 million, or 19%, compared to the prior year period. The decrease was driven by a $5.1 million reduction in professional and consulting fees, primarily related to lower legal costs (including reduced FCPA investigation-related legal expenses), a $1.7 million reduction in compensation expenses reflecting lower headcount and severance costs, and a $0.8 million decrease in stock-based compensation, mainly related to the Chief Executive Officer’s compensation structure.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loss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209"/>
        </w:trPr>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(2,799)</w:t>
            </w:r>
          </w:p>
        </w:tc>
      </w:tr>
    </w:tbl>
    <w:p>
      <w:pPr>
        <w:spacing w:after="0" w:line="198"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Due to the change in the Mexican peso to the U.S. dollar exchange rates, foreign currency remeasurement losses, net of gains, for the three and nine months ended July 31, 2025, were $2.5 million. Net foreign currency remeasurement (losses), for the three and nine months ended July 31, 2024, were $(4.2) million and $(2.8) million.</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21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6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
        </w:trPr>
        <w:tc>
          <w:tcPr>
            <w:tcW w:w="3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2020" w:type="dxa"/>
            <w:vAlign w:val="bottom"/>
            <w:gridSpan w:val="6"/>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1"/>
                <w:szCs w:val="1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(579)</w:t>
            </w: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$ 178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(374)</w:t>
            </w:r>
          </w:p>
        </w:tc>
      </w:tr>
    </w:tbl>
    <w:p>
      <w:pPr>
        <w:spacing w:after="0" w:line="198"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Income (loss) from unconsolidated entities includes our participation in earnings or losses from our investments in Agricola Don Memo. For the three months ended July 31, 2025 and 2024 we realized losses of $0.4 million and $0.6 million from Agricola Don Memo. For the nine months ended July 31, 2025 and 2024 we realized income (loss) of $0.2 million and $(0.4) million from Agricola Don Memo.</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48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404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09"/>
        </w:trPr>
        <w:tc>
          <w:tcPr>
            <w:tcW w:w="40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(1,807)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$ 1,441</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 (5,598)</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(1,271)%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$ 478</w:t>
            </w:r>
          </w:p>
        </w:tc>
        <w:tc>
          <w:tcPr>
            <w:tcW w:w="200" w:type="dxa"/>
            <w:vAlign w:val="bottom"/>
            <w:shd w:val="clear" w:color="auto" w:fill="CCEEFF"/>
          </w:tcPr>
          <w:p>
            <w:pPr>
              <w:spacing w:after="0"/>
              <w:rPr>
                <w:sz w:val="24"/>
                <w:szCs w:val="24"/>
                <w:color w:val="auto"/>
              </w:rPr>
            </w:pP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left="40" w:right="99" w:firstLine="270"/>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months ended July 31, 2025 and July 31, 2024 were 26% and (37)%. The effective tax rates for the nine months ended July 31, 2025 and July 31, 2024 were 26% and (5)%. The Company’s effective tax rate for the three and nine months ended July 31, 2025 differs from the U.S. federal statutory rate of 21% due to the U.S. state tax and foreign tax rate differential in Mexico. The Company’s effective tax rate for the three and nine months ended July 31, 2024 differs from the U.S. federal statutory rate of 21% due to valuation allowances on domestic deferred tax assets that were not more likely than not to be realized, and foreign exchange losses in Mexico.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Cash provided in operating activities was $19.2 million for the nine months ended July 31, 2025, compared to cash provided by operating activities of $13.6 million for the corresponding period in fiscal 2024. Cash provided in operating activities for the nine months ended July 31, 2025 reflects primarily our net income of $16.1 million, combined with non-cash activities (depreciation and amortization, non-cash operating lease expense, stock-based compensation expense, income from unconsolidated entities, and loss on disposal of property, plant and equipment) of $6.1 million which was partially offset by a net effect of changes in operating assets and liabilities of $3.0 million.</w:t>
      </w:r>
    </w:p>
    <w:p>
      <w:pPr>
        <w:spacing w:after="0" w:line="187"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Changes in operating assets and liabilities included a decrease in inventories of $3.8 million, a decrease in prepaid expenses and other current assets of $2.2 million, a net decrease in accounts payable, accrued expenses and other liabilities of $17.0 million, an increase in payable to growers of $13.5 million, and a decrease in income tax payable of $1.0 million, partially offset by a decrease in other assets of $4.7 million.</w:t>
      </w:r>
    </w:p>
    <w:p>
      <w:pPr>
        <w:spacing w:after="0" w:line="180" w:lineRule="exact"/>
        <w:rPr>
          <w:sz w:val="20"/>
          <w:szCs w:val="20"/>
          <w:color w:val="auto"/>
        </w:rPr>
      </w:pPr>
    </w:p>
    <w:p>
      <w:pPr>
        <w:jc w:val="both"/>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The decrease in our inventory as of July 31, 2025, compared to October 31, 2024, was primarily due to revaluations of the inventory on hand. The decrease in our prepaid and other current assets is primarily due to an increase in amortization of prepaid expenses, and the timing of rebate receipts. The increase in payable to growers is mostly due to an increase in farming activity of tomatoes as farming production for the spring/summer cycle (May-October) is scaling up.</w:t>
      </w:r>
    </w:p>
    <w:p>
      <w:pPr>
        <w:spacing w:after="0" w:line="220"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$1.1 million for the nine months ended July 31, 2025, compared to cash used by investing activities of $2.5 million for the corresponding period in fiscal 2024. Cash used in investing activities relates principally to purchases of property, plant, and equipment.</w:t>
      </w:r>
    </w:p>
    <w:p>
      <w:pPr>
        <w:spacing w:after="0" w:line="203"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$11.4 million for the nine months ended July 31, 2025, compared to cash used by financing activities of $12.8 million for the corresponding period in fiscal 2024. Cash used in financing activities relates principally to payments of $10.7 million in dividends, payments on long-term obligations of $0.7 million and the payment of minimum withholding of taxes on the net settling of shares of less than $0.1 million.</w:t>
      </w:r>
    </w:p>
    <w:p>
      <w:pPr>
        <w:spacing w:after="0" w:line="180"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Cash and cash equivalents as of July 31, 2025 and October 31, 2024, totaled $63.8 million and $57.0 million. Our working capital at July 31, 2025 was $89.9 million, compared to $85.4 million at October 31, 2024.</w:t>
      </w:r>
    </w:p>
    <w:p>
      <w:pPr>
        <w:spacing w:after="0" w:line="180"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cash flows from operations, availability under our credit facility, and other sources will be sufficient to satisfy our future capital expenditures and commitments, grower recruitment efforts, working capital and other financing requirements for the foreseeable future.</w:t>
      </w:r>
    </w:p>
    <w:p>
      <w:pPr>
        <w:spacing w:after="0" w:line="176"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June 26, 2023, we entered into a credit agreement (the “Credit Agreement”) with Wells Fargo Bank, National Association, as agent and lender (“Agent” or “Wells Fargo”). The Credit Agreement provided for a revolving credit facility (the “Revolving Loans”) of up to $90.0 million, along with a capex credit facility of up to $10.0 million (the “Term Loan”).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August 15, 2024, we entered into a First Amendment to Credit Agreement and Consent with Wells Fargo whereby</w:t>
      </w:r>
    </w:p>
    <w:p>
      <w:pPr>
        <w:spacing w:after="0" w:line="27" w:lineRule="exact"/>
        <w:rPr>
          <w:sz w:val="20"/>
          <w:szCs w:val="20"/>
          <w:color w:val="auto"/>
        </w:rPr>
      </w:pPr>
    </w:p>
    <w:p>
      <w:pPr>
        <w:ind w:left="40" w:right="239" w:firstLine="4"/>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was amended to reduce the revolving commitments thereunder from $90.0 million to $75.0 million, among other minor adjustments to align the borrowing base with our asset base excluding the Fresh Cut business (which was sold on August 15, 2024); and (ii) we obtained consent from Agent for entry into the Asset Purchase Agreement and Purchase and Sale Agreement with respect to the sale of the Fresh Cut business.</w:t>
      </w:r>
    </w:p>
    <w:p>
      <w:pPr>
        <w:spacing w:after="0" w:line="189"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less any reserves implemented by Agent in its permitted discretion, provided that the equipment-based portion of such borrowing base calculation reduces monthly according to scheduled amortization.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our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83"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As of July 31, 2025, we were in compliance with the financial covenants in the Credit Agreement, as amended. As of July 31, 2025, approximately $50.5 million was available for borrowing, based on our borrowing base calculation discussed above.</w:t>
      </w:r>
    </w:p>
    <w:p>
      <w:pPr>
        <w:spacing w:after="0" w:line="176"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8.0% at July 31, 2025. Under the credit facility, there was less than $0.1 million outstanding related to the Revolving Loans and Term Loan as of July 31, 2025.</w:t>
      </w:r>
    </w:p>
    <w:p>
      <w:pPr>
        <w:spacing w:after="0" w:line="162"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$25 million. While no shares have been repurchased to date under this program, the timing and volume of repurchases will depend on market conditions, our capital allocation priorities, and other strategic considerations.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2024.</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40" w:right="519" w:firstLine="25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market risk from the information provided in </w:t>
      </w:r>
      <w:r>
        <w:rPr>
          <w:rFonts w:ascii="Times New Roman" w:cs="Times New Roman" w:eastAsia="Times New Roman" w:hAnsi="Times New Roman"/>
          <w:sz w:val="18"/>
          <w:szCs w:val="18"/>
          <w:i w:val="1"/>
          <w:iCs w:val="1"/>
          <w:color w:val="auto"/>
        </w:rPr>
        <w:t>Item 7A.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of our Annual Report on Form 10-K for the year ended October 31, 2024.</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we carried out an evaluation, under the supervision and with the participation of management, including the Chief Executive Officer (who is our principal executive officer) and Chief Financial Officer (who is our principal financial officer), of the effectiveness of the design and operation of our disclosure controls and procedures as of July 31, 2025. Based upon this evaluation, our Chief Executive Officer and Chief Financial Officer concluded that our disclosure controls and procedures were effective as of such date to ensure that information required to be disclosed in the reports we file or submit under the Exchange Act is recorded, processed, summarized, and reported within the time periods specified in the Securities and Exchange Commission rules and forms.</w:t>
      </w:r>
    </w:p>
    <w:p>
      <w:pPr>
        <w:spacing w:after="0" w:line="21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July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Please refer to Note 6 to the unaudited condensed consolidated financial statements included in this Quarterly Report on Form 10-Q for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2024, as supplemented by our Quarterly Report on Form 10-Q for the quarterly period ended January 31, 2025. There have been no material changes from the risk factors set forth in such Annual Report on Form 10-K and Quarterly Report on Form 10-Q. However, the risks and uncertainties that we face are not limited to those set forth in such Annual Report on Form 10-K and Quarterly Report on Form 10-Q. Additional risks and uncertainties not presently known to us or that we currently believe to be immaterial may also adversely affect our business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 Trading Plans</w:t>
      </w:r>
    </w:p>
    <w:p>
      <w:pPr>
        <w:spacing w:after="0" w:line="229" w:lineRule="exact"/>
        <w:rPr>
          <w:sz w:val="20"/>
          <w:szCs w:val="20"/>
          <w:color w:val="auto"/>
        </w:rPr>
      </w:pPr>
    </w:p>
    <w:p>
      <w:pPr>
        <w:jc w:val="center"/>
        <w:ind w:left="40" w:right="99"/>
        <w:spacing w:after="0" w:line="312" w:lineRule="auto"/>
        <w:rPr>
          <w:sz w:val="20"/>
          <w:szCs w:val="20"/>
          <w:color w:val="auto"/>
        </w:rPr>
      </w:pPr>
      <w:r>
        <w:rPr>
          <w:rFonts w:ascii="Times New Roman" w:cs="Times New Roman" w:eastAsia="Times New Roman" w:hAnsi="Times New Roman"/>
          <w:sz w:val="17"/>
          <w:szCs w:val="17"/>
          <w:color w:val="auto"/>
        </w:rPr>
        <w:t>During the quarter ended July 31, 2025, no director or officer of the Company adopted or terminated a “Rule 10b5-1 trading arrangement” or “non-Rule 10b5-1 trading arrangement,” as each term is defined in Item 408(a) of Regulation S-K.</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Cybersecurity Governance and Program Update</w:t>
      </w:r>
    </w:p>
    <w:p>
      <w:pPr>
        <w:spacing w:after="0" w:line="229"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currently provides direct oversight of cybersecurity risk. The Board is supported by directors with relevant experience in technology governance, cybersecurity oversight, and risk management, including director-level cybersecurity education and certifications.</w:t>
      </w:r>
    </w:p>
    <w:p>
      <w:pPr>
        <w:spacing w:after="0" w:line="176"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Our ongoing evaluation against the NIST Cybersecurity Framework 2.0, expected to be completed in our fourth quarter 2025, indicates that our residual risk profile remains within acceptable parameters.</w:t>
      </w:r>
    </w:p>
    <w:p>
      <w:pPr>
        <w:spacing w:after="0" w:line="162"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We have launched a systematic program enhancement initiative focused on elevating cybersecurity program maturity through structured documentation, policy refinement, and capability advancement. This twelve-month strategic effort will adapt dynamically to emerging threat landscapes and resource allocation priorities.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w:t>
            </w:r>
          </w:p>
        </w:tc>
      </w:tr>
      <w:tr>
        <w:trPr>
          <w:trHeight w:val="196"/>
        </w:trPr>
        <w:tc>
          <w:tcPr>
            <w:tcW w:w="90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12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w:t>
            </w:r>
          </w:p>
        </w:tc>
      </w:tr>
      <w:tr>
        <w:trPr>
          <w:trHeight w:val="196"/>
        </w:trPr>
        <w:tc>
          <w:tcPr>
            <w:tcW w:w="900" w:type="dxa"/>
            <w:vAlign w:val="bottom"/>
          </w:tcPr>
          <w:p>
            <w:pPr>
              <w:spacing w:after="0"/>
              <w:rPr>
                <w:sz w:val="17"/>
                <w:szCs w:val="17"/>
                <w:color w:val="auto"/>
              </w:rPr>
            </w:pPr>
          </w:p>
        </w:tc>
        <w:tc>
          <w:tcPr>
            <w:tcW w:w="7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0"/>
        </w:trPr>
        <w:tc>
          <w:tcPr>
            <w:tcW w:w="9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by Chief Executive Officer and Chief Financial Officer of Periodic Report Pursuant to</w:t>
            </w:r>
          </w:p>
        </w:tc>
      </w:tr>
      <w:tr>
        <w:trPr>
          <w:trHeight w:val="196"/>
        </w:trPr>
        <w:tc>
          <w:tcPr>
            <w:tcW w:w="900" w:type="dxa"/>
            <w:vAlign w:val="bottom"/>
          </w:tcPr>
          <w:p>
            <w:pPr>
              <w:spacing w:after="0"/>
              <w:rPr>
                <w:sz w:val="17"/>
                <w:szCs w:val="17"/>
                <w:color w:val="auto"/>
              </w:rPr>
            </w:pPr>
          </w:p>
        </w:tc>
        <w:tc>
          <w:tcPr>
            <w:tcW w:w="7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 2002. *</w:t>
            </w:r>
          </w:p>
        </w:tc>
        <w:tc>
          <w:tcPr>
            <w:tcW w:w="100" w:type="dxa"/>
            <w:vAlign w:val="bottom"/>
          </w:tcPr>
          <w:p>
            <w:pPr>
              <w:spacing w:after="0"/>
              <w:rPr>
                <w:sz w:val="17"/>
                <w:szCs w:val="17"/>
                <w:color w:val="auto"/>
              </w:rPr>
            </w:pPr>
          </w:p>
        </w:tc>
      </w:tr>
      <w:tr>
        <w:trPr>
          <w:trHeight w:val="4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w:t>
            </w:r>
          </w:p>
        </w:tc>
        <w:tc>
          <w:tcPr>
            <w:tcW w:w="220" w:type="dxa"/>
            <w:vAlign w:val="bottom"/>
            <w:gridSpan w:val="3"/>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198" w:lineRule="exact"/>
        <w:rPr>
          <w:sz w:val="20"/>
          <w:szCs w:val="20"/>
          <w:color w:val="auto"/>
        </w:rPr>
      </w:pPr>
    </w:p>
    <w:p>
      <w:pPr>
        <w:ind w:left="1680" w:hanging="902"/>
        <w:spacing w:after="0"/>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not deemed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5" w:lineRule="exact"/>
        <w:rPr>
          <w:sz w:val="20"/>
          <w:szCs w:val="20"/>
          <w:color w:val="auto"/>
        </w:rPr>
      </w:pPr>
    </w:p>
    <w:p>
      <w:pPr>
        <w:ind w:left="360" w:right="79" w:hanging="316"/>
        <w:spacing w:after="0" w:line="233" w:lineRule="auto"/>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the Quarterly Report on Form 10-Q of Calavo Growers, Inc. for the quarter ended July 31, 2025, formatted in Inline XBRL (Extensible Business Reporting Language) includes: (1) Consolidated Balance Sheets as of July 31, 2025 and October 31, 2024; (2) Consolidated Statements of Operations for the three and nine months ended July 31, 2025 and 2024; (3) Consolidated Statements of Cash Flows for the three and nine months ended July 31, 2025 and 2024; (4) Consolidated Statements of Shareholders’ Equity for the three and nine months ended July 31, 2025 and 2024; (5) Notes to Consolidated Financial Statements; and (6) the information included in Part II, Item 5(c).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3"/>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30</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James Snyder, certify that:</w:t>
      </w:r>
    </w:p>
    <w:p>
      <w:pPr>
        <w:spacing w:after="0" w:line="235" w:lineRule="exact"/>
        <w:rPr>
          <w:sz w:val="20"/>
          <w:szCs w:val="20"/>
          <w:color w:val="auto"/>
        </w:rPr>
      </w:pPr>
    </w:p>
    <w:p>
      <w:pPr>
        <w:ind w:left="700" w:hanging="656"/>
        <w:spacing w:after="0"/>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Snyder</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James Snyder</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 undersigned Chief Executive Officer and Chief Financial Officer of Calavo Growers, Inc. (the “Company”), each hereby certifies, pursuant to 18 U.S.C. Section 1350, as adopted pursuant to Section 906 of the Sarbanes-Oxley Act of 2002, that, to his knowledge, the Company’s Quarterly Report on Form 10-Q for the quarter ended July 31, 2025,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9, 2025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o"/>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2025-09-09T16:33:33Z</dcterms:created>
  <dcterms:modified xsi:type="dcterms:W3CDTF">2025-09-09T16:33:33Z</dcterms:modified>
</cp:coreProperties>
</file>