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31,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440" w:type="dxa"/>
            <w:vAlign w:val="bottom"/>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gridSpan w:val="4"/>
          </w:tcPr>
          <w:p>
            <w:pPr>
              <w:ind w:left="14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jc w:val="center"/>
              <w:ind w:left="3"/>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300" w:type="dxa"/>
            <w:vAlign w:val="bottom"/>
            <w:gridSpan w:val="8"/>
          </w:tcPr>
          <w:p>
            <w:pPr>
              <w:jc w:val="center"/>
              <w:ind w:right="286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jc w:val="center"/>
              <w:ind w:left="10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color w:val="auto"/>
              </w:rPr>
              <w:t>Trading Symbol(s)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900" w:type="dxa"/>
            <w:vAlign w:val="bottom"/>
          </w:tcPr>
          <w:p>
            <w:pPr>
              <w:jc w:val="center"/>
              <w:ind w:left="10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Pr>
          <w:p>
            <w:pPr>
              <w:jc w:val="center"/>
              <w:ind w:right="443"/>
              <w:spacing w:after="0"/>
              <w:rPr>
                <w:sz w:val="20"/>
                <w:szCs w:val="20"/>
                <w:color w:val="auto"/>
              </w:rPr>
            </w:pPr>
            <w:r>
              <w:rPr>
                <w:rFonts w:ascii="Times New Roman" w:cs="Times New Roman" w:eastAsia="Times New Roman" w:hAnsi="Times New Roman"/>
                <w:sz w:val="16"/>
                <w:szCs w:val="16"/>
                <w:color w:val="auto"/>
              </w:rPr>
              <w:t>CVGW</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020"/>
        <w:spacing w:after="0" w:line="184" w:lineRule="exact"/>
        <w:tabs>
          <w:tab w:leader="none" w:pos="66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1020"/>
        <w:spacing w:after="0" w:line="184" w:lineRule="exact"/>
        <w:tabs>
          <w:tab w:leader="none" w:pos="662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ind w:left="66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19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February 28, 2026 was 17,874,079.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6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5"/>
          <w:szCs w:val="15"/>
          <w:color w:val="auto"/>
        </w:rPr>
        <w:t>This Quarterly Report on Form 10-Q, including “Management’s Discussion and Analysis of Financial Condition and Results of Operations” in Part I, Item 2, contains statements relating to future events and results of Calavo Growers, Inc. and its consolidated subsidiaries (collectively,</w:t>
      </w:r>
    </w:p>
    <w:p>
      <w:pPr>
        <w:ind w:left="40" w:right="79"/>
        <w:spacing w:after="0" w:line="234" w:lineRule="auto"/>
        <w:rPr>
          <w:sz w:val="20"/>
          <w:szCs w:val="20"/>
          <w:color w:val="auto"/>
        </w:rPr>
      </w:pPr>
      <w:r>
        <w:rPr>
          <w:rFonts w:ascii="Times New Roman" w:cs="Times New Roman" w:eastAsia="Times New Roman" w:hAnsi="Times New Roman"/>
          <w:sz w:val="15"/>
          <w:szCs w:val="15"/>
          <w:color w:val="auto"/>
        </w:rPr>
        <w:t>“Calavo,” the “Company,” “we,” “us,” or “our”) that are “forward-looking statements” within the meaning of the Private Securities Litigation Reform Act of 1995. These statements involve risks, uncertainties, and assumptions, are based on current expectations, and are not guarantees of</w:t>
      </w:r>
    </w:p>
    <w:p>
      <w:pPr>
        <w:spacing w:after="0" w:line="1" w:lineRule="exact"/>
        <w:rPr>
          <w:sz w:val="20"/>
          <w:szCs w:val="20"/>
          <w:color w:val="auto"/>
        </w:rPr>
      </w:pPr>
    </w:p>
    <w:p>
      <w:pPr>
        <w:ind w:left="40" w:right="419"/>
        <w:spacing w:after="0" w:line="257" w:lineRule="auto"/>
        <w:rPr>
          <w:sz w:val="20"/>
          <w:szCs w:val="20"/>
          <w:color w:val="auto"/>
        </w:rPr>
      </w:pPr>
      <w:r>
        <w:rPr>
          <w:rFonts w:ascii="Times New Roman" w:cs="Times New Roman" w:eastAsia="Times New Roman" w:hAnsi="Times New Roman"/>
          <w:sz w:val="15"/>
          <w:szCs w:val="15"/>
          <w:color w:val="auto"/>
        </w:rPr>
        <w:t>future performance. If any of these risks or uncertainties materialize, or if underlying assumptions prove incorrect, actual results may differ materially from those expressed or implied in the forward-looking statements.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All statements other than historical facts are forward-looking statements, including but not limited to:</w:t>
      </w:r>
    </w:p>
    <w:p>
      <w:pPr>
        <w:spacing w:after="0" w:line="165" w:lineRule="exact"/>
        <w:rPr>
          <w:sz w:val="20"/>
          <w:szCs w:val="20"/>
          <w:color w:val="auto"/>
        </w:rPr>
      </w:pPr>
    </w:p>
    <w:p>
      <w:pPr>
        <w:ind w:left="720" w:right="579"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Projections of financial performance and management’s plans and objectives for future operations, including restructuring and integration efforts;</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The impact of acquisitions, equity investments, or other financial transactions;</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Commentary on macroeconomic trends or global events and their potential impact on Calavo’s performance;</w:t>
      </w:r>
    </w:p>
    <w:p>
      <w:pPr>
        <w:ind w:left="720" w:hanging="325"/>
        <w:spacing w:after="0" w:line="20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Updates on legal matters, investigations, or tax disputes;</w:t>
      </w:r>
    </w:p>
    <w:p>
      <w:pPr>
        <w:ind w:left="720" w:right="439" w:hanging="325"/>
        <w:spacing w:after="0" w:line="21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potential impacts of changes in U.S. and foreign trade policy, including tariffs and quotas, on our sourcing, costs, pricing, and demand;</w:t>
      </w:r>
    </w:p>
    <w:p>
      <w:pPr>
        <w:ind w:left="720" w:right="359" w:hanging="325"/>
        <w:spacing w:after="0" w:line="21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our cybersecurity risk management, planned enhancements to controls and documentation, and the potential impact of cyber incidents on operations, liquidity, or results;</w:t>
      </w:r>
    </w:p>
    <w:p>
      <w:pPr>
        <w:jc w:val="both"/>
        <w:ind w:left="720" w:right="519" w:hanging="325"/>
        <w:spacing w:after="0" w:line="22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working capital and liquidity, including the timing and magnitude of tariff prepayments and the timing of Impuesto al Valor Agregado, or value-added tax (“IVA”), refund collections in Mexico, as discussed in Note 9 to our unaudited condensed consolidated financial statements (the “interim financial statements”);</w:t>
      </w:r>
    </w:p>
    <w:p>
      <w:pPr>
        <w:ind w:left="720" w:right="139" w:hanging="325"/>
        <w:spacing w:after="0" w:line="20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xml:space="preserve">Statements regarding the timing and outcomes of legal and tax proceedings in Mexico, including the recovery of IVA receivables and the resolution of assessments by the </w:t>
      </w:r>
      <w:r>
        <w:rPr>
          <w:rFonts w:ascii="Times New Roman" w:cs="Times New Roman" w:eastAsia="Times New Roman" w:hAnsi="Times New Roman"/>
          <w:sz w:val="16"/>
          <w:szCs w:val="16"/>
          <w:color w:val="auto"/>
        </w:rPr>
        <w:t>Mexican Tax Administration Service (“SAT”),</w:t>
      </w:r>
      <w:r>
        <w:rPr>
          <w:rFonts w:ascii="Times New Roman" w:cs="Times New Roman" w:eastAsia="Times New Roman" w:hAnsi="Times New Roman"/>
          <w:sz w:val="15"/>
          <w:szCs w:val="15"/>
          <w:color w:val="auto"/>
        </w:rPr>
        <w:t xml:space="preserve"> and the effects of related court rulings;</w:t>
      </w:r>
    </w:p>
    <w:p>
      <w:pPr>
        <w:ind w:left="720" w:right="299" w:hanging="325"/>
        <w:spacing w:after="0" w:line="21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potential changes in Mexico’s tax policies or enforcement actions and the expected effects on our operations, costs, tax positions, or liquidity;</w:t>
      </w:r>
    </w:p>
    <w:p>
      <w:pPr>
        <w:ind w:left="720" w:right="259" w:hanging="325"/>
        <w:spacing w:after="0" w:line="23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the transactions contemplated by that certain Agreement and Plan of Merger (the “Merger Agreement”) dated January 14, 2026, by and among Calavo, Mission Produce, Inc. (“Mission Produce”) and certain subsidiaries of Mission Produce;</w:t>
      </w:r>
    </w:p>
    <w:p>
      <w:pPr>
        <w:ind w:left="720" w:right="119" w:hanging="325"/>
        <w:spacing w:after="0" w:line="23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Statements regarding the expected timing, completion, and potential benefits of the proposed merger with Mission Produce, including the satisfaction of closing conditions, regulatory approvals, shareholder approvals, and potential integration risks;</w:t>
      </w:r>
    </w:p>
    <w:p>
      <w:pPr>
        <w:ind w:left="720" w:right="239" w:hanging="325"/>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Risks associated with obtaining required governmental approvals for the proposed merger, including potential delays, conditions, or the inability to complete the transaction.</w:t>
      </w:r>
    </w:p>
    <w:p>
      <w:pPr>
        <w:spacing w:after="0" w:line="154" w:lineRule="exact"/>
        <w:rPr>
          <w:sz w:val="20"/>
          <w:szCs w:val="20"/>
          <w:color w:val="auto"/>
        </w:rPr>
      </w:pPr>
    </w:p>
    <w:p>
      <w:pPr>
        <w:ind w:left="40" w:right="259" w:firstLine="259"/>
        <w:spacing w:after="0" w:line="280" w:lineRule="auto"/>
        <w:rPr>
          <w:sz w:val="20"/>
          <w:szCs w:val="20"/>
          <w:color w:val="auto"/>
        </w:rPr>
      </w:pPr>
      <w:r>
        <w:rPr>
          <w:rFonts w:ascii="Times New Roman" w:cs="Times New Roman" w:eastAsia="Times New Roman" w:hAnsi="Times New Roman"/>
          <w:sz w:val="15"/>
          <w:szCs w:val="15"/>
          <w:color w:val="auto"/>
        </w:rPr>
        <w:t>The words “anticipates,” “expects,” “intends,” “plans,” “believes,” “seeks,” “estimates,” “projects,” and similar expressions often indicate forward-looking statements.</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Factors that may cause actual results to differ materially from these forward-looking statements include, but are not limited to:</w:t>
      </w:r>
    </w:p>
    <w:p>
      <w:pPr>
        <w:spacing w:after="0" w:line="150" w:lineRule="exact"/>
        <w:rPr>
          <w:sz w:val="20"/>
          <w:szCs w:val="20"/>
          <w:color w:val="auto"/>
        </w:rPr>
      </w:pPr>
    </w:p>
    <w:p>
      <w:pPr>
        <w:ind w:left="720" w:hanging="325"/>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Our ability to successfully execute operating and restructuring initiatives;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The potential long-term effects of capital expenditure reductions;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Adverse weather impacting supply and costs;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Volatility in avocado and raw material prices (including packaging, paper, and fuel);</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Risks related to enhanced regulatory scrutiny or inspection protocols;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Supply chain disruptions;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Risks from current or future acquisitions, including integration;</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Data breaches or cybersecurity incidents;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Dependency on large customers and key personnel;</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Labor availability and wage inflation;</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Co-packer reliance and competitive pressures;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Product recalls or food safety issues;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Shifting consumer preferences and sustainability trends;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Environmental regulations and climate-related supply risk;</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Global trade complexities, including restrictions, tariffs, and currency movements;</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Exposure to unconsolidated entities and the volatility of our stock;</w:t>
      </w:r>
    </w:p>
    <w:p>
      <w:pPr>
        <w:ind w:left="720" w:hanging="325"/>
        <w:spacing w:after="0" w:line="20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The resolution of pending matters with the SAT and the risk of unfavorable legal or administrative outcomes;</w:t>
      </w:r>
    </w:p>
    <w:p>
      <w:pPr>
        <w:ind w:left="720" w:right="559" w:hanging="325"/>
        <w:spacing w:after="0" w:line="22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Risks related to our ability to effect the transactions contemplated by the Merger Agreement and the anticipated benefits of the transactions contemplated by the Merger Agreement.</w:t>
      </w:r>
    </w:p>
    <w:p>
      <w:pPr>
        <w:spacing w:after="0" w:line="140" w:lineRule="exact"/>
        <w:rPr>
          <w:sz w:val="20"/>
          <w:szCs w:val="20"/>
          <w:color w:val="auto"/>
        </w:rPr>
      </w:pPr>
    </w:p>
    <w:p>
      <w:pPr>
        <w:ind w:left="40" w:right="399" w:firstLine="259"/>
        <w:spacing w:after="0" w:line="245" w:lineRule="auto"/>
        <w:rPr>
          <w:sz w:val="20"/>
          <w:szCs w:val="20"/>
          <w:color w:val="auto"/>
        </w:rPr>
      </w:pPr>
      <w:r>
        <w:rPr>
          <w:rFonts w:ascii="Times New Roman" w:cs="Times New Roman" w:eastAsia="Times New Roman" w:hAnsi="Times New Roman"/>
          <w:sz w:val="15"/>
          <w:szCs w:val="15"/>
          <w:color w:val="auto"/>
        </w:rPr>
        <w:t>Additional information about these and other risks is included in our most recent Annual Report on Form 10-K for the fiscal year ended October 31, 2025, as amended, and in our subsequent Quarterly Reports on Form 10-Q and other filings with the Securities and Exchange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Commission.</w:t>
      </w:r>
    </w:p>
    <w:p>
      <w:pPr>
        <w:spacing w:after="0" w:line="95"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5"/>
          <w:szCs w:val="15"/>
          <w:color w:val="auto"/>
        </w:rPr>
        <w:t>Forward-looking statements are made as of the date of this Quarterly Report on Form 10-Q. We undertake no obligation to update or revise them, except as required by applicable securities laws.</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438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146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Condensed Consolidated Balance Sheets (Unaudited)</w:t>
            </w:r>
          </w:p>
        </w:tc>
        <w:tc>
          <w:tcPr>
            <w:tcW w:w="3320" w:type="dxa"/>
            <w:vAlign w:val="bottom"/>
            <w:gridSpan w:val="7"/>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Condensed Consolidated Statements of Operations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Condensed Consolidated Statements of Cash Flows (Unaudited)</w:t>
            </w:r>
          </w:p>
        </w:tc>
        <w:tc>
          <w:tcPr>
            <w:tcW w:w="2620" w:type="dxa"/>
            <w:vAlign w:val="bottom"/>
            <w:gridSpan w:val="4"/>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Condensed Consolidated Statements of Shareholders’ Equity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2020" w:type="dxa"/>
            <w:vAlign w:val="bottom"/>
            <w:gridSpan w:val="2"/>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4960" w:type="dxa"/>
            <w:vAlign w:val="bottom"/>
            <w:gridSpan w:val="9"/>
          </w:tcPr>
          <w:p>
            <w:pPr>
              <w:spacing w:after="0"/>
              <w:rPr>
                <w:sz w:val="24"/>
                <w:szCs w:val="24"/>
                <w:color w:val="auto"/>
              </w:rPr>
            </w:pPr>
          </w:p>
        </w:tc>
        <w:tc>
          <w:tcPr>
            <w:tcW w:w="146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0" w:type="dxa"/>
            <w:vAlign w:val="bottom"/>
            <w:tcBorders>
              <w:left w:val="single" w:sz="8" w:color="0000EE"/>
            </w:tcBorders>
            <w:gridSpan w:val="1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67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0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100" w:type="dxa"/>
            <w:vAlign w:val="bottom"/>
            <w:gridSpan w:val="14"/>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66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61,155</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$2,539 (2026) and $3,336 (2025)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31,647</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33,604</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r>
      <w:tr>
        <w:trPr>
          <w:trHeight w:val="196"/>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152,632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149,426</w:t>
            </w: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49,435</w:t>
            </w: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w:t>
            </w: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56,317</w:t>
            </w:r>
          </w:p>
        </w:tc>
      </w:tr>
      <w:tr>
        <w:trPr>
          <w:trHeight w:val="236"/>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298,183</w:t>
            </w:r>
          </w:p>
        </w:tc>
        <w:tc>
          <w:tcPr>
            <w:tcW w:w="30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r>
      <w:tr>
        <w:trPr>
          <w:trHeight w:val="183"/>
        </w:trPr>
        <w:tc>
          <w:tcPr>
            <w:tcW w:w="6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 tax liability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196"/>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60,480</w:t>
            </w: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w:t>
            </w: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finance leases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r>
      <w:tr>
        <w:trPr>
          <w:trHeight w:val="196"/>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17,874 (2026) and 17,855 (2025)</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179,082</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24,996</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27,840</w:t>
            </w:r>
          </w:p>
        </w:tc>
      </w:tr>
      <w:tr>
        <w:trPr>
          <w:trHeight w:val="196"/>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Calavo Growers, Inc. shareholders' equity</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206,940</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196"/>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207,341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208,558</w:t>
            </w:r>
          </w:p>
        </w:tc>
      </w:tr>
      <w:tr>
        <w:trPr>
          <w:trHeight w:val="196"/>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298,183</w:t>
            </w:r>
          </w:p>
        </w:tc>
        <w:tc>
          <w:tcPr>
            <w:tcW w:w="30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292,249</w:t>
            </w:r>
          </w:p>
        </w:tc>
      </w:tr>
      <w:tr>
        <w:trPr>
          <w:trHeight w:val="20"/>
        </w:trPr>
        <w:tc>
          <w:tcPr>
            <w:tcW w:w="6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107,018</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net income (loss) from unconsolidated entities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unconsolidated entities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per share: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52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 from unconsolidated entities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sale of Temecula packinghouse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loss on disposal of property, plant, and equipment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Advances (from) to suppliers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receivable/payable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to (from) growers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 accounts payable, accrued expenses and other liabilities</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dividend to shareholders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Payments of minimum withholding taxes on net share settlement of equity awards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long-term obligations and finance leases</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w:t>
            </w: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beginning of period</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61,155</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end of period</w:t>
            </w: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47,670</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48,490</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Agricola Belher infrastructure advance offset against payable to growers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5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Property, plant, and equipment included in trade accounts payable and accrued expenses</w:t>
            </w:r>
          </w:p>
        </w:tc>
        <w:tc>
          <w:tcPr>
            <w:tcW w:w="4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vMerge w:val="continue"/>
          </w:tcPr>
          <w:p>
            <w:pPr>
              <w:spacing w:after="0"/>
              <w:rPr>
                <w:sz w:val="15"/>
                <w:szCs w:val="15"/>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10"/>
          </w:tcPr>
          <w:p>
            <w:pPr>
              <w:ind w:left="80"/>
              <w:spacing w:after="0"/>
              <w:rPr>
                <w:sz w:val="20"/>
                <w:szCs w:val="20"/>
                <w:color w:val="auto"/>
              </w:rPr>
            </w:pPr>
            <w:r>
              <w:rPr>
                <w:rFonts w:ascii="Times New Roman" w:cs="Times New Roman" w:eastAsia="Times New Roman" w:hAnsi="Times New Roman"/>
                <w:sz w:val="13"/>
                <w:szCs w:val="13"/>
                <w:b w:val="1"/>
                <w:bCs w:val="1"/>
                <w:color w:val="auto"/>
              </w:rPr>
              <w:t>CALAVO GROWERS, INC.</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gridSpan w:val="23"/>
          </w:tcPr>
          <w:p>
            <w:pPr>
              <w:ind w:left="154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SHAREHOLDERS’ EQUITY (UNAUDITED)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6"/>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31, 2025</w:t>
            </w: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17,855</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179,082</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27,840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1,618</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208,558</w:t>
            </w:r>
          </w:p>
        </w:tc>
        <w:tc>
          <w:tcPr>
            <w:tcW w:w="0" w:type="dxa"/>
            <w:vAlign w:val="bottom"/>
          </w:tcPr>
          <w:p>
            <w:pPr>
              <w:spacing w:after="0"/>
              <w:rPr>
                <w:sz w:val="1"/>
                <w:szCs w:val="1"/>
                <w:color w:val="auto"/>
              </w:rPr>
            </w:pPr>
          </w:p>
        </w:tc>
      </w:tr>
      <w:tr>
        <w:trPr>
          <w:trHeight w:val="126"/>
        </w:trPr>
        <w:tc>
          <w:tcPr>
            <w:tcW w:w="3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stock-</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based compensation, net of tax withholdings</w:t>
            </w: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to shareholders (0.20 per share)</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w:t>
            </w:r>
          </w:p>
        </w:tc>
        <w:tc>
          <w:tcPr>
            <w:tcW w:w="0" w:type="dxa"/>
            <w:vAlign w:val="bottom"/>
          </w:tcPr>
          <w:p>
            <w:pPr>
              <w:spacing w:after="0"/>
              <w:rPr>
                <w:sz w:val="1"/>
                <w:szCs w:val="1"/>
                <w:color w:val="auto"/>
              </w:rPr>
            </w:pPr>
          </w:p>
        </w:tc>
      </w:tr>
      <w:tr>
        <w:trPr>
          <w:trHeight w:val="126"/>
        </w:trPr>
        <w:tc>
          <w:tcPr>
            <w:tcW w:w="3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Payment of minimum withholding of taxes on net share</w:t>
            </w:r>
          </w:p>
        </w:tc>
        <w:tc>
          <w:tcPr>
            <w:tcW w:w="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equity awards</w:t>
            </w: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Calavo Growers, Inc.</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42"/>
        </w:trPr>
        <w:tc>
          <w:tcPr>
            <w:tcW w:w="3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31, 2026</w:t>
            </w: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17,874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180,637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24,996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207,341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31, 2024</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17,802</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460" w:type="dxa"/>
            <w:vAlign w:val="bottom"/>
            <w:shd w:val="clear" w:color="auto" w:fill="CCEEFF"/>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177,973</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22,341</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1,444</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201,776</w:t>
            </w:r>
          </w:p>
        </w:tc>
        <w:tc>
          <w:tcPr>
            <w:tcW w:w="0" w:type="dxa"/>
            <w:vAlign w:val="bottom"/>
          </w:tcPr>
          <w:p>
            <w:pPr>
              <w:spacing w:after="0"/>
              <w:rPr>
                <w:sz w:val="1"/>
                <w:szCs w:val="1"/>
                <w:color w:val="auto"/>
              </w:rPr>
            </w:pPr>
          </w:p>
        </w:tc>
      </w:tr>
      <w:tr>
        <w:trPr>
          <w:trHeight w:val="126"/>
        </w:trPr>
        <w:tc>
          <w:tcPr>
            <w:tcW w:w="3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stock-based</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net of tax withholdings</w:t>
            </w: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to shareholders (0.20 per share)</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5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Calavo Growers, Inc.</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4,415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4,415</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31, 2025</w:t>
            </w:r>
          </w:p>
        </w:tc>
        <w:tc>
          <w:tcPr>
            <w:tcW w:w="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17,837</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178,198</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23,189</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sourcing, packing and distribution of fresh avocados, tomatoes, and papayas and processing of guacamole and other avocado products. Drawing on decades of expertise with fresh and prepared produce, we deliver a broad portfolio of products to retail grocers, club and mass-merchandise stores, foodservice operators, and wholesalers worldwide. We procure avocado products from California, Mexico and other key growing regions. Across our operating facilities, we (i) sort, pack, ripen and ship avocados, tomatoes, and Hawaiian-grown papayas, all of which we procure primarily from independent growers, and (ii) process and package fresh and frozen guacamole and related products. Our products are distributed both domestically and internationally.</w:t>
      </w:r>
    </w:p>
    <w:p>
      <w:pPr>
        <w:spacing w:after="0" w:line="192"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We report results under two segments: Fresh and Prepared. The Fresh segment consists of fresh avocados, tomatoes and papayas. The Prepared segment consists of guacamole and related products sold at retail locations and to foodservice operators. See Note 2 to our interim financial statements for further information about our business segments.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“interim financial statements”) have been prepared by us in accordance with accounting principles generally accepted in the United States (“GAAP”) and with the instructions to this Quarterly Report on Form 10-Q and Article 10 of Regulation S-X promulgated by the Securities and Exchange Commission (“SEC”). Accordingly, they do not include all the information and footnotes required by GAAP for complete financial statements. In the opinion of management, the accompanying interim financial statements contain all adjustments, consisting of adjustments of a normal recurring nature necessary to present fairly our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our Annual Report on Form 10-K for the fiscal year ended October 31, 2025, as amended.</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2025-06, “Intangibles—Goodwill and Other—Internal-Use Software (Topic 350-40): Targeted Improvements”. This ASU provides updated guidance clarifying the capitalization of costs related to internal-use software, including enhanced guidance on cloud computing arrangements. ASU 2025-06 is effective for annual periods beginning after December 15, 2027, and interim periods within those fiscal years, with early adoption permitted. We are currently evaluating the potential effect of this ASU on our accounting for internal-use software development costs.</w:t>
      </w:r>
    </w:p>
    <w:p>
      <w:pPr>
        <w:spacing w:after="0" w:line="187"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August 2025, the FASB issued ASU 2025-05, “Financial Instruments—Credit Losses (Topic 326): Measurement of Credit Losses for Trade Receivables and Contract Assets”. This ASU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We are currently evaluating the potential effect of this ASU on our credit loss estimation methodology.</w:t>
      </w:r>
    </w:p>
    <w:p>
      <w:pPr>
        <w:spacing w:after="0" w:line="18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expands interim and annual requirements to include disclosure about specific types of expenses included in the expense captions presented on the face of the income statement as well as disclosures about selling expenses. The guidance will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be effective for annual periods beginning after December 15, 2026, with either retrospective or prospective application. The ASU allows for early adoption of these requirements. We are currently evaluating the potential effect that this ASU will have on our financial statement disclosures.</w:t>
      </w:r>
    </w:p>
    <w:p>
      <w:pPr>
        <w:spacing w:after="0" w:line="176"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amends Accounting Standards Codification (“ASC”) 740 to enhance the nature of disclosures for income taxes. Specifically, the ASU requires public business entities to disclose additional information in categories defined within the ASU within the reconciliation of the effective tax rate to the statutory rate for federal, state and foreign income taxes. Additionally, the ASU requires disclosure of taxes paid, net of refunds received, disaggregated by federal, state and foreign taxes. ASU 2023-09 is effective for years beginning after December 15, 2024, with early adoption permitted. We are currently evaluating the potential effect that this ASU will have on our financial statement disclosures.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229" w:lineRule="exact"/>
        <w:rPr>
          <w:sz w:val="20"/>
          <w:szCs w:val="20"/>
          <w:color w:val="auto"/>
        </w:rPr>
      </w:pPr>
    </w:p>
    <w:p>
      <w:pPr>
        <w:ind w:left="40" w:right="419" w:firstLine="259"/>
        <w:spacing w:after="0" w:line="289" w:lineRule="auto"/>
        <w:rPr>
          <w:sz w:val="20"/>
          <w:szCs w:val="20"/>
          <w:color w:val="auto"/>
        </w:rPr>
      </w:pPr>
      <w:r>
        <w:rPr>
          <w:rFonts w:ascii="Times New Roman" w:cs="Times New Roman" w:eastAsia="Times New Roman" w:hAnsi="Times New Roman"/>
          <w:sz w:val="17"/>
          <w:szCs w:val="17"/>
          <w:color w:val="auto"/>
        </w:rPr>
        <w:t>We are principally engaged in the procurement, marketing and distribution of fresh and prepared avocado products. While the majority of our sales are within the United States, we also service international markets including Canada, Mexico, Europe, and Asia. Our key sourcing and production operations are located in the United States and Mexico.</w:t>
      </w:r>
    </w:p>
    <w:p>
      <w:pPr>
        <w:spacing w:after="0" w:line="158"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Our business is comprised of two reportable segments, both of which represent our primary businesses of fresh produce and prepared avocado products.</w:t>
      </w:r>
    </w:p>
    <w:p>
      <w:pPr>
        <w:spacing w:after="0" w:line="162" w:lineRule="exact"/>
        <w:rPr>
          <w:sz w:val="20"/>
          <w:szCs w:val="20"/>
          <w:color w:val="auto"/>
        </w:rPr>
      </w:pPr>
    </w:p>
    <w:p>
      <w:pPr>
        <w:ind w:left="720" w:hanging="325"/>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Fresh</w:t>
      </w:r>
      <w:r>
        <w:rPr>
          <w:rFonts w:ascii="Times New Roman" w:cs="Times New Roman" w:eastAsia="Times New Roman" w:hAnsi="Times New Roman"/>
          <w:sz w:val="18"/>
          <w:szCs w:val="18"/>
          <w:color w:val="auto"/>
        </w:rPr>
        <w:t xml:space="preserve"> — includes avocados, tomatoes, papayas, and other fresh produce products.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Prepared</w:t>
      </w:r>
      <w:r>
        <w:rPr>
          <w:rFonts w:ascii="Times New Roman" w:cs="Times New Roman" w:eastAsia="Times New Roman" w:hAnsi="Times New Roman"/>
          <w:sz w:val="18"/>
          <w:szCs w:val="18"/>
          <w:color w:val="auto"/>
        </w:rPr>
        <w:t xml:space="preserve"> — includes guacamole and related products sold to retail and foodservice customers.</w:t>
      </w:r>
    </w:p>
    <w:p>
      <w:pPr>
        <w:spacing w:after="0" w:line="247"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The CODM uses segment gross profit, calculated as net sales less cost of sales, as the primary measure in assessing segment performance and determining allocation of resources, with these determinations generally made as part of our annual budgeting process. Reviews of segment performance by the CODM occur regularly throughout the year, including quarterly review of budget-to-actual results, which can result in allocation changes if deemed appropriate. The CODM does not evaluate, manage or measure performance of segments using asset information. Accordingly, assets by segment are not disclosed.</w:t>
      </w:r>
    </w:p>
    <w:p>
      <w:pPr>
        <w:spacing w:after="0" w:line="214" w:lineRule="exact"/>
        <w:rPr>
          <w:sz w:val="20"/>
          <w:szCs w:val="20"/>
          <w:color w:val="auto"/>
        </w:rPr>
      </w:pPr>
    </w:p>
    <w:p>
      <w:pPr>
        <w:ind w:left="4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our net sales by product category (in thousands), and, in each case, the percentage of total represented thereby: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Fresh</w:t>
            </w:r>
          </w:p>
        </w:tc>
        <w:tc>
          <w:tcPr>
            <w:tcW w:w="1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80" w:type="dxa"/>
            <w:vAlign w:val="bottom"/>
            <w:vMerge w:val="continue"/>
          </w:tcPr>
          <w:p>
            <w:pPr>
              <w:spacing w:after="0"/>
              <w:rPr>
                <w:sz w:val="15"/>
                <w:szCs w:val="15"/>
                <w:color w:val="auto"/>
              </w:rPr>
            </w:pPr>
          </w:p>
        </w:tc>
        <w:tc>
          <w:tcPr>
            <w:tcW w:w="18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Avocados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95,052</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123,839</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Tomatoes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22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28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Papayas and other</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sales allowances</w:t>
            </w:r>
          </w:p>
        </w:tc>
        <w:tc>
          <w:tcPr>
            <w:tcW w:w="17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Fresh sales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104,687</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139,795</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Prepared</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Guacamole and related products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15,983</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sales allowances</w:t>
            </w:r>
          </w:p>
        </w:tc>
        <w:tc>
          <w:tcPr>
            <w:tcW w:w="17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2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Prepared sales</w:t>
            </w:r>
          </w:p>
        </w:tc>
        <w:tc>
          <w:tcPr>
            <w:tcW w:w="1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17,515</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196"/>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7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122,202</w:t>
            </w:r>
          </w:p>
        </w:tc>
        <w:tc>
          <w:tcPr>
            <w:tcW w:w="22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154,385</w:t>
            </w:r>
          </w:p>
        </w:tc>
        <w:tc>
          <w:tcPr>
            <w:tcW w:w="28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our net sales by geographic region (in thousands), and, in each case, the percentage of total represented thereby: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600" w:type="dxa"/>
            <w:vAlign w:val="bottom"/>
            <w:tcBorders>
              <w:bottom w:val="single" w:sz="8" w:color="auto"/>
            </w:tcBorders>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r>
      <w:tr>
        <w:trPr>
          <w:trHeight w:val="183"/>
        </w:trPr>
        <w:tc>
          <w:tcPr>
            <w:tcW w:w="334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880" w:type="dxa"/>
            <w:vAlign w:val="bottom"/>
            <w:gridSpan w:val="2"/>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111,077</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$ 142,648</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92 %</w:t>
            </w:r>
          </w:p>
        </w:tc>
      </w:tr>
      <w:tr>
        <w:trPr>
          <w:trHeight w:val="202"/>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22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60" w:type="dxa"/>
            <w:vAlign w:val="bottom"/>
          </w:tcPr>
          <w:p>
            <w:pPr>
              <w:spacing w:after="0"/>
              <w:rPr>
                <w:sz w:val="17"/>
                <w:szCs w:val="17"/>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5 %</w:t>
            </w:r>
          </w:p>
        </w:tc>
      </w:tr>
      <w:tr>
        <w:trPr>
          <w:trHeight w:val="20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w:t>
            </w: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2 %</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6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0 %</w:t>
            </w:r>
          </w:p>
        </w:tc>
      </w:tr>
      <w:tr>
        <w:trPr>
          <w:trHeight w:val="196"/>
        </w:trPr>
        <w:tc>
          <w:tcPr>
            <w:tcW w:w="3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sales</w:t>
            </w: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$ 154,385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by reportable segment, including net sales, cost of sales, and gross profit (in thousands):</w:t>
      </w: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3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3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3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2026 and 2025, intercompany sales and cost of sales of $0.1 million and $0.4 million between Fresh products and Prepared products were eliminated.</w:t>
      </w:r>
    </w:p>
    <w:p>
      <w:pPr>
        <w:spacing w:after="0" w:line="162"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indicates our long-lived assets, which consists of property, plant, and equipment, net, by geographic region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38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3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r>
      <w:tr>
        <w:trPr>
          <w:trHeight w:val="21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09"/>
        </w:trPr>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49,435</w:t>
            </w:r>
          </w:p>
        </w:tc>
      </w:tr>
      <w:tr>
        <w:trPr>
          <w:trHeight w:val="20"/>
        </w:trPr>
        <w:tc>
          <w:tcPr>
            <w:tcW w:w="3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write-downs of inventory based on our assessment of market conditions. Inventory includes reserves of $1.2 million and $0.3 million as of January 31, 2026 and October 31, 2025. The reserve recorded reflects both write-downs to net realizable value and/or reserves for slow-moving inventories and amounts estimated not to be sold.</w:t>
      </w:r>
    </w:p>
    <w:p>
      <w:pPr>
        <w:spacing w:after="0" w:line="17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 &amp; Former Chief Executive Officer</w:t>
      </w:r>
    </w:p>
    <w:p>
      <w:pPr>
        <w:spacing w:after="0" w:line="227"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Certain members of our Board of Directors (the “Board”) market California avocados through Calavo pursuant to marketing agreements substantially similar to those entered into with other independent growers. For the three months ended January 31, 2026, we did not procure avocados from entities owned or controlled by members of our Board, compared to the procurement of $0.6 million for the three months ended January 31, 2025. As of January 31, 2026, there were no amounts payable to such entities, compared to $0.5 million as of October 31, 2025.</w:t>
      </w:r>
    </w:p>
    <w:p>
      <w:pPr>
        <w:spacing w:after="0" w:line="183"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31, 2026, we did not procure any avocados from entities affiliated with our former Chief Executive Officer, who retired on December 8, 2025, compared to $1.1 million for the three months ended January 31, 2025. As of January 31, 2026, there were no amounts payable to such entities, compared to less than $0.1 million as of October 31, 2025.</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319" w:firstLine="259"/>
        <w:spacing w:after="0" w:line="266" w:lineRule="auto"/>
        <w:rPr>
          <w:sz w:val="20"/>
          <w:szCs w:val="20"/>
          <w:color w:val="auto"/>
        </w:rPr>
      </w:pPr>
      <w:r>
        <w:rPr>
          <w:rFonts w:ascii="Times New Roman" w:cs="Times New Roman" w:eastAsia="Times New Roman" w:hAnsi="Times New Roman"/>
          <w:sz w:val="18"/>
          <w:szCs w:val="18"/>
          <w:color w:val="auto"/>
        </w:rPr>
        <w:t>Calavo Growers de Mexico S.A. de C.V. (“Calavo Growers de Mexico”) and Agricola Belher (“Belher”) each hold a 50%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As of January 31, 2026, and October 31, 2025, we had an investment of $1.7 million and $2.2 million, representing Calavo Growers de Mexico’s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January 31, 2026 and 2025, we advanced $0.0 million and $0.2 million of preseason advances to Don Memo. As of January 31, 2026 and October 31, 2025, we had outstanding advances of $7.3 million and $7.9 million to Don Memo.</w:t>
      </w:r>
    </w:p>
    <w:p>
      <w:pPr>
        <w:spacing w:after="0" w:line="189"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up to $2.4 million secured by certain property and equipment of Don Memo. This infrastructure loan accrues interest at 7.25%. The total outstanding infrastructure loan balance both at January 31, 2026 and at October 31, 2025, was $1.6 million which is included in prepaids and other current assets, and the balance is expected to be paid over the course of fiscal year 2026. During the three months ended January 31, 2026 and 2025, we incurred $3.7 million and $8.0 million of cost of sales to Don Memo pursuant to our Purchase Consignment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199" w:firstLine="259"/>
        <w:spacing w:after="0" w:line="253"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For the three months ended January 31, 2026 and 2025, we advanced $0.0 and $0.2 million of preseason advances to Belher. We had grower advances due from Belher totaling $8.0 million as of January 31, 2026 and $5.2 million as of October 31, 2025, which are recorded as advances to suppliers. In July 2021, we made a bridge loan of $3.5 million to Belher. This loan is secured by certain farmland in Mexico and accrues interest at 10%. As part of this Loan Agreement, we can withhold payments on both the infrastructure advances and the bridge loan by netting these amounts against the grower payable due to Belher. As of January 31, 2026, the bridge loan balance of $0.4 million was recorded in prepaid expenses and other current assets. As of October 31, 2025, the bridge loan balance was recorded as $0.5 million in prepaid expenses and other current assets. During the three months ended January 31, 2026 and 2025, we incurred $2.6 million and $2.7 million of cost of sales to Belher pursuant to our Purchase Consignment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partners to form Avocados de Jalisco, which is a Mexican corporation engaged in procuring, packing and selling avocados. This entity is approximately 83% owned by Calavo and is consolidated in our interim financial statements. Avocados de Jalisco built a packinghouse located in Jalisco, Mexico and began operations in June of 2017. During the three months ended January 31, 2026 and 2025, we purchased approximately $0.7 million and $0.2 million of avocados from the partners of Avocado de Jalisco.</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7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with Mission Produce, Inc.</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10-K for the fiscal year ended October 31, 2025, on January 14, 2026, the Company entered into an Agreement and Plan of Merger with Mission Produce. There have been no material changes to the terms of the Merger Agreement during the three months ended January 31, 2026. On March 9, 2026, Mission Produce filed a Registration Statement on Form S-4 with the SEC that includes a joint proxy statement of the Company and Mission Produce and a prospectus of Mission Produce relating to the proposed transaction.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January 28, 2026, we paid a dividend of $0.20 per share, or an aggregate of $3.6 million, to shareholders of record on January 13, 2026. On March 6, 2026, the Board declared a quarterly cash dividend of $0.20 per share to be paid on April 29, 2026, to shareholders of record on April 1,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2026, the Company recorded approximately $0.6 million related to a claim under California’s Private Attorneys General Act (“PAGA”) associated with our former Fresh Cut business, which was divested in the fourth fiscal quarter of 2024.</w:t>
      </w:r>
    </w:p>
    <w:p>
      <w:pPr>
        <w:spacing w:after="0" w:line="176"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Mexico Assessment</w:t>
      </w:r>
    </w:p>
    <w:p>
      <w:pPr>
        <w:spacing w:after="0" w:line="22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Administración Tributaria in Mexico (the “SAT”) related to an audit for fiscal year 2013 outlining certain proposed adjustments primarily related to intercompany funding, deductions for services from certain vendors/suppliers and tax receivables due from the Mexican government for value-added taxes (“IVA”). We provided a written rebuttal to these preliminary observations during the third fiscal quarter of 2017.</w:t>
      </w:r>
    </w:p>
    <w:p>
      <w:pPr>
        <w:spacing w:after="0" w:line="183"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 July 2018, a local office of the SAT in Mexico issued a final tax assessment (as adjusted from time to time, the “2013 Mexico Assessment”) totaling approximately 2.6 billion Mexican pesos (which included adjustments for interest, penalties, and inflation, and equals approximately $150.7 million U.S. dollars (“USD”) at January 31, 2026) related to a fiscal 2013 tax audit. The 2013 Mexico Assessment has been adjusted for interest, penalties, and inflation as of January 31, 2026 to the amount of 3.5 billion Mexican pesos (approximately $201.8 million USD). Additionally, the SAT determined that we owe our employees profit-sharing liability, totaling approximately 118 million Mexican pesos (approximately $6.8 million USD at January 31, 2026). In August 2018, we filed an Administrative Appeal on the 2013 Mexico Assessment, appealing our case to the SAT’s Central Legal Department in Michoacan, Mexico.</w:t>
      </w:r>
    </w:p>
    <w:p>
      <w:pPr>
        <w:spacing w:after="0" w:line="192"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Mexico Assessment as definitive. Consequently, the SAT placed liens on the fixed assets of CDM, with a net book value of approximately $26 million USD, and on bank accounts of CDM totaling approximately $1 million USD in order to guaranty the 2013 Mexico Assessment. Based on legal counsel from our tax advisory firm, we and our tax advisory firm have concluded that the March 2021 notification was not legally communicated.</w:t>
      </w:r>
    </w:p>
    <w:p>
      <w:pPr>
        <w:spacing w:after="0" w:line="18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Mexico, asserting that the resolution in March 2021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August 20, 2021, we filed a Nullity Trial with the Federal Tax Court of Mexico, which strongly contested that the notifications made by the SAT to CDM and its designated advisors related to the resolution of the Administrative Appeal in March 2021, were not legally communicated. In addition, the Nullity Trial asserts the same matters central to the Reconsideration, as described above, as wrongly concluded in the resolution of the Administrative Appeal.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we filed an extension of the Nullity Trial filed on August 20, 2021, as a result of the response to the lawsuit filed by the SAT, pointing out that the SAT’s resolution was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notification of the tax assessment; and</w:t>
      </w:r>
    </w:p>
    <w:p>
      <w:pPr>
        <w:spacing w:after="0" w:line="27" w:lineRule="exact"/>
        <w:rPr>
          <w:rFonts w:ascii="Times New Roman" w:cs="Times New Roman" w:eastAsia="Times New Roman" w:hAnsi="Times New Roman"/>
          <w:sz w:val="18"/>
          <w:szCs w:val="18"/>
          <w:color w:val="auto"/>
        </w:rPr>
      </w:pPr>
    </w:p>
    <w:p>
      <w:pPr>
        <w:ind w:left="660" w:right="139" w:hanging="333"/>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SAT was obliged to do so, among others.</w:t>
      </w:r>
    </w:p>
    <w:p>
      <w:pPr>
        <w:spacing w:after="0" w:line="222"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On November 14, 2023, the Federal Tax Court in Mexico acknowledged the admission of the extension to the lawsuit. Additionally, in November 2024, the Reconsideration and related injunction action were finalized. The SAT determined that the filing of the Reconsideration was not legally viable, citing the existence of a concurrent legal remedy, the Nullity Trial. Furthermore, the SAT noted a presumption that the Nullity Trial was filed within the required timeframe, as evidenced by its admission by the Federal Tax Court.</w:t>
      </w:r>
    </w:p>
    <w:p>
      <w:pPr>
        <w:spacing w:after="0" w:line="210"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In August 2025, a Federal Court in Mexico formally recognized CDM as operating as a maquiladora. This ruling relates to the IVA refund request covering the period from January to June 2013. In January and February 2026, a Federal Court in Mexico City issued two similar resolutions covering April, May, and November 2015. We believe this ruling further strengthens our position in the Nullity Trial and supports our arguments with respect to the 2013 Mexico Assessment.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determinations may be considered by the Federal Tax Court in connection with the Nullity Trial.</w:t>
      </w:r>
    </w:p>
    <w:p>
      <w:pPr>
        <w:spacing w:after="0" w:line="266"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While we continue to believe that the 2013 Mexico Assessment is completely without merit and that we will prevail in the Nullity Trial in the Federal Tax Court, we also believe it is in the best interest of CDM and the Company to settle the 2013 Mexico Assessment as quickly as possible.In accordance with our cumulative probability analysis on uncertain tax positions, settlements made by the SAT in other cases, such as the 2011 tax assessment settlement reached by CDM with the Ministry of Finance and Administration of the government of the State of Michoacan, Mexico, and the value of CDM assets, we recorded a provision of $11 million, in the third quarter of fiscal year 2021, as a discrete item in Provision for Income Taxes. The provision includes estimated fines, interest and inflationary adjustments.</w:t>
      </w:r>
    </w:p>
    <w:p>
      <w:pPr>
        <w:spacing w:after="0" w:line="189" w:lineRule="exact"/>
        <w:rPr>
          <w:sz w:val="20"/>
          <w:szCs w:val="20"/>
          <w:color w:val="auto"/>
        </w:rPr>
      </w:pPr>
    </w:p>
    <w:p>
      <w:pPr>
        <w:ind w:left="40" w:right="119" w:firstLine="259"/>
        <w:spacing w:after="0" w:line="289" w:lineRule="auto"/>
        <w:rPr>
          <w:sz w:val="20"/>
          <w:szCs w:val="20"/>
          <w:color w:val="auto"/>
        </w:rPr>
      </w:pPr>
      <w:r>
        <w:rPr>
          <w:rFonts w:ascii="Times New Roman" w:cs="Times New Roman" w:eastAsia="Times New Roman" w:hAnsi="Times New Roman"/>
          <w:sz w:val="17"/>
          <w:szCs w:val="17"/>
          <w:color w:val="auto"/>
        </w:rPr>
        <w:t>We believe that this provision remains appropriate as of January 31, 2026 based on our cumulative probability analysis. We incurred $0.2 million of related professional fees for the three months ended January 31, 2026 which have been recorded in Expenses related to Mexican Tax matters on the unaudited condensed consolidated statements of operations.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Years 2019 and 2020 Audits</w:t>
      </w:r>
    </w:p>
    <w:p>
      <w:pPr>
        <w:spacing w:after="0" w:line="229"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2013 Mexico Assessment, the SAT initiated an income tax audit of our subsidiary, CDM, for fiscal years 2019 and 2020 during the third quarter of fiscal 2025. The audits for fiscal years 2019 and 2020 are related. Under Mexican tax procedures, when the period available to audit a particular year is nearing expiration, the tax authorities may open an audit of a subsequent year to preserve their ability to review that year. As a result, the audits for fiscal years 2019 and 2020 are being evaluated together and both focus on whether CDM is properly classified as a maquiladora for Mexican tax purposes.</w:t>
      </w:r>
    </w:p>
    <w:p>
      <w:pPr>
        <w:spacing w:after="0" w:line="187"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responded to all information requests issued by the SAT in connection with the fiscal year 2020 audit. As of the date of this Quarterly Report on Form 10-Q, the SAT has not issued formal conclusions for fiscal year 2020, as they are considering their position with respect to the fiscal year 2019 audit, which is currently before the Mexican taxpayer advocacy authority, PRODECON.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January 31, 2026, no fiscal years are under audit by the SAT, other than fiscal years 2013, 2019, and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 contingency</w:t>
      </w:r>
    </w:p>
    <w:p>
      <w:pPr>
        <w:spacing w:after="0" w:line="229"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In conjunction with the sale of the Fresh Cut business (formerly referred to as the RFG business) on August 15, 2024, we assigned leases resulting in us being relieved of our primary obligation under these leases. As a result of these lease assignments, the buyer is the primary obligor under the leases, with us secondarily liable as a guarantor. If the buyer should fail to perform under a lease, we could be liable to fulfill any remaining lease obligation. The leases have an estimated remaining average term of 5.8 years as of October 31, 2025. The resulting maximum exposure includes $28.0 million of undiscounted future minimum base rent payments under these leases, and we may be obligated for variable lease payments, including common area maintenance, taxes, insurance and other charges, for the remainder of the lease terms. This amount represents the maximum known potential liability of rent payments under the leases, but outstanding rent payments can exist outside of our knowledge as a result of the landlord and tenant relationship being between two third parties. We do not believe it is probable that we will be required to satisfy these obligations.</w:t>
      </w:r>
    </w:p>
    <w:p>
      <w:pPr>
        <w:spacing w:after="0" w:line="194"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of January 31, 2026, we have not experienced any changes related to this contingency, and there were no new developments affecting its likelihood or potential financial impact. We continue to assess this obligation, but do not believe it is probable that we will be required to fulfill any obligations under these leases.</w:t>
      </w:r>
    </w:p>
    <w:p>
      <w:pPr>
        <w:spacing w:after="0" w:line="10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(in thousands, except per share amounts):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4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attributable to Calavo Growers, Inc:</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Mexican IVA Taxes Receivable</w:t>
      </w:r>
    </w:p>
    <w:p>
      <w:pPr>
        <w:spacing w:after="0" w:line="229"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As of January 31, 2026 and October 31, 2025, CDM IVA receivables, net of our estimated provision for uncollectable amounts, totaled $60.8 million (approximately 1.0 billion Mexican pesos) and $55.8 million (approximately 1.0 billion Mexican pesos). Historically, CDM received IVA refund payments from the SAT on a timely basis. Beginning in fiscal 2014 and continuing into fiscal 2026, the SAT began objecting to refund requests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58" w:lineRule="auto"/>
        <w:rPr>
          <w:sz w:val="20"/>
          <w:szCs w:val="20"/>
          <w:color w:val="auto"/>
        </w:rPr>
      </w:pPr>
      <w:r>
        <w:rPr>
          <w:rFonts w:ascii="Times New Roman" w:cs="Times New Roman" w:eastAsia="Times New Roman" w:hAnsi="Times New Roman"/>
          <w:sz w:val="18"/>
          <w:szCs w:val="18"/>
          <w:color w:val="auto"/>
        </w:rPr>
        <w:t>supporting documentation that had previously been deemed acceptable to process a refund. Additionally, the SAT is also contesting the refunds requested attributable to IVA paid to certain suppliers that allegedly did not fulfill their own tax obligations. We believe these factors and others have contributed to delays in the processing of IVA claims by the SAT. Currently, we are in the process of collecting such balances primarily through regular administrative processes, but these amounts may ultimately need to be recovered through Administrative Appeals and/or other legal means.</w:t>
      </w:r>
    </w:p>
    <w:p>
      <w:pPr>
        <w:spacing w:after="0" w:line="183"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SAT informed us that their internal opinion, based on the information provided by the local Servicio de Administracion Tributaria office, is that CDM was not properly documented relative to its declared tax structure and therefore CDM cannot claim the refundable IVA balance. We believe that CDM has strong arguments and supporting documentation to sustain its declared tax structure for IVA and income tax purposes. CDM started an Administrative Appeal for the IVA related to the refund requests for the months of July, August and September of 2015 (the “2015 Appeal”) in order to assert its argument that CDM is properly documented and to therefore change the SAT’s internal assessment. In August 2018, we received a favorable ruling from the SAT’s Legal Administration in Michoacan, Mexico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Nullity Trial in the Federal Tax Court to recover its full refund for IVA over the subject period.</w:t>
      </w:r>
    </w:p>
    <w:p>
      <w:pPr>
        <w:spacing w:after="0" w:line="190"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Federal Tax Court in Mexico issued the ruling for the months of July, August and September 2015 through which it was declared that the following resolutions were resolved:</w:t>
      </w:r>
    </w:p>
    <w:p>
      <w:pPr>
        <w:spacing w:after="0" w:line="162" w:lineRule="exact"/>
        <w:rPr>
          <w:sz w:val="20"/>
          <w:szCs w:val="20"/>
          <w:color w:val="auto"/>
        </w:rPr>
      </w:pPr>
    </w:p>
    <w:p>
      <w:pPr>
        <w:ind w:left="660" w:hanging="33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maquiladora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660" w:right="99" w:hanging="333"/>
        <w:spacing w:after="0" w:line="312"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all bank deposits corresponding to the purchase of avocados on behalf of Calavo are subject to the maquiladora program and it is not accruable income for purposes of income tax nor activities subject to IVA.</w:t>
      </w:r>
    </w:p>
    <w:p>
      <w:pPr>
        <w:spacing w:after="0" w:line="139" w:lineRule="exact"/>
        <w:rPr>
          <w:rFonts w:ascii="Times New Roman" w:cs="Times New Roman" w:eastAsia="Times New Roman" w:hAnsi="Times New Roman"/>
          <w:sz w:val="17"/>
          <w:szCs w:val="17"/>
          <w:color w:val="auto"/>
        </w:rPr>
      </w:pPr>
    </w:p>
    <w:p>
      <w:pPr>
        <w:ind w:left="660" w:right="399" w:hanging="333"/>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IVA is recoverable, since CDM demonstrated the existence of operations carried under the maquiladora services.</w:t>
      </w:r>
    </w:p>
    <w:p>
      <w:pPr>
        <w:spacing w:after="0" w:line="161" w:lineRule="exact"/>
        <w:rPr>
          <w:rFonts w:ascii="Times New Roman" w:cs="Times New Roman" w:eastAsia="Times New Roman" w:hAnsi="Times New Roman"/>
          <w:sz w:val="18"/>
          <w:szCs w:val="18"/>
          <w:color w:val="auto"/>
        </w:rPr>
      </w:pPr>
    </w:p>
    <w:p>
      <w:pPr>
        <w:jc w:val="both"/>
        <w:ind w:left="660" w:right="239" w:hanging="333"/>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certain IVA amounts attributed to the purchase of certain packing materials are not recoverable as CDM was not the buyer on record and therefore did not pay for the materials, which approximated 6.9 million Mexican pesos (approximately $0.4 million USD).</w:t>
      </w:r>
    </w:p>
    <w:p>
      <w:pPr>
        <w:spacing w:after="0" w:line="176"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the SAT refunded 36.7 million Mexican pesos in IVA (approximately $1.9 million USD), including inflationary adjustments, relating to claims for March, April, and November 2019. These refunds were secured directly from the SAT rather than through the court system.</w:t>
      </w:r>
    </w:p>
    <w:p>
      <w:pPr>
        <w:spacing w:after="0" w:line="176" w:lineRule="exact"/>
        <w:rPr>
          <w:sz w:val="20"/>
          <w:szCs w:val="20"/>
          <w:color w:val="auto"/>
        </w:rPr>
      </w:pPr>
    </w:p>
    <w:p>
      <w:pPr>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In August 2025, a Federal Court in Mexico formally recognized CDM as a maquiladora. In January and February 2026, a Federal Court in Mexico City issued two similar resolutions. We believe these rulings further strengthen and confirm our position regarding the recoverability of IVA receivables.</w:t>
      </w:r>
    </w:p>
    <w:p>
      <w:pPr>
        <w:spacing w:after="0" w:line="176"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tax advisors believe that there are legal grounds to prevail in collecting the corresponding IVA amounts. With assistance from our tax advisory firm, as of January 31, 2026, CDM had filed Administrative Appeals for months for which IVA refunds have been denied by the SAT and we expect to continue filing such appeals for any months for which refunds are denied in the future. Therefore, we believe it is probable that the SAT will ultimately authorize the refund of the remaining IVA amounts, although the timing of such recoveries remains uncertain.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evaluated subsequent events through March 12, 2026, the date these interim financial statements were issued.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59" w:firstLine="324"/>
        <w:spacing w:after="0" w:line="282" w:lineRule="auto"/>
        <w:rPr>
          <w:sz w:val="20"/>
          <w:szCs w:val="20"/>
          <w:color w:val="auto"/>
        </w:rPr>
      </w:pPr>
      <w:r>
        <w:rPr>
          <w:rFonts w:ascii="Times New Roman" w:cs="Times New Roman" w:eastAsia="Times New Roman" w:hAnsi="Times New Roman"/>
          <w:sz w:val="18"/>
          <w:szCs w:val="18"/>
          <w:color w:val="auto"/>
        </w:rPr>
        <w:t>On March 6, 2026, our Board declared a quarterly cash dividend of $0.20 per share to be paid on April 29, 2026, to shareholders of record on April 1, 2026.</w:t>
      </w:r>
    </w:p>
    <w:p>
      <w:pPr>
        <w:spacing w:after="0" w:line="162" w:lineRule="exact"/>
        <w:rPr>
          <w:sz w:val="20"/>
          <w:szCs w:val="20"/>
          <w:color w:val="auto"/>
        </w:rPr>
      </w:pPr>
    </w:p>
    <w:p>
      <w:pPr>
        <w:ind w:left="40" w:right="139" w:firstLine="324"/>
        <w:spacing w:after="0" w:line="282"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with the SEC relating to the proposed merger between the Company and Mission Produce.</w:t>
      </w:r>
    </w:p>
    <w:p>
      <w:pPr>
        <w:spacing w:after="0" w:line="162"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evaluated these matters as subsequent events and determined that no adjustment to our interim financial statements as of and for the three months ended January 31, 2026 was required.</w:t>
      </w:r>
    </w:p>
    <w:p>
      <w:pPr>
        <w:spacing w:after="0" w:line="158"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interim financial statements and the notes thereto included in this Quarterly Report on Form 10-Q, and the audited consolidated financial statements and notes thereto and Management's Discussion and Analysis of Financial Condition and Results of Operations contained in the Annual Report on Form 10-K for the fiscal year ended October 31, 2025,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Merger with Mission Produce</w:t>
      </w:r>
    </w:p>
    <w:p>
      <w:pPr>
        <w:spacing w:after="0" w:line="227"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fiscal year ended October 31, 2025, as amended, on January 14, 2026, the Company, Mission Produce and certain of Mission Produce’s subsidiaries entered into the Merger Agreement. There have been no material changes to the terms of the Merger Agreement during the three months ended January 31, 2026. On March 9, 2026, Mission Produce filed a Registration Statement on Form S-4 with the SEC that includes a joint proxy statement of the Company and Mission Produce and a prospectus of Mission Produce relating to the proposed transaction.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On January 28, 2026, we paid a dividend of $0.20 per share, or an aggregate of $3.6 million to shareholders of record on January 13, 2026. On March 9, 2026, the Board declared a quarterly cash dividend of $0.20 per share to be paid on April 29, 2026, to shareholders of record on April 1, 2026.</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54"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In February 2026, the Mexican avocado industry temporarily paused certain operations following a security-related event in the state of Jalisco. In response to the situation, U.S. government officials directed U.S. Department of Agriculture personnel supporting the avocado export program to limit certain field activities and remain at authorized packinghouse locations while continuing to oversee fruit inspections and related program protocols. As a result of the broader industry pause, operations at our facility in Mexico were temporarily suspended for approximately one day. The disruption did not have a material impact on our operations or financial results to date.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interim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months ended January 31, 2026, as compared to those disclosed in the “Management’s Discussion and Analysis of Financial Condition and Results of Operations—Critical Accounting Estimates” in our Annual Report on Form 10-K for our fiscal year ended October 31, 2025,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months ended January 31, 2026 and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52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8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720" w:type="dxa"/>
            <w:vAlign w:val="bottom"/>
            <w:gridSpan w:val="3"/>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322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$ 104,687</w:t>
            </w:r>
          </w:p>
        </w:tc>
        <w:tc>
          <w:tcPr>
            <w:tcW w:w="9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$ 139,795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4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$ 122,202</w:t>
            </w:r>
          </w:p>
        </w:tc>
        <w:tc>
          <w:tcPr>
            <w:tcW w:w="960" w:type="dxa"/>
            <w:vAlign w:val="bottom"/>
            <w:tcBorders>
              <w:bottom w:val="single" w:sz="8" w:color="CCEEFF"/>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$ 154,385</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86 %</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14 %</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r>
      <w:tr>
        <w:trPr>
          <w:trHeight w:val="209"/>
        </w:trPr>
        <w:tc>
          <w:tcPr>
            <w:tcW w:w="6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January 31, 2026, decreased by $32.2 million, or 21%, compared to the same period in fiscal 2025, to $122.2 million. This decrease was driven primarily by a 35% decrease in price per avocado carton, partially offset by a 17% increase in avocado carton volume and a 20% year-over-year increase in Prepared segment sales, primarily due to increased sales volumes.</w:t>
      </w:r>
    </w:p>
    <w:p>
      <w:pPr>
        <w:spacing w:after="0" w:line="180"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remain focused on expanding grower partnerships and strengthening relationships with retail and foodservice customers to support long-term net sales growth across both segments. Our Fresh and Prepared businesses are subject to seasonal trends, which may impact the volume and quality of raw materials sourced in any given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2026 vs. First Quarter 2025</w:t>
      </w:r>
    </w:p>
    <w:p>
      <w:pPr>
        <w:spacing w:after="0" w:line="225"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Fresh segment decreased by approximately $35.1 million, or 25%, for the three months ended January 31, 2026 compared to the same period in fiscal 2025. The decrease was primarily driven by lower avocado sales.</w:t>
      </w:r>
    </w:p>
    <w:p>
      <w:pPr>
        <w:spacing w:after="0" w:line="162" w:lineRule="exact"/>
        <w:rPr>
          <w:sz w:val="20"/>
          <w:szCs w:val="20"/>
          <w:color w:val="auto"/>
        </w:rPr>
      </w:pPr>
    </w:p>
    <w:p>
      <w:pPr>
        <w:ind w:left="1040" w:right="99" w:hanging="321"/>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sales decreased by $28.9 million, or 23%, due to a 35% decrease in average selling price per carton, which was partially offset by a 17% increase in carton volume. Average prices were lower year over year, primarily due to increased industry supply, including higher export volumes from Mexico, which placed downward pressure on market prices.</w:t>
      </w:r>
    </w:p>
    <w:p>
      <w:pPr>
        <w:spacing w:after="0" w:line="179" w:lineRule="exact"/>
        <w:rPr>
          <w:rFonts w:ascii="Times New Roman" w:cs="Times New Roman" w:eastAsia="Times New Roman" w:hAnsi="Times New Roman"/>
          <w:sz w:val="18"/>
          <w:szCs w:val="18"/>
          <w:color w:val="auto"/>
        </w:rPr>
      </w:pPr>
    </w:p>
    <w:p>
      <w:pPr>
        <w:ind w:left="1040" w:right="139" w:hanging="321"/>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sales decreased by $6.1 million, or 48%, primarily due to a 22% decline in carton volume and a 33% decrease in average selling price. The decline was primarily attributable to adverse weather conditions affecting supply and quality, elevated industry supply levels, and weaker market demand during the period, which collectively contributed to lower volumes and pricing.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2026 vs. First Quarter 2025</w:t>
      </w:r>
    </w:p>
    <w:p>
      <w:pPr>
        <w:spacing w:after="0" w:line="225"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Net sales for the Prepared segment increased by $2.9 million, or 20%, for the three months ended January 31, 2026, compared to the same period in fiscal 2025. The increase was primarily driven by a 21% increase in pounds sold of guacamole and related products, partially offset by a 1% decrease in average selling price per pound. Growth reflected expanded sales to existing customers and meaningful new customer wins across retail and foodservice customers in both domestic and international markets. Net sales also included a $0.8 million favorable adjustment to sales allowances based on recent claims experience and customer mix.</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months ended January 31, 2026, and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8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80" w:type="dxa"/>
            <w:vAlign w:val="bottom"/>
          </w:tcPr>
          <w:p>
            <w:pPr>
              <w:spacing w:after="0"/>
              <w:rPr>
                <w:sz w:val="15"/>
                <w:szCs w:val="15"/>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$ 10,313</w:t>
            </w:r>
          </w:p>
        </w:tc>
        <w:tc>
          <w:tcPr>
            <w:tcW w:w="10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$ 12,137</w:t>
            </w:r>
          </w:p>
        </w:tc>
        <w:tc>
          <w:tcPr>
            <w:tcW w:w="280" w:type="dxa"/>
            <w:vAlign w:val="bottom"/>
          </w:tcPr>
          <w:p>
            <w:pPr>
              <w:spacing w:after="0"/>
              <w:rPr>
                <w:sz w:val="18"/>
                <w:szCs w:val="18"/>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80" w:type="dxa"/>
            <w:vAlign w:val="bottom"/>
            <w:shd w:val="clear" w:color="auto" w:fill="CCEEFF"/>
          </w:tcPr>
          <w:p>
            <w:pPr>
              <w:spacing w:after="0"/>
              <w:rPr>
                <w:sz w:val="18"/>
                <w:szCs w:val="18"/>
                <w:color w:val="auto"/>
              </w:rPr>
            </w:pPr>
          </w:p>
        </w:tc>
      </w:tr>
      <w:tr>
        <w:trPr>
          <w:trHeight w:val="249"/>
        </w:trPr>
        <w:tc>
          <w:tcPr>
            <w:tcW w:w="3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4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$ 15,184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$ 15,728</w:t>
            </w:r>
          </w:p>
        </w:tc>
        <w:tc>
          <w:tcPr>
            <w:tcW w:w="280" w:type="dxa"/>
            <w:vAlign w:val="bottom"/>
            <w:tcBorders>
              <w:bottom w:val="single" w:sz="8" w:color="CCEEFF"/>
            </w:tcBorders>
          </w:tcPr>
          <w:p>
            <w:pPr>
              <w:spacing w:after="0"/>
              <w:rPr>
                <w:sz w:val="21"/>
                <w:szCs w:val="21"/>
                <w:color w:val="auto"/>
              </w:rPr>
            </w:pPr>
          </w:p>
        </w:tc>
      </w:tr>
      <w:tr>
        <w:trPr>
          <w:trHeight w:val="197"/>
        </w:trPr>
        <w:tc>
          <w:tcPr>
            <w:tcW w:w="38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34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34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28 %</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34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primarily of ingredient costs (including fruit and other food products), packing materials, freight and handling, labor, and overhead (including depreciation) associated with packing, distributing, and/or preparing food products, as well as other direct expenses related to products sold.</w:t>
      </w:r>
    </w:p>
    <w:p>
      <w:pPr>
        <w:spacing w:after="0" w:line="176"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Gross profit decreased by approximately $0.5 million, or 3%, for the three months ended January 31, 2026, compared to the corresponding period in fiscal 2025. The decrease primarily reflects lower gross profit in the Fresh segment resulting from lower avocado and tomato pricing, partially offset by higher gross profit in the Prepared segment driven by increased sales volumes, lower fruit input costs, and improved operating efficiencies.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jc w:val="both"/>
        <w:ind w:left="40" w:right="459"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by approximately $1.8 million, or 15% for the Fresh segment declined in the three months ended January 31, 2026, primarily due to lower pricing in avocados and tomatoes, as well as reduced tomato volumes.</w:t>
      </w:r>
    </w:p>
    <w:p>
      <w:pPr>
        <w:spacing w:after="0" w:line="162" w:lineRule="exact"/>
        <w:rPr>
          <w:sz w:val="20"/>
          <w:szCs w:val="20"/>
          <w:color w:val="auto"/>
        </w:rPr>
      </w:pPr>
    </w:p>
    <w:p>
      <w:pPr>
        <w:ind w:left="720" w:right="79" w:hanging="325"/>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gross profit decreased by approximately $2.0 million, or 18%, reflecting a 35% lower average selling price compared to the prior year as industry supply increased during the period, which exerted downward pressure on industry pricing and per-unit margins.</w:t>
      </w:r>
    </w:p>
    <w:p>
      <w:pPr>
        <w:spacing w:after="0" w:line="175" w:lineRule="exact"/>
        <w:rPr>
          <w:rFonts w:ascii="Times New Roman" w:cs="Times New Roman" w:eastAsia="Times New Roman" w:hAnsi="Times New Roman"/>
          <w:sz w:val="18"/>
          <w:szCs w:val="18"/>
          <w:color w:val="auto"/>
        </w:rPr>
      </w:pPr>
    </w:p>
    <w:p>
      <w:pPr>
        <w:ind w:left="720" w:right="119" w:hanging="325"/>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decreased by approximately $0.3 million, or 29%, driven by a 22% decline in carton volume and lower average selling prices. Market conditions during the quarter reflected freeze related disruptions in U.S. growing regions that impacted production and freight logistics, while favorable weather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59"/>
        <w:spacing w:after="0" w:line="282" w:lineRule="auto"/>
        <w:rPr>
          <w:sz w:val="20"/>
          <w:szCs w:val="20"/>
          <w:color w:val="auto"/>
        </w:rPr>
      </w:pPr>
      <w:r>
        <w:rPr>
          <w:rFonts w:ascii="Times New Roman" w:cs="Times New Roman" w:eastAsia="Times New Roman" w:hAnsi="Times New Roman"/>
          <w:sz w:val="18"/>
          <w:szCs w:val="18"/>
          <w:color w:val="auto"/>
        </w:rPr>
        <w:t>Mexico contributed to elevated industry supply. These factors, together with weaker demand, collectively pressured volumes and pricing.</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Prepared segment gross profit increased 36% to $4.9 million, driven primarily by higher sales volumes and improvement in unit profitability. Gross profit per pound for the Prepared segment increased by approximately 12% in the three months ended January 31, 2026 compared to the corresponding period in fiscal 2025, reflecting higher sales volumes and a favorable adjustment to sales allowances of approximately $0.8 million based on recent claims experience and customer mix.</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1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57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r>
      <w:tr>
        <w:trPr>
          <w:trHeight w:val="129"/>
        </w:trPr>
        <w:tc>
          <w:tcPr>
            <w:tcW w:w="5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60" w:type="dxa"/>
            <w:vAlign w:val="bottom"/>
            <w:gridSpan w:val="4"/>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1"/>
                <w:szCs w:val="1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$ 16,401  ​​​</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59 %</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$ 10,287  ​​​</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13 %</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7 %</w:t>
            </w:r>
          </w:p>
        </w:tc>
      </w:tr>
    </w:tbl>
    <w:p>
      <w:pPr>
        <w:spacing w:after="0" w:line="179"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totaled $16.4 million for the three months ended January 31, 2026. These expenses consist primarily of legal and consulting fees, marketing and advertising costs, sales expenses (including broker commissions), and other general and administrative costs.</w:t>
      </w:r>
    </w:p>
    <w:p>
      <w:pPr>
        <w:spacing w:after="0" w:line="176"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SG&amp;A expenses for the three months ended January 31, 2026 increased by $6.1 million, or 59%, compared to the corresponding period in fiscal 2025. The increase was primarily driven by $4.9 million of M&amp;A-related costs associated with the pending merger with Mission Produce and higher stock-based compensation of approximately $1.8 million. SG&amp;A also included approximately $1.1 million of other non-recurring costs, consisting primarily of $0.6 million related to a claim under California’s Private Attorneys General Act (“PAGA”) associated with our former Fresh Cut business, which was divested in the fourth fiscal quarter of 2024, and $0.5 million of onboarding and transition costs associated with recent senior leadership changes. These increases were partially offset by approximately $0.8 million of lower professional fees, including a reduction in insurance expense.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40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29"/>
        </w:trPr>
        <w:tc>
          <w:tcPr>
            <w:tcW w:w="40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780" w:type="dxa"/>
            <w:vAlign w:val="bottom"/>
          </w:tcPr>
          <w:p>
            <w:pPr>
              <w:spacing w:after="0"/>
              <w:rPr>
                <w:sz w:val="11"/>
                <w:szCs w:val="1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8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(962)</w:t>
            </w:r>
          </w:p>
        </w:tc>
      </w:tr>
    </w:tbl>
    <w:p>
      <w:pPr>
        <w:spacing w:after="0" w:line="198"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(“USD”). As a result, monetary assets and liabilities are remeasured into USD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Due to the change in the Mexican peso to the USD exchange rates, foreign currency remeasurement gains, net of losses, for the three months ended January 31, 2026, were $2.6 million. Foreign currency remeasurement losses, net of gains for the three months ended January 31, 2025, were $1.0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29"/>
        </w:trPr>
        <w:tc>
          <w:tcPr>
            <w:tcW w:w="4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(Dollars in thousands)</w:t>
            </w:r>
          </w:p>
        </w:tc>
        <w:tc>
          <w:tcPr>
            <w:tcW w:w="780" w:type="dxa"/>
            <w:vAlign w:val="bottom"/>
          </w:tcPr>
          <w:p>
            <w:pPr>
              <w:spacing w:after="0"/>
              <w:rPr>
                <w:sz w:val="11"/>
                <w:szCs w:val="1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98"/>
              </w:rPr>
              <w:t>$ 862</w:t>
            </w:r>
          </w:p>
        </w:tc>
      </w:tr>
    </w:tbl>
    <w:p>
      <w:pPr>
        <w:spacing w:after="0" w:line="198"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Income (loss) from unconsolidated entities includes our participation in earnings or losses from our investments in Don Memo. For the three months ended January 31, 2026 and 2025, we realized a loss of $0.5 million and a gain of $0.9 million from Don Memo.</w:t>
      </w: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4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7620</wp:posOffset>
            </wp:positionV>
            <wp:extent cx="1525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6440"/>
        <w:spacing w:after="0"/>
        <w:tabs>
          <w:tab w:leader="none" w:pos="7200" w:val="left"/>
          <w:tab w:leader="none" w:pos="81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u w:val="single" w:color="auto"/>
          <w:color w:val="auto"/>
        </w:rPr>
        <w:t>Change</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-3175</wp:posOffset>
            </wp:positionV>
            <wp:extent cx="420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-3175</wp:posOffset>
            </wp:positionV>
            <wp:extent cx="428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473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$ 1,255  ​​​</w:t>
            </w:r>
          </w:p>
        </w:tc>
      </w:tr>
      <w:tr>
        <w:trPr>
          <w:trHeight w:val="234"/>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3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26 %</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26 %</w:t>
            </w:r>
          </w:p>
        </w:tc>
      </w:tr>
    </w:tbl>
    <w:p>
      <w:pPr>
        <w:spacing w:after="0" w:line="179" w:lineRule="exact"/>
        <w:rPr>
          <w:sz w:val="20"/>
          <w:szCs w:val="20"/>
          <w:color w:val="auto"/>
        </w:rPr>
      </w:pPr>
    </w:p>
    <w:p>
      <w:pPr>
        <w:jc w:val="both"/>
        <w:ind w:left="40" w:right="59" w:firstLine="270"/>
        <w:spacing w:after="0" w:line="266" w:lineRule="auto"/>
        <w:rPr>
          <w:sz w:val="20"/>
          <w:szCs w:val="20"/>
          <w:color w:val="auto"/>
        </w:rPr>
      </w:pPr>
      <w:r>
        <w:rPr>
          <w:rFonts w:ascii="Times New Roman" w:cs="Times New Roman" w:eastAsia="Times New Roman" w:hAnsi="Times New Roman"/>
          <w:sz w:val="18"/>
          <w:szCs w:val="18"/>
          <w:color w:val="auto"/>
        </w:rPr>
        <w:t>The effective tax rates for each of the three months ended January 31, 2026 and 2025 were 26%. Our effective tax rates for the three months ended January 31, 2026 and January 31, 2025 differ from the U.S. federal statutory rate of 21% due to the U.S. state tax and foreign tax rate differential in Mexico.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$8.7 million for the three months ended January 31, 2026, compared to cash used in operating activities of $4.4 million for the corresponding period in fiscal 2025. The cash used in operating activities during the three months ended January 31, 2026 was primarily driven by $13.5 million of cash used by changes in operating assets and liabilities, partially offset by net income of $0.8 million and $4.0 million of non-cash adjustments.</w:t>
      </w:r>
    </w:p>
    <w:p>
      <w:pPr>
        <w:spacing w:after="0" w:line="180"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primarily reflected an increase in inventories of $4.2 million, an increase in prepaid expenses and other current assets of $1.4 million, an increase in advances to suppliers of $2.2 million, an increase in accounts payable, accrued expenses and other liabilities of $4.0 million, and an increase in payable to growers of $4.3 million, partially offset by an increase in income taxes payable of $0.1 million and an increase in other assets of $5.0 million.</w:t>
      </w:r>
    </w:p>
    <w:p>
      <w:pPr>
        <w:spacing w:after="0" w:line="183"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The increase in our inventory as of January 31, 2026, compared to October 31, 2025, was primarily driven by higher inventory volumes of Mexican avocados, partially offset by lower average fruit costs during the period. The increase in our prepaid and other current assets is primarily due to timing of prepayments. The increase in advances to suppliers is mainly due to pick and pack expenses paid to our consignment growers at the start of the tomato season. The decrease in accounts payable, accrued expenses and other liabilities is primarily related to the timing of payments. The decrease in payable to growers is mostly due to lower tomato volumes.</w:t>
      </w:r>
    </w:p>
    <w:p>
      <w:pPr>
        <w:spacing w:after="0" w:line="228"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$0.8 million for the three months ended January 31, 2026, compared to cash used in investing activities of $0.3 million for the corresponding period in fiscal 2025. Cash used in investing activities relates principally to purchases of property, plant, and equipment.</w:t>
      </w:r>
    </w:p>
    <w:p>
      <w:pPr>
        <w:spacing w:after="0" w:line="20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$4.0 million for the three months ended January 31, 2026, compared to cash used in financing activities of $3.8 million for the corresponding period in fiscal 2025. Cash used in financing activities relates principally to payments of $3.6 million in dividends, payments on long-term obligations of $0.2 million and the payment of minimum withholding of taxes on the net settling of shares of $0.2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(as defined below). Cash and cash equivalents as of January 31, 2026 and October 31, 2025, totaled $47.7 million and $61.2 million. Our working capital at January 31, 2026 was $83.6 million, compared to $89.0 million at October 31, 2025.</w:t>
      </w:r>
    </w:p>
    <w:p>
      <w:pPr>
        <w:spacing w:after="0" w:line="180"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cash balance, cash flows from operations, availability under our Credit Facility (as defined below), and other sources will be sufficient to satisfy our capital expenditures, working capital needs, and other operating requirements for at least the next 12 months. Longer-term capital allocation decisions, including capital expenditures, may be affected by the timing and completion of the pending merger with Mission Produce.</w:t>
      </w:r>
    </w:p>
    <w:p>
      <w:pPr>
        <w:spacing w:after="0" w:line="180"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We maintain a credit agreement with Wells Fargo Bank, N.A. providing for a revolving credit facility of up to $75.0 million, which matures on June 26, 2028 (as amended, the “Credit Facility”).</w:t>
      </w:r>
    </w:p>
    <w:p>
      <w:pPr>
        <w:spacing w:after="0" w:line="162"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Borrowings under the revolving facility are asset-based and subject to a borrowing base calculation based on eligible accounts receivable and inventory, less applicable reserves. In December 2025, we removed the equipment component of the borrowing base given we were not borrowing on the Credit Facility and the administrative burden associated with the blanket lien over our vehicles. This reduced our availability under the facility by approximately $1.3 million.</w:t>
      </w:r>
    </w:p>
    <w:p>
      <w:pPr>
        <w:spacing w:after="0" w:line="180" w:lineRule="exact"/>
        <w:rPr>
          <w:sz w:val="20"/>
          <w:szCs w:val="20"/>
          <w:color w:val="auto"/>
        </w:rPr>
      </w:pPr>
    </w:p>
    <w:p>
      <w:pPr>
        <w:ind w:left="40" w:right="439" w:firstLine="259"/>
        <w:spacing w:after="0" w:line="282" w:lineRule="auto"/>
        <w:rPr>
          <w:sz w:val="20"/>
          <w:szCs w:val="20"/>
          <w:color w:val="auto"/>
        </w:rPr>
      </w:pPr>
      <w:r>
        <w:rPr>
          <w:rFonts w:ascii="Times New Roman" w:cs="Times New Roman" w:eastAsia="Times New Roman" w:hAnsi="Times New Roman"/>
          <w:sz w:val="18"/>
          <w:szCs w:val="18"/>
          <w:color w:val="auto"/>
        </w:rPr>
        <w:t>Borrowings bear interest at either a base rate or Standard Overnight Financing Rate plus an applicable margin. The applicable margin ranges from 0.50% to 1.50% for the Revolving Loans, depending on the rate selected.</w:t>
      </w:r>
    </w:p>
    <w:p>
      <w:pPr>
        <w:spacing w:after="0" w:line="162"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As of January 31, 2026, we were in compliance with the financial covenants in the Credit Facility. As of January 31, 2026, approximately $32.1 million was available for borrowing, based on our borrowing base calculation discussed above.</w:t>
      </w:r>
    </w:p>
    <w:p>
      <w:pPr>
        <w:spacing w:after="0" w:line="162"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7.3% at January 31, 2026. Under the Credit Facility, there were no amounts outstanding related to the revolving loans or term loan as of January 31, 2026.</w:t>
      </w:r>
    </w:p>
    <w:p>
      <w:pPr>
        <w:spacing w:after="0" w:line="162"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In March 2025, our Board authorized a stock repurchase program of up to $25 million. While no shares have been repurchased to date under this program, the timing and volume of repurchases will depend on market conditions, our capital allocation priorities, and other strategic considerations.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2025, as amended.</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40" w:right="339" w:firstLine="25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in market risk from the information provided in </w:t>
      </w:r>
      <w:r>
        <w:rPr>
          <w:rFonts w:ascii="Times New Roman" w:cs="Times New Roman" w:eastAsia="Times New Roman" w:hAnsi="Times New Roman"/>
          <w:sz w:val="18"/>
          <w:szCs w:val="18"/>
          <w:i w:val="1"/>
          <w:iCs w:val="1"/>
          <w:color w:val="auto"/>
        </w:rPr>
        <w:t>Item 7A.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of our Annual Report on Form 10-K for the year ended October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we carried out an evaluation, under the supervision and with the participation of management, including the Chief Executive Officer (who is our principal executive officer) and Chief Financial Officer (who is our principal financial officer), of the effectiveness of the design and operation of our disclosure controls and procedures as of January 31, 2026. Based upon this evaluation, our Chief Executive Officer and Chief Financial Officer concluded that our disclosure controls and procedures were effective as of such date to ensure that information required to be disclosed in the reports we file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submit under the Exchange Act is recorded, processed, summarized, and reported within the time periods specified in the SEC rules and forms.</w:t>
      </w:r>
    </w:p>
    <w:p>
      <w:pPr>
        <w:spacing w:after="0" w:line="202"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January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899" w:firstLine="259"/>
        <w:spacing w:after="0" w:line="282" w:lineRule="auto"/>
        <w:rPr>
          <w:sz w:val="20"/>
          <w:szCs w:val="20"/>
          <w:color w:val="auto"/>
        </w:rPr>
      </w:pPr>
      <w:r>
        <w:rPr>
          <w:rFonts w:ascii="Times New Roman" w:cs="Times New Roman" w:eastAsia="Times New Roman" w:hAnsi="Times New Roman"/>
          <w:sz w:val="18"/>
          <w:szCs w:val="18"/>
          <w:color w:val="auto"/>
        </w:rPr>
        <w:t>Please refer to Note 6 of the interim financial statements included in this Quarterly Report on Form 10-Q for information.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2025, as amended, and as supplemented by our Quarterly Report on Form 10-Q for the quarterly period ended January 31, 2026. There have been no material changes from the risk factors set forth in such Annual Report on Form 10-K and Quarterly Report on Form 10-Q. However, the risks and uncertainties that we face are not limited to those set forth in such Annual Report on Form 10-K and Quarterly Report on Form 10-Q. Additional risks and uncertainties not presently known to us or that we currently believe to be immaterial may also adversely affect our business and the trading price of our common stock.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300" w:hanging="256"/>
        <w:spacing w:after="0"/>
        <w:tabs>
          <w:tab w:leader="none" w:pos="3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31" w:lineRule="exact"/>
        <w:rPr>
          <w:rFonts w:ascii="Times New Roman" w:cs="Times New Roman" w:eastAsia="Times New Roman" w:hAnsi="Times New Roman"/>
          <w:sz w:val="18"/>
          <w:szCs w:val="18"/>
          <w:b w:val="1"/>
          <w:bCs w:val="1"/>
          <w:i w:val="1"/>
          <w:iCs w:val="1"/>
          <w:color w:val="auto"/>
        </w:rPr>
      </w:pPr>
    </w:p>
    <w:p>
      <w:pPr>
        <w:ind w:left="300" w:hanging="256"/>
        <w:spacing w:after="0"/>
        <w:tabs>
          <w:tab w:leader="none" w:pos="3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9" w:lineRule="exact"/>
        <w:rPr>
          <w:rFonts w:ascii="Times New Roman" w:cs="Times New Roman" w:eastAsia="Times New Roman" w:hAnsi="Times New Roman"/>
          <w:sz w:val="18"/>
          <w:szCs w:val="18"/>
          <w:b w:val="1"/>
          <w:bCs w:val="1"/>
          <w:i w:val="1"/>
          <w:iCs w:val="1"/>
          <w:color w:val="auto"/>
        </w:rPr>
      </w:pPr>
    </w:p>
    <w:p>
      <w:pPr>
        <w:ind w:left="280" w:hanging="236"/>
        <w:spacing w:after="0"/>
        <w:tabs>
          <w:tab w:leader="none" w:pos="2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Trading Plans</w:t>
      </w:r>
    </w:p>
    <w:p>
      <w:pPr>
        <w:spacing w:after="0" w:line="207" w:lineRule="exact"/>
        <w:rPr>
          <w:sz w:val="20"/>
          <w:szCs w:val="20"/>
          <w:color w:val="auto"/>
        </w:rPr>
      </w:pPr>
    </w:p>
    <w:p>
      <w:pPr>
        <w:ind w:left="40" w:right="99" w:firstLine="259"/>
        <w:spacing w:after="0" w:line="312" w:lineRule="auto"/>
        <w:rPr>
          <w:sz w:val="20"/>
          <w:szCs w:val="20"/>
          <w:color w:val="auto"/>
        </w:rPr>
      </w:pPr>
      <w:r>
        <w:rPr>
          <w:rFonts w:ascii="Times New Roman" w:cs="Times New Roman" w:eastAsia="Times New Roman" w:hAnsi="Times New Roman"/>
          <w:sz w:val="17"/>
          <w:szCs w:val="17"/>
          <w:color w:val="auto"/>
        </w:rPr>
        <w:t>During the quarter ended January 31, 2026,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2.1**</w:t>
            </w:r>
          </w:p>
        </w:tc>
        <w:tc>
          <w:tcPr>
            <w:tcW w:w="6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Agreement and Plan of Merger and Reorganization dated as of February 20, 2001 between</w:t>
              </w:r>
            </w:hyperlink>
          </w:p>
        </w:tc>
      </w:tr>
      <w:tr>
        <w:trPr>
          <w:trHeight w:val="196"/>
        </w:trPr>
        <w:tc>
          <w:tcPr>
            <w:tcW w:w="19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Calavo Growers, Inc. and Calavo Growers of California. (incorporated by reference to Exhibit</w:t>
              </w:r>
            </w:hyperlink>
          </w:p>
        </w:tc>
      </w:tr>
      <w:tr>
        <w:trPr>
          <w:trHeight w:val="196"/>
        </w:trPr>
        <w:tc>
          <w:tcPr>
            <w:tcW w:w="19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Registration Statement on Form S-4 (File No. 333-59418 filed by the Registrant on</w:t>
              </w:r>
            </w:hyperlink>
          </w:p>
        </w:tc>
      </w:tr>
      <w:tr>
        <w:trPr>
          <w:trHeight w:val="196"/>
        </w:trPr>
        <w:tc>
          <w:tcPr>
            <w:tcW w:w="19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April 24, 2001).</w:t>
              </w:r>
            </w:hyperlink>
          </w:p>
        </w:tc>
        <w:tc>
          <w:tcPr>
            <w:tcW w:w="5740" w:type="dxa"/>
            <w:vAlign w:val="bottom"/>
            <w:gridSpan w:val="5"/>
          </w:tcPr>
          <w:p>
            <w:pPr>
              <w:spacing w:after="0"/>
              <w:rPr>
                <w:sz w:val="17"/>
                <w:szCs w:val="17"/>
                <w:color w:val="auto"/>
              </w:rPr>
            </w:pPr>
          </w:p>
        </w:tc>
      </w:tr>
      <w:tr>
        <w:trPr>
          <w:trHeight w:val="41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6900" w:type="dxa"/>
            <w:vAlign w:val="bottom"/>
            <w:gridSpan w:val="7"/>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Offer Letter, dated November 11, 2025, between the Company and B. John Lindeman</w:t>
              </w:r>
            </w:hyperlink>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(incorporated by reference to Exhibit 10.1 to the Current Report on Form 8-K filed by the</w:t>
              </w:r>
            </w:hyperlink>
          </w:p>
        </w:tc>
      </w:tr>
      <w:tr>
        <w:trPr>
          <w:trHeight w:val="196"/>
        </w:trPr>
        <w:tc>
          <w:tcPr>
            <w:tcW w:w="1920" w:type="dxa"/>
            <w:vAlign w:val="bottom"/>
          </w:tcPr>
          <w:p>
            <w:pPr>
              <w:spacing w:after="0"/>
              <w:rPr>
                <w:sz w:val="17"/>
                <w:szCs w:val="17"/>
                <w:color w:val="auto"/>
              </w:rPr>
            </w:pPr>
          </w:p>
        </w:tc>
        <w:tc>
          <w:tcPr>
            <w:tcW w:w="6900" w:type="dxa"/>
            <w:vAlign w:val="bottom"/>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Registrant on November 13, 2025).</w:t>
              </w:r>
            </w:hyperlink>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6900" w:type="dxa"/>
            <w:vAlign w:val="bottom"/>
            <w:gridSpan w:val="7"/>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Agreement dated December 8, 2025 by and between Calavo Growers, Inc. and Lecil E. Cole</w:t>
              </w:r>
            </w:hyperlink>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10.1 to the Current Report on Form 8-K filed by the</w:t>
              </w:r>
            </w:hyperlink>
          </w:p>
        </w:tc>
      </w:tr>
      <w:tr>
        <w:trPr>
          <w:trHeight w:val="196"/>
        </w:trPr>
        <w:tc>
          <w:tcPr>
            <w:tcW w:w="1920" w:type="dxa"/>
            <w:vAlign w:val="bottom"/>
          </w:tcPr>
          <w:p>
            <w:pPr>
              <w:spacing w:after="0"/>
              <w:rPr>
                <w:sz w:val="17"/>
                <w:szCs w:val="17"/>
                <w:color w:val="auto"/>
              </w:rPr>
            </w:pPr>
          </w:p>
        </w:tc>
        <w:tc>
          <w:tcPr>
            <w:tcW w:w="6900" w:type="dxa"/>
            <w:vAlign w:val="bottom"/>
            <w:gridSpan w:val="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Registrant on December 12, 2025).</w:t>
              </w:r>
            </w:hyperlink>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41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6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Executive Retention Agreement (incorporated by reference to Exhibit 10.1 to the</w:t>
              </w:r>
            </w:hyperlink>
          </w:p>
        </w:tc>
      </w:tr>
      <w:tr>
        <w:trPr>
          <w:trHeight w:val="196"/>
        </w:trPr>
        <w:tc>
          <w:tcPr>
            <w:tcW w:w="1920" w:type="dxa"/>
            <w:vAlign w:val="bottom"/>
          </w:tcPr>
          <w:p>
            <w:pPr>
              <w:spacing w:after="0"/>
              <w:rPr>
                <w:sz w:val="17"/>
                <w:szCs w:val="17"/>
                <w:color w:val="auto"/>
              </w:rPr>
            </w:pPr>
          </w:p>
        </w:tc>
        <w:tc>
          <w:tcPr>
            <w:tcW w:w="6900" w:type="dxa"/>
            <w:vAlign w:val="bottom"/>
            <w:gridSpan w:val="7"/>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Current Report on Form 8-K/A filed by the Registrant on March 2, 2026).</w:t>
              </w:r>
            </w:hyperlink>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426"/>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w:t>
            </w:r>
          </w:p>
        </w:tc>
      </w:tr>
      <w:tr>
        <w:trPr>
          <w:trHeight w:val="196"/>
        </w:trPr>
        <w:tc>
          <w:tcPr>
            <w:tcW w:w="1920" w:type="dxa"/>
            <w:vAlign w:val="bottom"/>
          </w:tcPr>
          <w:p>
            <w:pPr>
              <w:spacing w:after="0"/>
              <w:rPr>
                <w:sz w:val="17"/>
                <w:szCs w:val="17"/>
                <w:color w:val="auto"/>
              </w:rPr>
            </w:pPr>
          </w:p>
        </w:tc>
        <w:tc>
          <w:tcPr>
            <w:tcW w:w="69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r>
      <w:tr>
        <w:trPr>
          <w:trHeight w:val="41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31.2</w:t>
            </w: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w:t>
            </w:r>
          </w:p>
        </w:tc>
      </w:tr>
      <w:tr>
        <w:trPr>
          <w:trHeight w:val="196"/>
        </w:trPr>
        <w:tc>
          <w:tcPr>
            <w:tcW w:w="1920" w:type="dxa"/>
            <w:vAlign w:val="bottom"/>
          </w:tcPr>
          <w:p>
            <w:pPr>
              <w:spacing w:after="0"/>
              <w:rPr>
                <w:sz w:val="17"/>
                <w:szCs w:val="17"/>
                <w:color w:val="auto"/>
              </w:rPr>
            </w:pPr>
          </w:p>
        </w:tc>
        <w:tc>
          <w:tcPr>
            <w:tcW w:w="69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r>
      <w:tr>
        <w:trPr>
          <w:trHeight w:val="41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32.1*</w:t>
            </w: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by Chief Executive Officer and Chief Financial Officer of Periodic Report</w:t>
            </w:r>
          </w:p>
        </w:tc>
      </w:tr>
      <w:tr>
        <w:trPr>
          <w:trHeight w:val="196"/>
        </w:trPr>
        <w:tc>
          <w:tcPr>
            <w:tcW w:w="19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 pursuant to Section 906 of the Sarbanes-Oxley</w:t>
            </w:r>
          </w:p>
        </w:tc>
      </w:tr>
      <w:tr>
        <w:trPr>
          <w:trHeight w:val="196"/>
        </w:trPr>
        <w:tc>
          <w:tcPr>
            <w:tcW w:w="192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6000" w:type="dxa"/>
            <w:vAlign w:val="bottom"/>
            <w:gridSpan w:val="6"/>
          </w:tcPr>
          <w:p>
            <w:pPr>
              <w:spacing w:after="0"/>
              <w:rPr>
                <w:sz w:val="17"/>
                <w:szCs w:val="17"/>
                <w:color w:val="auto"/>
              </w:rPr>
            </w:pPr>
          </w:p>
        </w:tc>
      </w:tr>
      <w:tr>
        <w:trPr>
          <w:trHeight w:val="434"/>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101.INS#</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r>
      <w:tr>
        <w:trPr>
          <w:trHeight w:val="234"/>
        </w:trPr>
        <w:tc>
          <w:tcPr>
            <w:tcW w:w="1920" w:type="dxa"/>
            <w:vAlign w:val="bottom"/>
          </w:tcPr>
          <w:p>
            <w:pPr>
              <w:spacing w:after="0"/>
              <w:rPr>
                <w:sz w:val="20"/>
                <w:szCs w:val="20"/>
                <w:color w:val="auto"/>
              </w:rPr>
            </w:pP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r>
        <w:trPr>
          <w:trHeight w:val="43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101.SCH#</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3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101.CAL#</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101.DEF#</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101.LAB#</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32"/>
        </w:trPr>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101.PRE#</w:t>
            </w:r>
          </w:p>
        </w:tc>
        <w:tc>
          <w:tcPr>
            <w:tcW w:w="6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spacing w:after="0" w:line="198" w:lineRule="exact"/>
        <w:rPr>
          <w:sz w:val="20"/>
          <w:szCs w:val="20"/>
          <w:color w:val="auto"/>
        </w:rPr>
      </w:pPr>
    </w:p>
    <w:p>
      <w:pPr>
        <w:ind w:left="1960" w:hanging="1098"/>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not deemed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5" w:lineRule="exact"/>
        <w:rPr>
          <w:sz w:val="20"/>
          <w:szCs w:val="20"/>
          <w:color w:val="auto"/>
        </w:rPr>
      </w:pPr>
    </w:p>
    <w:p>
      <w:pPr>
        <w:ind w:left="360" w:right="119" w:hanging="316"/>
        <w:spacing w:after="0" w:line="233" w:lineRule="auto"/>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the Quarterly Report on Form 10-Q of Calavo Growers, Inc. for the quarter ended January 31, 2026, formatted in Inline XBRL (Extensible Business Reporting Language) includes: (1) Consolidated Balance Sheets as of January 31, 2026 and October 31, 2025; (2) Consolidated Statements of Operations for the three months ended January 31, 2026 and 2025; (3) Consolidated Statements of Cash Flows for the three months ended January 31, 2026 and 2025; (4) Consolidated Statements of Shareholders’ Equity for the three months ended January 31, 2026 and 2025; (5) Notes to Consolidated Financial Statements; and (6) the information included in Part II, Item 5(c).</w:t>
      </w:r>
    </w:p>
    <w:p>
      <w:pPr>
        <w:spacing w:after="0" w:line="110" w:lineRule="exact"/>
        <w:rPr>
          <w:sz w:val="20"/>
          <w:szCs w:val="20"/>
          <w:color w:val="auto"/>
        </w:rPr>
      </w:pPr>
    </w:p>
    <w:p>
      <w:pPr>
        <w:ind w:left="360" w:hanging="316"/>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Identifies each management contract or compensatory plan or arrangement.</w:t>
      </w:r>
    </w:p>
    <w:p>
      <w:pPr>
        <w:spacing w:after="0" w:line="136" w:lineRule="exact"/>
        <w:rPr>
          <w:sz w:val="20"/>
          <w:szCs w:val="20"/>
          <w:color w:val="auto"/>
        </w:rPr>
      </w:pPr>
    </w:p>
    <w:p>
      <w:pPr>
        <w:ind w:left="360" w:right="179" w:hanging="316"/>
        <w:spacing w:after="0" w:line="26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have been omitted pursuant to Item 601(b)(2) of Regulation S-K. Calavo Growers, Inc. agrees to furnish a copy of such schedules and exhibits, or any section thereof, to the SEC upon request.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to be signed on its behalf by the undersigned, thereunto duly authorized, on March 12, 2026.</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78"/>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25</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B. John Lindeman, certify that:</w:t>
      </w:r>
    </w:p>
    <w:p>
      <w:pPr>
        <w:spacing w:after="0" w:line="235" w:lineRule="exact"/>
        <w:rPr>
          <w:sz w:val="20"/>
          <w:szCs w:val="20"/>
          <w:color w:val="auto"/>
        </w:rPr>
      </w:pPr>
    </w:p>
    <w:p>
      <w:pPr>
        <w:ind w:left="700" w:hanging="656"/>
        <w:spacing w:after="0"/>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12,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 John Lindeman</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B. John Lindeman</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26" w:name="page27"/>
    <w:bookmarkEnd w:id="2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James Snyder, certify that:</w:t>
      </w:r>
    </w:p>
    <w:p>
      <w:pPr>
        <w:spacing w:after="0" w:line="235" w:lineRule="exact"/>
        <w:rPr>
          <w:sz w:val="20"/>
          <w:szCs w:val="20"/>
          <w:color w:val="auto"/>
        </w:rPr>
      </w:pPr>
    </w:p>
    <w:p>
      <w:pPr>
        <w:ind w:left="700" w:hanging="656"/>
        <w:spacing w:after="0"/>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12,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Snyder</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James Snyder</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27" w:name="page28"/>
    <w:bookmarkEnd w:id="2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The undersigned Chief Executive Officer and Chief Financial Officer of Calavo Growers, Inc. (the “Company”), each hereby certifies, pursuant to 18 U.S.C. Section 1350, as adopted pursuant to Section 906 of the Sarbanes-Oxley Act of 2002, that, to his knowledge, the Company’s Quarterly Report on Form 10-Q for the quarter ended January 31, 2026,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12, 2026</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o"/>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0" Type="http://schemas.openxmlformats.org/officeDocument/2006/relationships/hyperlink" Target="https://www.sec.gov/Archives/edgar/data/1133470/000095014801500411/v70569ex2-1.txt" TargetMode="External"/><Relationship Id="rId41" Type="http://schemas.openxmlformats.org/officeDocument/2006/relationships/hyperlink" Target="https://www.sec.gov/Archives/edgar/data/1133470/000110465925111229/cvgw-20251111xex10d1.htm" TargetMode="External"/><Relationship Id="rId42" Type="http://schemas.openxmlformats.org/officeDocument/2006/relationships/hyperlink" Target="https://www.sec.gov/Archives/edgar/data/1133470/000110465925120615/cvgw-20251208xex10d1.htm" TargetMode="External"/><Relationship Id="rId43" Type="http://schemas.openxmlformats.org/officeDocument/2006/relationships/hyperlink" Target="https://www.sec.gov/Archives/edgar/data/1133470/000110465926022214/cvgw-20260114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2026-03-12T16:08:52Z</dcterms:created>
  <dcterms:modified xsi:type="dcterms:W3CDTF">2026-03-12T16:08:52Z</dcterms:modified>
</cp:coreProperties>
</file>