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229235</wp:posOffset>
            </wp:positionV>
            <wp:extent cx="649795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57"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July 31, 2023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6"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216" w:lineRule="exact"/>
        <w:rPr>
          <w:sz w:val="24"/>
          <w:szCs w:val="24"/>
          <w:color w:val="auto"/>
        </w:rPr>
      </w:pPr>
    </w:p>
    <w:p>
      <w:pPr>
        <w:ind w:left="1960"/>
        <w:spacing w:after="0"/>
        <w:rPr>
          <w:sz w:val="20"/>
          <w:szCs w:val="20"/>
          <w:color w:val="auto"/>
        </w:rPr>
      </w:pPr>
      <w:r>
        <w:rPr>
          <w:rFonts w:ascii="Arial" w:cs="Arial" w:eastAsia="Arial" w:hAnsi="Arial"/>
          <w:sz w:val="15"/>
          <w:szCs w:val="15"/>
          <w:b w:val="1"/>
          <w:bCs w:val="1"/>
          <w:color w:val="auto"/>
        </w:rPr>
        <w:t xml:space="preserve">For the transition period from </w:t>
      </w:r>
      <w:r>
        <w:rPr>
          <w:rFonts w:ascii="Arial" w:cs="Arial" w:eastAsia="Arial" w:hAnsi="Arial"/>
          <w:sz w:val="15"/>
          <w:szCs w:val="15"/>
          <w:b w:val="1"/>
          <w:bCs w:val="1"/>
          <w:u w:val="single" w:color="auto"/>
          <w:color w:val="auto"/>
        </w:rPr>
        <w:t>______________________</w:t>
      </w:r>
      <w:r>
        <w:rPr>
          <w:rFonts w:ascii="Arial" w:cs="Arial" w:eastAsia="Arial" w:hAnsi="Arial"/>
          <w:sz w:val="15"/>
          <w:szCs w:val="15"/>
          <w:b w:val="1"/>
          <w:bCs w:val="1"/>
          <w:color w:val="auto"/>
        </w:rPr>
        <w:t xml:space="preserve"> to </w:t>
      </w:r>
      <w:r>
        <w:rPr>
          <w:rFonts w:ascii="Arial" w:cs="Arial" w:eastAsia="Arial" w:hAnsi="Arial"/>
          <w:sz w:val="15"/>
          <w:szCs w:val="15"/>
          <w:b w:val="1"/>
          <w:bCs w:val="1"/>
          <w:u w:val="single" w:color="auto"/>
          <w:color w:val="auto"/>
        </w:rPr>
        <w:t>______________________</w:t>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000-33385</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CALAVO GROWERS, INC.</w:t>
      </w:r>
    </w:p>
    <w:p>
      <w:pPr>
        <w:sectPr>
          <w:pgSz w:w="11900" w:h="16838" w:orient="portrait"/>
          <w:cols w:equalWidth="0" w:num="1">
            <w:col w:w="10220"/>
          </w:cols>
          <w:pgMar w:left="840" w:top="665" w:right="839" w:bottom="1440" w:gutter="0" w:footer="0" w:header="0"/>
        </w:sectPr>
      </w:pPr>
    </w:p>
    <w:p>
      <w:pPr>
        <w:spacing w:after="0" w:line="372" w:lineRule="exact"/>
        <w:rPr>
          <w:sz w:val="24"/>
          <w:szCs w:val="24"/>
          <w:color w:val="auto"/>
        </w:rPr>
      </w:pPr>
    </w:p>
    <w:p>
      <w:pPr>
        <w:jc w:val="center"/>
        <w:ind w:left="1800"/>
        <w:spacing w:after="0"/>
        <w:rPr>
          <w:sz w:val="20"/>
          <w:szCs w:val="20"/>
          <w:color w:val="auto"/>
        </w:rPr>
      </w:pPr>
      <w:r>
        <w:rPr>
          <w:rFonts w:ascii="Arial" w:cs="Arial" w:eastAsia="Arial" w:hAnsi="Arial"/>
          <w:sz w:val="16"/>
          <w:szCs w:val="16"/>
          <w:b w:val="1"/>
          <w:bCs w:val="1"/>
          <w:color w:val="auto"/>
        </w:rPr>
        <w:t>California</w:t>
      </w:r>
    </w:p>
    <w:p>
      <w:pPr>
        <w:spacing w:after="0" w:line="45" w:lineRule="exact"/>
        <w:rPr>
          <w:sz w:val="24"/>
          <w:szCs w:val="24"/>
          <w:color w:val="auto"/>
        </w:rPr>
      </w:pPr>
    </w:p>
    <w:p>
      <w:pPr>
        <w:ind w:left="1820"/>
        <w:spacing w:after="0"/>
        <w:rPr>
          <w:sz w:val="20"/>
          <w:szCs w:val="20"/>
          <w:color w:val="auto"/>
        </w:rPr>
      </w:pPr>
      <w:r>
        <w:rPr>
          <w:rFonts w:ascii="Arial" w:cs="Arial" w:eastAsia="Arial" w:hAnsi="Arial"/>
          <w:sz w:val="10"/>
          <w:szCs w:val="10"/>
          <w:color w:val="auto"/>
        </w:rPr>
        <w:t>(State or other jurisdiction of</w:t>
      </w:r>
    </w:p>
    <w:p>
      <w:pPr>
        <w:spacing w:after="0" w:line="30" w:lineRule="exact"/>
        <w:rPr>
          <w:sz w:val="24"/>
          <w:szCs w:val="24"/>
          <w:color w:val="auto"/>
        </w:rPr>
      </w:pPr>
    </w:p>
    <w:p>
      <w:pPr>
        <w:ind w:left="1800"/>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92" w:lineRule="exact"/>
        <w:rPr>
          <w:sz w:val="24"/>
          <w:szCs w:val="24"/>
          <w:color w:val="auto"/>
        </w:rPr>
      </w:pPr>
    </w:p>
    <w:p>
      <w:pPr>
        <w:jc w:val="center"/>
        <w:ind w:left="-539"/>
        <w:spacing w:after="0"/>
        <w:rPr>
          <w:sz w:val="20"/>
          <w:szCs w:val="20"/>
          <w:color w:val="auto"/>
        </w:rPr>
      </w:pPr>
      <w:r>
        <w:rPr>
          <w:rFonts w:ascii="Arial" w:cs="Arial" w:eastAsia="Arial" w:hAnsi="Arial"/>
          <w:sz w:val="16"/>
          <w:szCs w:val="16"/>
          <w:b w:val="1"/>
          <w:bCs w:val="1"/>
          <w:color w:val="auto"/>
        </w:rPr>
        <w:t>33-0945304</w:t>
      </w:r>
    </w:p>
    <w:p>
      <w:pPr>
        <w:spacing w:after="0" w:line="113" w:lineRule="exact"/>
        <w:rPr>
          <w:sz w:val="24"/>
          <w:szCs w:val="24"/>
          <w:color w:val="auto"/>
        </w:rPr>
      </w:pPr>
    </w:p>
    <w:p>
      <w:pPr>
        <w:jc w:val="right"/>
        <w:ind w:right="1640"/>
        <w:spacing w:after="0"/>
        <w:rPr>
          <w:sz w:val="20"/>
          <w:szCs w:val="20"/>
          <w:color w:val="auto"/>
        </w:rPr>
      </w:pPr>
      <w:r>
        <w:rPr>
          <w:rFonts w:ascii="Arial" w:cs="Arial" w:eastAsia="Arial" w:hAnsi="Arial"/>
          <w:sz w:val="13"/>
          <w:szCs w:val="13"/>
          <w:color w:val="auto"/>
        </w:rPr>
        <w:t>(I.R.S. Employer Identification No.)</w:t>
      </w:r>
    </w:p>
    <w:p>
      <w:pPr>
        <w:spacing w:after="0" w:line="215" w:lineRule="exact"/>
        <w:rPr>
          <w:sz w:val="24"/>
          <w:szCs w:val="24"/>
          <w:color w:val="auto"/>
        </w:rPr>
      </w:pPr>
    </w:p>
    <w:p>
      <w:pPr>
        <w:sectPr>
          <w:pgSz w:w="11900" w:h="16838" w:orient="portrait"/>
          <w:cols w:equalWidth="0" w:num="2">
            <w:col w:w="3300" w:space="420"/>
            <w:col w:w="6500"/>
          </w:cols>
          <w:pgMar w:left="840" w:top="665" w:right="8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6620" w:type="dxa"/>
            <w:vAlign w:val="bottom"/>
            <w:gridSpan w:val="5"/>
          </w:tcPr>
          <w:p>
            <w:pPr>
              <w:ind w:left="740"/>
              <w:spacing w:after="0"/>
              <w:rPr>
                <w:sz w:val="20"/>
                <w:szCs w:val="20"/>
                <w:color w:val="auto"/>
              </w:rPr>
            </w:pPr>
            <w:r>
              <w:rPr>
                <w:rFonts w:ascii="Arial" w:cs="Arial" w:eastAsia="Arial" w:hAnsi="Arial"/>
                <w:sz w:val="16"/>
                <w:szCs w:val="16"/>
                <w:b w:val="1"/>
                <w:bCs w:val="1"/>
                <w:color w:val="auto"/>
              </w:rPr>
              <w:t>1141-A Cummings Road, Santa Paula, California</w:t>
            </w:r>
          </w:p>
        </w:tc>
        <w:tc>
          <w:tcPr>
            <w:tcW w:w="3600" w:type="dxa"/>
            <w:vAlign w:val="bottom"/>
          </w:tcPr>
          <w:p>
            <w:pPr>
              <w:jc w:val="right"/>
              <w:ind w:right="2224"/>
              <w:spacing w:after="0"/>
              <w:rPr>
                <w:sz w:val="20"/>
                <w:szCs w:val="20"/>
                <w:color w:val="auto"/>
              </w:rPr>
            </w:pPr>
            <w:r>
              <w:rPr>
                <w:rFonts w:ascii="Arial" w:cs="Arial" w:eastAsia="Arial" w:hAnsi="Arial"/>
                <w:sz w:val="16"/>
                <w:szCs w:val="16"/>
                <w:b w:val="1"/>
                <w:bCs w:val="1"/>
                <w:color w:val="auto"/>
              </w:rPr>
              <w:t>93060</w:t>
            </w:r>
          </w:p>
        </w:tc>
      </w:tr>
      <w:tr>
        <w:trPr>
          <w:trHeight w:val="160"/>
        </w:trPr>
        <w:tc>
          <w:tcPr>
            <w:tcW w:w="6620" w:type="dxa"/>
            <w:vAlign w:val="bottom"/>
            <w:gridSpan w:val="5"/>
          </w:tcPr>
          <w:p>
            <w:pPr>
              <w:ind w:left="1500"/>
              <w:spacing w:after="0"/>
              <w:rPr>
                <w:sz w:val="20"/>
                <w:szCs w:val="20"/>
                <w:color w:val="auto"/>
              </w:rPr>
            </w:pPr>
            <w:r>
              <w:rPr>
                <w:rFonts w:ascii="Arial" w:cs="Arial" w:eastAsia="Arial" w:hAnsi="Arial"/>
                <w:sz w:val="13"/>
                <w:szCs w:val="13"/>
                <w:color w:val="auto"/>
              </w:rPr>
              <w:t>(Address of principal executive offices)</w:t>
            </w:r>
          </w:p>
        </w:tc>
        <w:tc>
          <w:tcPr>
            <w:tcW w:w="3600" w:type="dxa"/>
            <w:vAlign w:val="bottom"/>
          </w:tcPr>
          <w:p>
            <w:pPr>
              <w:jc w:val="center"/>
              <w:ind w:right="1344"/>
              <w:spacing w:after="0"/>
              <w:rPr>
                <w:sz w:val="20"/>
                <w:szCs w:val="20"/>
                <w:color w:val="auto"/>
              </w:rPr>
            </w:pPr>
            <w:r>
              <w:rPr>
                <w:rFonts w:ascii="Arial" w:cs="Arial" w:eastAsia="Arial" w:hAnsi="Arial"/>
                <w:sz w:val="13"/>
                <w:szCs w:val="13"/>
                <w:color w:val="auto"/>
                <w:w w:val="87"/>
              </w:rPr>
              <w:t>(Zip Code)</w:t>
            </w:r>
          </w:p>
        </w:tc>
      </w:tr>
      <w:tr>
        <w:trPr>
          <w:trHeight w:val="393"/>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jc w:val="center"/>
              <w:ind w:left="1304"/>
              <w:spacing w:after="0"/>
              <w:rPr>
                <w:sz w:val="20"/>
                <w:szCs w:val="20"/>
                <w:color w:val="auto"/>
              </w:rPr>
            </w:pPr>
            <w:r>
              <w:rPr>
                <w:rFonts w:ascii="Arial" w:cs="Arial" w:eastAsia="Arial" w:hAnsi="Arial"/>
                <w:sz w:val="16"/>
                <w:szCs w:val="16"/>
                <w:b w:val="1"/>
                <w:bCs w:val="1"/>
                <w:color w:val="auto"/>
                <w:w w:val="93"/>
              </w:rPr>
              <w:t>(805) 525-1245</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0"/>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3"/>
          </w:tcPr>
          <w:p>
            <w:pPr>
              <w:jc w:val="center"/>
              <w:ind w:left="784"/>
              <w:spacing w:after="0"/>
              <w:rPr>
                <w:sz w:val="20"/>
                <w:szCs w:val="20"/>
                <w:color w:val="auto"/>
              </w:rPr>
            </w:pPr>
            <w:r>
              <w:rPr>
                <w:rFonts w:ascii="Arial" w:cs="Arial" w:eastAsia="Arial" w:hAnsi="Arial"/>
                <w:sz w:val="13"/>
                <w:szCs w:val="13"/>
                <w:color w:val="auto"/>
                <w:w w:val="87"/>
              </w:rPr>
              <w:t>(Registrant's telephone number, including area code)</w:t>
            </w:r>
          </w:p>
        </w:tc>
        <w:tc>
          <w:tcPr>
            <w:tcW w:w="3600" w:type="dxa"/>
            <w:vAlign w:val="bottom"/>
          </w:tcPr>
          <w:p>
            <w:pPr>
              <w:spacing w:after="0"/>
              <w:rPr>
                <w:sz w:val="13"/>
                <w:szCs w:val="13"/>
                <w:color w:val="auto"/>
              </w:rPr>
            </w:pPr>
          </w:p>
        </w:tc>
      </w:tr>
      <w:tr>
        <w:trPr>
          <w:trHeight w:val="312"/>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3"/>
          </w:tcPr>
          <w:p>
            <w:pPr>
              <w:jc w:val="center"/>
              <w:ind w:left="764"/>
              <w:spacing w:after="0"/>
              <w:rPr>
                <w:sz w:val="20"/>
                <w:szCs w:val="20"/>
                <w:color w:val="auto"/>
              </w:rPr>
            </w:pPr>
            <w:r>
              <w:rPr>
                <w:rFonts w:ascii="Arial" w:cs="Arial" w:eastAsia="Arial" w:hAnsi="Arial"/>
                <w:sz w:val="16"/>
                <w:szCs w:val="16"/>
                <w:b w:val="1"/>
                <w:bCs w:val="1"/>
                <w:color w:val="auto"/>
                <w:w w:val="92"/>
              </w:rPr>
              <w:t>Not Applicable</w:t>
            </w:r>
          </w:p>
        </w:tc>
        <w:tc>
          <w:tcPr>
            <w:tcW w:w="3600" w:type="dxa"/>
            <w:vAlign w:val="bottom"/>
          </w:tcPr>
          <w:p>
            <w:pPr>
              <w:spacing w:after="0"/>
              <w:rPr>
                <w:sz w:val="24"/>
                <w:szCs w:val="24"/>
                <w:color w:val="auto"/>
              </w:rPr>
            </w:pPr>
          </w:p>
        </w:tc>
      </w:tr>
      <w:tr>
        <w:trPr>
          <w:trHeight w:val="160"/>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gridSpan w:val="4"/>
          </w:tcPr>
          <w:p>
            <w:pPr>
              <w:jc w:val="center"/>
              <w:ind w:right="2684"/>
              <w:spacing w:after="0"/>
              <w:rPr>
                <w:sz w:val="20"/>
                <w:szCs w:val="20"/>
                <w:color w:val="auto"/>
              </w:rPr>
            </w:pPr>
            <w:r>
              <w:rPr>
                <w:rFonts w:ascii="Arial" w:cs="Arial" w:eastAsia="Arial" w:hAnsi="Arial"/>
                <w:sz w:val="13"/>
                <w:szCs w:val="13"/>
                <w:color w:val="auto"/>
                <w:w w:val="87"/>
              </w:rPr>
              <w:t>(Former name, former address and former fiscal year, if changed since last report)</w:t>
            </w:r>
          </w:p>
        </w:tc>
      </w:tr>
      <w:tr>
        <w:trPr>
          <w:trHeight w:val="320"/>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4"/>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30"/>
        </w:trPr>
        <w:tc>
          <w:tcPr>
            <w:tcW w:w="2740" w:type="dxa"/>
            <w:vAlign w:val="bottom"/>
            <w:gridSpan w:val="2"/>
          </w:tcPr>
          <w:p>
            <w:pPr>
              <w:ind w:left="720"/>
              <w:spacing w:after="0"/>
              <w:rPr>
                <w:sz w:val="20"/>
                <w:szCs w:val="20"/>
                <w:color w:val="auto"/>
              </w:rPr>
            </w:pPr>
            <w:r>
              <w:rPr>
                <w:rFonts w:ascii="Arial" w:cs="Arial" w:eastAsia="Arial" w:hAnsi="Arial"/>
                <w:sz w:val="16"/>
                <w:szCs w:val="16"/>
                <w:color w:val="auto"/>
              </w:rPr>
              <w:t>Title of each class</w:t>
            </w:r>
          </w:p>
        </w:tc>
        <w:tc>
          <w:tcPr>
            <w:tcW w:w="3880" w:type="dxa"/>
            <w:vAlign w:val="bottom"/>
            <w:gridSpan w:val="3"/>
          </w:tcPr>
          <w:p>
            <w:pPr>
              <w:jc w:val="center"/>
              <w:ind w:right="540"/>
              <w:spacing w:after="0"/>
              <w:rPr>
                <w:sz w:val="20"/>
                <w:szCs w:val="20"/>
                <w:color w:val="auto"/>
              </w:rPr>
            </w:pPr>
            <w:r>
              <w:rPr>
                <w:rFonts w:ascii="Arial" w:cs="Arial" w:eastAsia="Arial" w:hAnsi="Arial"/>
                <w:sz w:val="16"/>
                <w:szCs w:val="16"/>
                <w:color w:val="auto"/>
                <w:w w:val="93"/>
              </w:rPr>
              <w:t>Trading Symbol(s)</w:t>
            </w:r>
          </w:p>
        </w:tc>
        <w:tc>
          <w:tcPr>
            <w:tcW w:w="3600" w:type="dxa"/>
            <w:vAlign w:val="bottom"/>
          </w:tcPr>
          <w:p>
            <w:pPr>
              <w:jc w:val="center"/>
              <w:ind w:right="284"/>
              <w:spacing w:after="0"/>
              <w:rPr>
                <w:sz w:val="20"/>
                <w:szCs w:val="20"/>
                <w:color w:val="auto"/>
              </w:rPr>
            </w:pPr>
            <w:r>
              <w:rPr>
                <w:rFonts w:ascii="Arial" w:cs="Arial" w:eastAsia="Arial" w:hAnsi="Arial"/>
                <w:sz w:val="16"/>
                <w:szCs w:val="16"/>
                <w:color w:val="auto"/>
                <w:w w:val="90"/>
              </w:rPr>
              <w:t>Name of each exchange on which registered</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3600" w:type="dxa"/>
            <w:vAlign w:val="bottom"/>
          </w:tcPr>
          <w:p>
            <w:pPr>
              <w:spacing w:after="0"/>
              <w:rPr>
                <w:sz w:val="3"/>
                <w:szCs w:val="3"/>
                <w:color w:val="auto"/>
              </w:rPr>
            </w:pPr>
          </w:p>
        </w:tc>
      </w:tr>
      <w:tr>
        <w:trPr>
          <w:trHeight w:val="206"/>
        </w:trPr>
        <w:tc>
          <w:tcPr>
            <w:tcW w:w="26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93"/>
              </w:rPr>
              <w:t>Common Stock, $0.001 par value per share</w:t>
            </w:r>
          </w:p>
        </w:tc>
        <w:tc>
          <w:tcPr>
            <w:tcW w:w="120" w:type="dxa"/>
            <w:vAlign w:val="bottom"/>
          </w:tcPr>
          <w:p>
            <w:pPr>
              <w:spacing w:after="0"/>
              <w:rPr>
                <w:sz w:val="17"/>
                <w:szCs w:val="17"/>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CVGW</w:t>
            </w: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jc w:val="center"/>
              <w:ind w:right="284"/>
              <w:spacing w:after="0"/>
              <w:rPr>
                <w:sz w:val="20"/>
                <w:szCs w:val="20"/>
                <w:color w:val="auto"/>
              </w:rPr>
            </w:pPr>
            <w:r>
              <w:rPr>
                <w:rFonts w:ascii="Arial" w:cs="Arial" w:eastAsia="Arial" w:hAnsi="Arial"/>
                <w:sz w:val="16"/>
                <w:szCs w:val="16"/>
                <w:color w:val="auto"/>
                <w:w w:val="92"/>
              </w:rPr>
              <w:t>Nasdaq Global Select Market</w:t>
            </w:r>
          </w:p>
        </w:tc>
      </w:tr>
    </w:tbl>
    <w:p>
      <w:pPr>
        <w:spacing w:after="0" w:line="108" w:lineRule="exact"/>
        <w:rPr>
          <w:sz w:val="24"/>
          <w:szCs w:val="24"/>
          <w:color w:val="auto"/>
        </w:rPr>
      </w:pPr>
    </w:p>
    <w:p>
      <w:pPr>
        <w:ind w:right="38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right="44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righ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p>
      <w:pPr>
        <w:spacing w:after="0" w:line="184" w:lineRule="exact"/>
        <w:tabs>
          <w:tab w:leader="none" w:pos="2940" w:val="left"/>
          <w:tab w:leader="none" w:pos="5160" w:val="left"/>
          <w:tab w:leader="none" w:pos="77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6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2" w:lineRule="exact"/>
        <w:rPr>
          <w:sz w:val="24"/>
          <w:szCs w:val="24"/>
          <w:color w:val="auto"/>
        </w:rPr>
      </w:pPr>
    </w:p>
    <w:p>
      <w:pPr>
        <w:ind w:right="8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5" w:lineRule="exact"/>
        <w:rPr>
          <w:sz w:val="24"/>
          <w:szCs w:val="24"/>
          <w:color w:val="auto"/>
        </w:rPr>
      </w:pPr>
    </w:p>
    <w:p>
      <w:pPr>
        <w:ind w:right="2020"/>
        <w:spacing w:after="0" w:line="28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Registrant's number of shares of common stock outstanding as of August 31, 2023 was 17,761,061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587375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150495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64770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ind w:left="40" w:right="119" w:firstLine="259"/>
        <w:spacing w:after="0" w:line="266"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statements about future risks associated with doing business internationally (including possible restrictive U.S. and foreign governmental actions, such as restrictions on transfers of funds, restrictions as a result of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 The use of words such as "anticipates," "estimates," "expects," "projects," "intends," "plans" and "believes," among others, generally identify forward-looking statements.</w:t>
      </w:r>
    </w:p>
    <w:p>
      <w:pPr>
        <w:spacing w:after="0" w:line="119" w:lineRule="exact"/>
        <w:rPr>
          <w:sz w:val="20"/>
          <w:szCs w:val="20"/>
          <w:color w:val="auto"/>
        </w:rPr>
      </w:pPr>
    </w:p>
    <w:p>
      <w:pPr>
        <w:ind w:left="40" w:right="59" w:firstLine="259"/>
        <w:spacing w:after="0" w:line="281" w:lineRule="auto"/>
        <w:rPr>
          <w:sz w:val="20"/>
          <w:szCs w:val="20"/>
          <w:color w:val="auto"/>
        </w:rPr>
      </w:pPr>
      <w:r>
        <w:rPr>
          <w:rFonts w:ascii="Arial" w:cs="Arial" w:eastAsia="Arial" w:hAnsi="Arial"/>
          <w:sz w:val="16"/>
          <w:szCs w:val="16"/>
          <w:color w:val="auto"/>
        </w:rPr>
        <w:t>Risks and uncertainties that may cause our actual results to be materially different from any future results expressed or implied by the forward-looking statements include, but are not limited to, the following: the ability of our new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of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107" w:lineRule="exact"/>
        <w:rPr>
          <w:sz w:val="20"/>
          <w:szCs w:val="20"/>
          <w:color w:val="auto"/>
        </w:rPr>
      </w:pPr>
    </w:p>
    <w:p>
      <w:pPr>
        <w:ind w:left="40" w:right="59" w:firstLine="259"/>
        <w:spacing w:after="0" w:line="293" w:lineRule="auto"/>
        <w:rPr>
          <w:sz w:val="20"/>
          <w:szCs w:val="20"/>
          <w:color w:val="auto"/>
        </w:rPr>
      </w:pPr>
      <w:r>
        <w:rPr>
          <w:rFonts w:ascii="Arial" w:cs="Arial" w:eastAsia="Arial" w:hAnsi="Arial"/>
          <w:sz w:val="15"/>
          <w:szCs w:val="15"/>
          <w:color w:val="auto"/>
        </w:rPr>
        <w:t>For a further discussion of these risks and uncertainties and other risks and uncertainties that we face, please see the risk factors described in our most recent Annual Report on Form 10-K for the fiscal year ended October 31, 2022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2"/>
        </w:trPr>
        <w:tc>
          <w:tcPr>
            <w:tcW w:w="30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rPr>
              <w:t>PART I. FINANCIAL INFORMATION</w:t>
            </w:r>
          </w:p>
        </w:tc>
        <w:tc>
          <w:tcPr>
            <w:tcW w:w="494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r>
      <w:tr>
        <w:trPr>
          <w:trHeight w:val="398"/>
        </w:trPr>
        <w:tc>
          <w:tcPr>
            <w:tcW w:w="680" w:type="dxa"/>
            <w:vAlign w:val="bottom"/>
            <w:gridSpan w:val="4"/>
          </w:tcPr>
          <w:p>
            <w:pPr>
              <w:spacing w:after="0"/>
              <w:rPr>
                <w:sz w:val="20"/>
                <w:szCs w:val="20"/>
                <w:color w:val="auto"/>
              </w:rPr>
            </w:pPr>
            <w:r>
              <w:rPr>
                <w:rFonts w:ascii="Arial" w:cs="Arial" w:eastAsia="Arial" w:hAnsi="Arial"/>
                <w:sz w:val="16"/>
                <w:szCs w:val="16"/>
                <w:color w:val="0000EE"/>
              </w:rPr>
              <w:t>Item 1.</w:t>
            </w:r>
          </w:p>
        </w:tc>
        <w:tc>
          <w:tcPr>
            <w:tcW w:w="7340" w:type="dxa"/>
            <w:vAlign w:val="bottom"/>
            <w:gridSpan w:val="17"/>
          </w:tcPr>
          <w:p>
            <w:pPr>
              <w:spacing w:after="0"/>
              <w:rPr>
                <w:sz w:val="20"/>
                <w:szCs w:val="20"/>
                <w:color w:val="auto"/>
              </w:rPr>
            </w:pPr>
            <w:r>
              <w:rPr>
                <w:rFonts w:ascii="Arial" w:cs="Arial" w:eastAsia="Arial" w:hAnsi="Arial"/>
                <w:sz w:val="16"/>
                <w:szCs w:val="16"/>
                <w:color w:val="0000EE"/>
              </w:rPr>
              <w:t>Financial Statements (unaudited):</w:t>
            </w:r>
          </w:p>
        </w:tc>
        <w:tc>
          <w:tcPr>
            <w:tcW w:w="90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w w:val="90"/>
              </w:rPr>
              <w:t>Consolidated Balance Sheets – July 31, 2023 and October 31, 2022</w:t>
            </w:r>
          </w:p>
        </w:tc>
        <w:tc>
          <w:tcPr>
            <w:tcW w:w="29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9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1"/>
              </w:rPr>
              <w:t xml:space="preserve">Consolidated Statements of Operations – Three </w:t>
            </w:r>
            <w:r>
              <w:rPr>
                <w:rFonts w:ascii="Arial" w:cs="Arial" w:eastAsia="Arial" w:hAnsi="Arial"/>
                <w:sz w:val="17"/>
                <w:szCs w:val="17"/>
                <w:color w:val="0000EE"/>
                <w:w w:val="91"/>
              </w:rPr>
              <w:t>and Nine</w:t>
            </w:r>
            <w:r>
              <w:rPr>
                <w:rFonts w:ascii="Arial" w:cs="Arial" w:eastAsia="Arial" w:hAnsi="Arial"/>
                <w:sz w:val="16"/>
                <w:szCs w:val="16"/>
                <w:color w:val="0000EE"/>
                <w:w w:val="91"/>
              </w:rPr>
              <w:t xml:space="preserve"> Months Ended July 31, 2023 and 2022</w:t>
            </w:r>
          </w:p>
        </w:tc>
        <w:tc>
          <w:tcPr>
            <w:tcW w:w="10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0"/>
              </w:rPr>
              <w:t>Consolidated Statements of Cash Flows –Nine Months Ended July 31, 2023 and 2022</w:t>
            </w:r>
          </w:p>
        </w:tc>
        <w:tc>
          <w:tcPr>
            <w:tcW w:w="178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6"/>
                <w:szCs w:val="16"/>
                <w:color w:val="0000EE"/>
                <w:w w:val="96"/>
              </w:rPr>
              <w:t>Consolidated Statements of Shareholders’ Equity – Three and Nine Months Ended July 31, 2023 and 2022</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Borders>
              <w:top w:val="single" w:sz="8" w:color="0000EE"/>
            </w:tcBorders>
            <w:gridSpan w:val="16"/>
          </w:tcPr>
          <w:p>
            <w:pPr>
              <w:spacing w:after="0"/>
              <w:rPr>
                <w:sz w:val="20"/>
                <w:szCs w:val="20"/>
                <w:color w:val="auto"/>
              </w:rPr>
            </w:pPr>
            <w:r>
              <w:rPr>
                <w:rFonts w:ascii="Arial" w:cs="Arial" w:eastAsia="Arial" w:hAnsi="Arial"/>
                <w:sz w:val="16"/>
                <w:szCs w:val="16"/>
                <w:color w:val="0000EE"/>
              </w:rPr>
              <w:t>Notes to Consolidated Financial Statements</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Arial" w:cs="Arial" w:eastAsia="Arial" w:hAnsi="Arial"/>
                <w:sz w:val="16"/>
                <w:szCs w:val="16"/>
                <w:color w:val="0000EE"/>
                <w:w w:val="93"/>
              </w:rPr>
              <w:t>Item 2.</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Arial" w:cs="Arial" w:eastAsia="Arial" w:hAnsi="Arial"/>
                <w:sz w:val="16"/>
                <w:szCs w:val="16"/>
                <w:color w:val="0000EE"/>
                <w:w w:val="93"/>
              </w:rPr>
              <w:t>Item 3.</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Arial" w:cs="Arial" w:eastAsia="Arial" w:hAnsi="Arial"/>
                <w:sz w:val="16"/>
                <w:szCs w:val="16"/>
                <w:color w:val="0000EE"/>
                <w:w w:val="93"/>
              </w:rPr>
              <w:t>Item 4.</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6"/>
                <w:szCs w:val="16"/>
                <w:color w:val="0000EE"/>
              </w:rPr>
              <w:t>Controls and Procedures</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b w:val="1"/>
                <w:bCs w:val="1"/>
                <w:color w:val="0000EE"/>
              </w:rPr>
              <w:t>PART II. OTHER INFORMATION</w:t>
            </w:r>
          </w:p>
        </w:tc>
        <w:tc>
          <w:tcPr>
            <w:tcW w:w="552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r>
      <w:tr>
        <w:trPr>
          <w:trHeight w:val="385"/>
        </w:trPr>
        <w:tc>
          <w:tcPr>
            <w:tcW w:w="480" w:type="dxa"/>
            <w:vAlign w:val="bottom"/>
            <w:gridSpan w:val="2"/>
          </w:tcPr>
          <w:p>
            <w:pPr>
              <w:spacing w:after="0"/>
              <w:rPr>
                <w:sz w:val="20"/>
                <w:szCs w:val="20"/>
                <w:color w:val="auto"/>
              </w:rPr>
            </w:pPr>
            <w:r>
              <w:rPr>
                <w:rFonts w:ascii="Arial" w:cs="Arial" w:eastAsia="Arial" w:hAnsi="Arial"/>
                <w:sz w:val="16"/>
                <w:szCs w:val="16"/>
                <w:color w:val="0000EE"/>
                <w:w w:val="93"/>
              </w:rPr>
              <w:t>Item 1.</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6"/>
                <w:szCs w:val="16"/>
                <w:color w:val="0000EE"/>
              </w:rPr>
              <w:t>Legal Proceedings</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160" w:type="dxa"/>
            <w:vAlign w:val="bottom"/>
            <w:tcBorders>
              <w:left w:val="single" w:sz="8" w:color="0000EE"/>
            </w:tcBorders>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Arial" w:cs="Arial" w:eastAsia="Arial" w:hAnsi="Arial"/>
                <w:sz w:val="16"/>
                <w:szCs w:val="16"/>
                <w:color w:val="0000EE"/>
              </w:rPr>
              <w:t>Item 1A.</w:t>
            </w:r>
          </w:p>
        </w:tc>
        <w:tc>
          <w:tcPr>
            <w:tcW w:w="7340" w:type="dxa"/>
            <w:vAlign w:val="bottom"/>
            <w:gridSpan w:val="17"/>
          </w:tcPr>
          <w:p>
            <w:pPr>
              <w:spacing w:after="0"/>
              <w:rPr>
                <w:sz w:val="20"/>
                <w:szCs w:val="20"/>
                <w:color w:val="auto"/>
              </w:rPr>
            </w:pPr>
            <w:r>
              <w:rPr>
                <w:rFonts w:ascii="Arial" w:cs="Arial" w:eastAsia="Arial" w:hAnsi="Arial"/>
                <w:sz w:val="16"/>
                <w:szCs w:val="16"/>
                <w:color w:val="0000EE"/>
              </w:rPr>
              <w:t>Risk Factors</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480" w:type="dxa"/>
            <w:vAlign w:val="bottom"/>
            <w:gridSpan w:val="2"/>
          </w:tcPr>
          <w:p>
            <w:pPr>
              <w:spacing w:after="0"/>
              <w:rPr>
                <w:sz w:val="20"/>
                <w:szCs w:val="20"/>
                <w:color w:val="auto"/>
              </w:rPr>
            </w:pPr>
            <w:r>
              <w:rPr>
                <w:rFonts w:ascii="Arial" w:cs="Arial" w:eastAsia="Arial" w:hAnsi="Arial"/>
                <w:sz w:val="16"/>
                <w:szCs w:val="16"/>
                <w:color w:val="0000EE"/>
                <w:w w:val="93"/>
              </w:rPr>
              <w:t>Item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6"/>
                <w:szCs w:val="16"/>
                <w:color w:val="0000EE"/>
              </w:rPr>
              <w:t>Other Information</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Arial" w:cs="Arial" w:eastAsia="Arial" w:hAnsi="Arial"/>
                <w:sz w:val="16"/>
                <w:szCs w:val="16"/>
                <w:color w:val="0000EE"/>
                <w:w w:val="93"/>
              </w:rPr>
              <w:t>Item 6.</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6"/>
                <w:szCs w:val="16"/>
                <w:color w:val="0000EE"/>
              </w:rPr>
              <w:t>Exhibits</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6"/>
              </w:rPr>
              <w:t>Signatures</w:t>
            </w:r>
          </w:p>
        </w:tc>
        <w:tc>
          <w:tcPr>
            <w:tcW w:w="666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1"/>
              <w:spacing w:after="0"/>
              <w:rPr>
                <w:sz w:val="20"/>
                <w:szCs w:val="20"/>
                <w:color w:val="auto"/>
              </w:rPr>
            </w:pPr>
            <w:r>
              <w:rPr>
                <w:rFonts w:ascii="Arial" w:cs="Arial" w:eastAsia="Arial" w:hAnsi="Arial"/>
                <w:sz w:val="14"/>
                <w:szCs w:val="14"/>
                <w:b w:val="1"/>
                <w:bCs w:val="1"/>
                <w:color w:val="auto"/>
                <w:w w:val="93"/>
              </w:rPr>
              <w:t>July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6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1,074</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$4,020 (2023) and $4,199 (2022)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38,830</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Advances to suppliers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12,430</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80" w:type="dxa"/>
            <w:vAlign w:val="bottom"/>
            <w:shd w:val="clear" w:color="auto" w:fill="CCEEFF"/>
          </w:tcPr>
          <w:p>
            <w:pPr>
              <w:spacing w:after="0"/>
              <w:rPr>
                <w:sz w:val="18"/>
                <w:szCs w:val="18"/>
                <w:color w:val="auto"/>
              </w:rPr>
            </w:pPr>
          </w:p>
        </w:tc>
      </w:tr>
      <w:tr>
        <w:trPr>
          <w:trHeight w:val="209"/>
        </w:trPr>
        <w:tc>
          <w:tcPr>
            <w:tcW w:w="68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150,360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125,674</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114,224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113,310</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54,518</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5,433</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7,206</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280" w:type="dxa"/>
            <w:vAlign w:val="bottom"/>
            <w:shd w:val="clear" w:color="auto" w:fill="CCEEFF"/>
          </w:tcPr>
          <w:p>
            <w:pPr>
              <w:spacing w:after="0"/>
              <w:rPr>
                <w:sz w:val="18"/>
                <w:szCs w:val="18"/>
                <w:color w:val="auto"/>
              </w:rPr>
            </w:pPr>
          </w:p>
        </w:tc>
      </w:tr>
      <w:tr>
        <w:trPr>
          <w:trHeight w:val="250"/>
        </w:trPr>
        <w:tc>
          <w:tcPr>
            <w:tcW w:w="68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414,940</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385,746</w:t>
            </w:r>
          </w:p>
        </w:tc>
        <w:tc>
          <w:tcPr>
            <w:tcW w:w="280" w:type="dxa"/>
            <w:vAlign w:val="bottom"/>
            <w:tcBorders>
              <w:bottom w:val="single" w:sz="8" w:color="CCEEFF"/>
            </w:tcBorders>
          </w:tcPr>
          <w:p>
            <w:pPr>
              <w:spacing w:after="0"/>
              <w:rPr>
                <w:sz w:val="21"/>
                <w:szCs w:val="21"/>
                <w:color w:val="auto"/>
              </w:rPr>
            </w:pPr>
          </w:p>
        </w:tc>
      </w:tr>
      <w:tr>
        <w:trPr>
          <w:trHeight w:val="197"/>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growers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10,436</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51,795</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term loan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Current portion of operating leases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6,925</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80" w:type="dxa"/>
            <w:vAlign w:val="bottom"/>
            <w:shd w:val="clear" w:color="auto" w:fill="CCEEFF"/>
          </w:tcPr>
          <w:p>
            <w:pPr>
              <w:spacing w:after="0"/>
              <w:rPr>
                <w:sz w:val="18"/>
                <w:szCs w:val="18"/>
                <w:color w:val="auto"/>
              </w:rPr>
            </w:pPr>
          </w:p>
        </w:tc>
      </w:tr>
      <w:tr>
        <w:trPr>
          <w:trHeight w:val="209"/>
        </w:trPr>
        <w:tc>
          <w:tcPr>
            <w:tcW w:w="68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101,309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101,953</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Borrowings pursuant to line of credit, long-term</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 of term loan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Long-term portion of operating leases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47,281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52,140</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 of obligations and finance leases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280" w:type="dxa"/>
            <w:vAlign w:val="bottom"/>
            <w:tcBorders>
              <w:bottom w:val="single" w:sz="8" w:color="CCEEFF"/>
            </w:tcBorders>
          </w:tcPr>
          <w:p>
            <w:pPr>
              <w:spacing w:after="0"/>
              <w:rPr>
                <w:sz w:val="18"/>
                <w:szCs w:val="18"/>
                <w:color w:val="auto"/>
              </w:rPr>
            </w:pPr>
          </w:p>
        </w:tc>
      </w:tr>
      <w:tr>
        <w:trPr>
          <w:trHeight w:val="209"/>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60,422</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02"/>
        </w:trPr>
        <w:tc>
          <w:tcPr>
            <w:tcW w:w="682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($0.001 par value, 100,000 shares authorized; 17,761 (2023) and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17,732 (2022) shares issued and outstanding)</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175,653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171,223</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51,115</w:t>
            </w:r>
          </w:p>
        </w:tc>
        <w:tc>
          <w:tcPr>
            <w:tcW w:w="280" w:type="dxa"/>
            <w:vAlign w:val="bottom"/>
            <w:shd w:val="clear" w:color="auto" w:fill="CCEEFF"/>
          </w:tcPr>
          <w:p>
            <w:pPr>
              <w:spacing w:after="0"/>
              <w:rPr>
                <w:sz w:val="18"/>
                <w:szCs w:val="18"/>
                <w:color w:val="auto"/>
              </w:rPr>
            </w:pPr>
          </w:p>
        </w:tc>
      </w:tr>
      <w:tr>
        <w:trPr>
          <w:trHeight w:val="209"/>
        </w:trPr>
        <w:tc>
          <w:tcPr>
            <w:tcW w:w="6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219,100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223,371</w:t>
            </w:r>
          </w:p>
        </w:tc>
        <w:tc>
          <w:tcPr>
            <w:tcW w:w="280" w:type="dxa"/>
            <w:vAlign w:val="bottom"/>
            <w:tcBorders>
              <w:bottom w:val="single" w:sz="8" w:color="CCEEFF"/>
            </w:tcBorders>
          </w:tcPr>
          <w:p>
            <w:pPr>
              <w:spacing w:after="0"/>
              <w:rPr>
                <w:sz w:val="18"/>
                <w:szCs w:val="18"/>
                <w:color w:val="auto"/>
              </w:rPr>
            </w:pPr>
          </w:p>
        </w:tc>
      </w:tr>
      <w:tr>
        <w:trPr>
          <w:trHeight w:val="210"/>
        </w:trPr>
        <w:tc>
          <w:tcPr>
            <w:tcW w:w="6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414,940</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385,746</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259,875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341,991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730,768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947,501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234,850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323,477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676,274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894,017</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52,271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Expenses (recovery) related to Mexican tax matters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Impairment and charges related to Florida facility closure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Unrealized net income (loss) on Limoneira shares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182"/>
        </w:trPr>
        <w:tc>
          <w:tcPr>
            <w:tcW w:w="4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Income (loss) before income taxes and loss from unconsolidated</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entities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unconsolidated entities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Add: Net loss (income) attributable to noncontrolling interest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Calavo Growers, Inc.</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Calavo Growers, Inc.’s net income (loss) per share: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8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4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12,815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12,472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Non-cash operating lease expense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Net loss from unconsolidated entities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Realized and unrealized net loss on Limoneira shares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Divesture of Calavo Salsa Lisa</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Impairment and non-cash charges related to closure of Florida facility</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Provision for uncollectible Mexican IVA taxes receivable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1,404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Gain on sale of Temecula packinghouse</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(2,481)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(4,945)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(11,622)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liabilities</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(4,837)</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11,369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(19,198)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42,184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0"/>
              <w:spacing w:after="0" w:line="142" w:lineRule="exact"/>
              <w:rPr>
                <w:sz w:val="20"/>
                <w:szCs w:val="20"/>
                <w:color w:val="auto"/>
              </w:rPr>
            </w:pPr>
            <w:r>
              <w:rPr>
                <w:rFonts w:ascii="Arial" w:cs="Arial" w:eastAsia="Arial" w:hAnsi="Arial"/>
                <w:sz w:val="14"/>
                <w:szCs w:val="14"/>
                <w:color w:val="auto"/>
              </w:rPr>
              <w:t>Net cash used in investing activities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(10,092)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(7,738)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(8,654)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(20,330)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revolving credit facilities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215,818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Payments on revolving credit facilities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(180,250)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(233,600)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debt issuance cost</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Payments of minimum withholding taxes on net share settlement of equity awards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term loan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Payments on long-term obligations and finance leases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(1,409)</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8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(used in) by financing activities</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28,319</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(33,835)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period</w:t>
            </w: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3,134</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8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2,163</w:t>
            </w:r>
          </w:p>
        </w:tc>
        <w:tc>
          <w:tcPr>
            <w:tcW w:w="3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3,466</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 of use assets obtained in exchange for new financing lease obligations</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4"/>
                <w:szCs w:val="14"/>
                <w:color w:val="auto"/>
              </w:rPr>
              <w:t>Settlement of Agricola Belher infrastructure advance offset against payable to growers</w:t>
            </w:r>
          </w:p>
        </w:tc>
        <w:tc>
          <w:tcPr>
            <w:tcW w:w="8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1,700</w:t>
            </w:r>
          </w:p>
        </w:tc>
        <w:tc>
          <w:tcPr>
            <w:tcW w:w="300" w:type="dxa"/>
            <w:vAlign w:val="bottom"/>
            <w:vMerge w:val="continue"/>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1,060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869</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CALAVO GROWERS,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SHAREHOLDERS’ EQUITY (UNAUDITED)</w:t>
      </w: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3540" w:type="dxa"/>
            <w:vAlign w:val="bottom"/>
          </w:tcPr>
          <w:p>
            <w:pPr>
              <w:spacing w:after="0"/>
              <w:rPr>
                <w:sz w:val="13"/>
                <w:szCs w:val="13"/>
                <w:color w:val="auto"/>
              </w:rPr>
            </w:pPr>
          </w:p>
        </w:tc>
        <w:tc>
          <w:tcPr>
            <w:tcW w:w="150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Noncontrolling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8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5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April 30, 2022</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17,742</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169,453</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53,130</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1,166</w:t>
            </w:r>
          </w:p>
        </w:tc>
        <w:tc>
          <w:tcPr>
            <w:tcW w:w="1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54"/>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223,767</w:t>
            </w:r>
          </w:p>
        </w:tc>
      </w:tr>
      <w:tr>
        <w:trPr>
          <w:trHeight w:val="121"/>
        </w:trPr>
        <w:tc>
          <w:tcPr>
            <w:tcW w:w="3540" w:type="dxa"/>
            <w:vAlign w:val="bottom"/>
          </w:tcPr>
          <w:p>
            <w:pPr>
              <w:spacing w:after="0" w:line="121" w:lineRule="exact"/>
              <w:rPr>
                <w:sz w:val="20"/>
                <w:szCs w:val="20"/>
                <w:color w:val="auto"/>
              </w:rPr>
            </w:pPr>
            <w:r>
              <w:rPr>
                <w:rFonts w:ascii="Arial" w:cs="Arial" w:eastAsia="Arial" w:hAnsi="Arial"/>
                <w:sz w:val="13"/>
                <w:szCs w:val="13"/>
                <w:color w:val="auto"/>
              </w:rPr>
              <w:t>Issuance of common stock in connection with stock-based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color w:val="auto"/>
              </w:rPr>
              <w:t>compensation, net of tax witholdings</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755</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attributable to Calavo Growers, Inc.</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1,300</w:t>
            </w:r>
          </w:p>
        </w:tc>
      </w:tr>
      <w:tr>
        <w:trPr>
          <w:trHeight w:val="129"/>
        </w:trPr>
        <w:tc>
          <w:tcPr>
            <w:tcW w:w="3540" w:type="dxa"/>
            <w:vAlign w:val="bottom"/>
          </w:tcPr>
          <w:p>
            <w:pPr>
              <w:spacing w:after="0" w:line="129" w:lineRule="exact"/>
              <w:rPr>
                <w:sz w:val="20"/>
                <w:szCs w:val="20"/>
                <w:color w:val="auto"/>
              </w:rPr>
            </w:pPr>
            <w:r>
              <w:rPr>
                <w:rFonts w:ascii="Arial" w:cs="Arial" w:eastAsia="Arial" w:hAnsi="Arial"/>
                <w:sz w:val="13"/>
                <w:szCs w:val="13"/>
                <w:b w:val="1"/>
                <w:bCs w:val="1"/>
                <w:color w:val="auto"/>
              </w:rPr>
              <w:t>Balance, July 31, 2022</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170,208</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54,430</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1,183</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225,839</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3520" w:type="dxa"/>
            <w:vAlign w:val="bottom"/>
          </w:tcPr>
          <w:p>
            <w:pPr>
              <w:spacing w:after="0"/>
              <w:rPr>
                <w:sz w:val="13"/>
                <w:szCs w:val="13"/>
                <w:color w:val="auto"/>
              </w:rPr>
            </w:pPr>
          </w:p>
        </w:tc>
        <w:tc>
          <w:tcPr>
            <w:tcW w:w="168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Noncontrolling</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2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78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w w:val="86"/>
              </w:rPr>
              <w:t>Earnings</w:t>
            </w:r>
          </w:p>
        </w:tc>
        <w:tc>
          <w:tcPr>
            <w:tcW w:w="10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9"/>
              </w:rPr>
              <w:t>Interest</w:t>
            </w:r>
          </w:p>
        </w:tc>
        <w:tc>
          <w:tcPr>
            <w:tcW w:w="180" w:type="dxa"/>
            <w:vAlign w:val="bottom"/>
          </w:tcPr>
          <w:p>
            <w:pPr>
              <w:spacing w:after="0"/>
              <w:rPr>
                <w:sz w:val="11"/>
                <w:szCs w:val="11"/>
                <w:color w:val="auto"/>
              </w:rPr>
            </w:pPr>
          </w:p>
        </w:tc>
        <w:tc>
          <w:tcPr>
            <w:tcW w:w="5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April 30, 2023</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17,752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174,674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37,176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213,191</w:t>
            </w:r>
          </w:p>
        </w:tc>
      </w:tr>
      <w:tr>
        <w:trPr>
          <w:trHeight w:val="121"/>
        </w:trPr>
        <w:tc>
          <w:tcPr>
            <w:tcW w:w="3520" w:type="dxa"/>
            <w:vAlign w:val="bottom"/>
          </w:tcPr>
          <w:p>
            <w:pPr>
              <w:spacing w:after="0" w:line="121" w:lineRule="exact"/>
              <w:rPr>
                <w:sz w:val="20"/>
                <w:szCs w:val="20"/>
                <w:color w:val="auto"/>
              </w:rPr>
            </w:pPr>
            <w:r>
              <w:rPr>
                <w:rFonts w:ascii="Arial" w:cs="Arial" w:eastAsia="Arial" w:hAnsi="Arial"/>
                <w:sz w:val="13"/>
                <w:szCs w:val="13"/>
                <w:color w:val="auto"/>
              </w:rPr>
              <w:t>Issuance of common stock in connection with stock-based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3520" w:type="dxa"/>
            <w:vAlign w:val="bottom"/>
          </w:tcPr>
          <w:p>
            <w:pPr>
              <w:spacing w:after="0"/>
              <w:rPr>
                <w:sz w:val="20"/>
                <w:szCs w:val="20"/>
                <w:color w:val="auto"/>
              </w:rPr>
            </w:pPr>
            <w:r>
              <w:rPr>
                <w:rFonts w:ascii="Arial" w:cs="Arial" w:eastAsia="Arial" w:hAnsi="Arial"/>
                <w:sz w:val="13"/>
                <w:szCs w:val="13"/>
                <w:color w:val="auto"/>
              </w:rPr>
              <w:t>compensation, net of tax witholdings</w:t>
            </w: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979</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Dividend declared to shareholders (0.10 per share)</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(1,778)</w:t>
            </w:r>
          </w:p>
        </w:tc>
        <w:tc>
          <w:tcPr>
            <w:tcW w:w="100" w:type="dxa"/>
            <w:vAlign w:val="bottom"/>
          </w:tcPr>
          <w:p>
            <w:pPr>
              <w:spacing w:after="0"/>
              <w:rPr>
                <w:sz w:val="11"/>
                <w:szCs w:val="11"/>
                <w:color w:val="auto"/>
              </w:rPr>
            </w:pP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(1,778)</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Net income attributable to Calavo Growers, Inc.</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6,626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6,626</w:t>
            </w:r>
          </w:p>
        </w:tc>
      </w:tr>
      <w:tr>
        <w:trPr>
          <w:trHeight w:val="128"/>
        </w:trPr>
        <w:tc>
          <w:tcPr>
            <w:tcW w:w="3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July 31, 2023</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17,761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175,653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42,024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219,100</w:t>
            </w:r>
          </w:p>
        </w:tc>
      </w:tr>
      <w:tr>
        <w:trPr>
          <w:trHeight w:val="20"/>
        </w:trPr>
        <w:tc>
          <w:tcPr>
            <w:tcW w:w="3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3"/>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Noncontrolling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October 31, 2021</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17,686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168,133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57,363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1,368</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226,882</w:t>
            </w:r>
          </w:p>
        </w:tc>
      </w:tr>
      <w:tr>
        <w:trPr>
          <w:trHeight w:val="121"/>
        </w:trPr>
        <w:tc>
          <w:tcPr>
            <w:tcW w:w="3540" w:type="dxa"/>
            <w:vAlign w:val="bottom"/>
          </w:tcPr>
          <w:p>
            <w:pPr>
              <w:spacing w:after="0" w:line="121" w:lineRule="exact"/>
              <w:rPr>
                <w:sz w:val="20"/>
                <w:szCs w:val="20"/>
                <w:color w:val="auto"/>
              </w:rPr>
            </w:pPr>
            <w:r>
              <w:rPr>
                <w:rFonts w:ascii="Arial" w:cs="Arial" w:eastAsia="Arial" w:hAnsi="Arial"/>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color w:val="auto"/>
              </w:rPr>
              <w:t>compensation, net of tax witholdings</w:t>
            </w:r>
          </w:p>
        </w:tc>
        <w:tc>
          <w:tcPr>
            <w:tcW w:w="600" w:type="dxa"/>
            <w:vAlign w:val="bottom"/>
          </w:tcPr>
          <w:p>
            <w:pPr>
              <w:jc w:val="right"/>
              <w:spacing w:after="0"/>
              <w:rPr>
                <w:sz w:val="20"/>
                <w:szCs w:val="20"/>
                <w:color w:val="auto"/>
              </w:rPr>
            </w:pPr>
            <w:r>
              <w:rPr>
                <w:rFonts w:ascii="Arial" w:cs="Arial" w:eastAsia="Arial" w:hAnsi="Arial"/>
                <w:sz w:val="13"/>
                <w:szCs w:val="13"/>
                <w:color w:val="auto"/>
              </w:rPr>
              <w:t>46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2,123</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(185)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(185)</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(2,933)</w:t>
            </w:r>
          </w:p>
        </w:tc>
      </w:tr>
      <w:tr>
        <w:trPr>
          <w:trHeight w:val="129"/>
        </w:trPr>
        <w:tc>
          <w:tcPr>
            <w:tcW w:w="3540" w:type="dxa"/>
            <w:vAlign w:val="bottom"/>
          </w:tcPr>
          <w:p>
            <w:pPr>
              <w:spacing w:after="0" w:line="129" w:lineRule="exact"/>
              <w:rPr>
                <w:sz w:val="20"/>
                <w:szCs w:val="20"/>
                <w:color w:val="auto"/>
              </w:rPr>
            </w:pPr>
            <w:r>
              <w:rPr>
                <w:rFonts w:ascii="Arial" w:cs="Arial" w:eastAsia="Arial" w:hAnsi="Arial"/>
                <w:sz w:val="13"/>
                <w:szCs w:val="13"/>
                <w:b w:val="1"/>
                <w:bCs w:val="1"/>
                <w:color w:val="auto"/>
              </w:rPr>
              <w:t>Balance, July 31, 2022</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17,732</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170,208</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54,430</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1,183</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225,839</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3"/>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b w:val="1"/>
                <w:bCs w:val="1"/>
                <w:color w:val="auto"/>
                <w:w w:val="86"/>
              </w:rPr>
              <w:t>Noncontrolling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Capital</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Interest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Total</w:t>
            </w:r>
          </w:p>
        </w:tc>
      </w:tr>
      <w:tr>
        <w:trPr>
          <w:trHeight w:val="129"/>
        </w:trPr>
        <w:tc>
          <w:tcPr>
            <w:tcW w:w="35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October 31, 2022</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17,732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171,223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51,115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1,015</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223,371</w:t>
            </w:r>
          </w:p>
        </w:tc>
      </w:tr>
      <w:tr>
        <w:trPr>
          <w:trHeight w:val="121"/>
        </w:trPr>
        <w:tc>
          <w:tcPr>
            <w:tcW w:w="3540" w:type="dxa"/>
            <w:vAlign w:val="bottom"/>
          </w:tcPr>
          <w:p>
            <w:pPr>
              <w:spacing w:after="0" w:line="121" w:lineRule="exact"/>
              <w:rPr>
                <w:sz w:val="20"/>
                <w:szCs w:val="20"/>
                <w:color w:val="auto"/>
              </w:rPr>
            </w:pPr>
            <w:r>
              <w:rPr>
                <w:rFonts w:ascii="Arial" w:cs="Arial" w:eastAsia="Arial" w:hAnsi="Arial"/>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color w:val="auto"/>
              </w:rPr>
              <w:t>compensation, net of tax witholdings</w:t>
            </w:r>
          </w:p>
        </w:tc>
        <w:tc>
          <w:tcPr>
            <w:tcW w:w="600" w:type="dxa"/>
            <w:vAlign w:val="bottom"/>
          </w:tcPr>
          <w:p>
            <w:pPr>
              <w:jc w:val="right"/>
              <w:spacing w:after="0"/>
              <w:rPr>
                <w:sz w:val="20"/>
                <w:szCs w:val="20"/>
                <w:color w:val="auto"/>
              </w:rPr>
            </w:pPr>
            <w:r>
              <w:rPr>
                <w:rFonts w:ascii="Arial" w:cs="Arial" w:eastAsia="Arial" w:hAnsi="Arial"/>
                <w:sz w:val="13"/>
                <w:szCs w:val="13"/>
                <w:color w:val="auto"/>
              </w:rPr>
              <w:t>29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4,382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4,382</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Dividend declared to shareholders (0.4875 per share)</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(8,654)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(8,654)</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390</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390</w:t>
            </w:r>
          </w:p>
        </w:tc>
      </w:tr>
      <w:tr>
        <w:trPr>
          <w:trHeight w:val="135"/>
        </w:trPr>
        <w:tc>
          <w:tcPr>
            <w:tcW w:w="35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(437)</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(437)</w:t>
            </w:r>
          </w:p>
        </w:tc>
      </w:tr>
      <w:tr>
        <w:trPr>
          <w:trHeight w:val="129"/>
        </w:trPr>
        <w:tc>
          <w:tcPr>
            <w:tcW w:w="35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July 31, 2023</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17,761</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175,653</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42,024</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1,405</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219,100</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right="119" w:firstLine="259"/>
        <w:spacing w:after="0" w:line="270" w:lineRule="auto"/>
        <w:rPr>
          <w:sz w:val="20"/>
          <w:szCs w:val="20"/>
          <w:color w:val="auto"/>
        </w:rPr>
      </w:pPr>
      <w:r>
        <w:rPr>
          <w:rFonts w:ascii="Arial" w:cs="Arial" w:eastAsia="Arial" w:hAnsi="Arial"/>
          <w:sz w:val="17"/>
          <w:szCs w:val="17"/>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we report our operations in two different business segments: Grown and Prepared.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79" w:firstLine="259"/>
        <w:spacing w:after="0" w:line="289" w:lineRule="auto"/>
        <w:rPr>
          <w:sz w:val="20"/>
          <w:szCs w:val="20"/>
          <w:color w:val="auto"/>
        </w:rPr>
      </w:pPr>
      <w:r>
        <w:rPr>
          <w:rFonts w:ascii="Arial" w:cs="Arial" w:eastAsia="Arial" w:hAnsi="Arial"/>
          <w:sz w:val="16"/>
          <w:szCs w:val="16"/>
          <w:color w:val="auto"/>
        </w:rPr>
        <w:t>The accompanying unaudited consolidated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2022.</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229" w:lineRule="exact"/>
        <w:rPr>
          <w:sz w:val="20"/>
          <w:szCs w:val="20"/>
          <w:color w:val="auto"/>
        </w:rPr>
      </w:pPr>
    </w:p>
    <w:p>
      <w:pPr>
        <w:ind w:left="40" w:right="179" w:firstLine="259"/>
        <w:spacing w:after="0" w:line="271" w:lineRule="auto"/>
        <w:rPr>
          <w:sz w:val="20"/>
          <w:szCs w:val="20"/>
          <w:color w:val="auto"/>
        </w:rPr>
      </w:pPr>
      <w:r>
        <w:rPr>
          <w:rFonts w:ascii="Arial" w:cs="Arial" w:eastAsia="Arial" w:hAnsi="Arial"/>
          <w:sz w:val="17"/>
          <w:szCs w:val="17"/>
          <w:color w:val="auto"/>
        </w:rPr>
        <w:t>We report our operations in two different business segments: Grown and Prepared. The Grown segment consists of fresh avocados, tomatoes and papayas. The Prepared segment comprises all other products including fresh cut fruits and vegetables, ready-to-eat sandwiches, wraps, salads and snacks, guacamole, and salsa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Three months ended July 31, 2023</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Three months ended July 31, 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Grown</w:t>
            </w:r>
          </w:p>
        </w:tc>
        <w:tc>
          <w:tcPr>
            <w:tcW w:w="20" w:type="dxa"/>
            <w:vAlign w:val="bottom"/>
          </w:tcPr>
          <w:p>
            <w:pPr>
              <w:spacing w:after="0"/>
              <w:rPr>
                <w:sz w:val="24"/>
                <w:szCs w:val="2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Grown</w:t>
            </w:r>
          </w:p>
        </w:tc>
        <w:tc>
          <w:tcPr>
            <w:tcW w:w="80" w:type="dxa"/>
            <w:vAlign w:val="bottom"/>
          </w:tcPr>
          <w:p>
            <w:pPr>
              <w:spacing w:after="0"/>
              <w:rPr>
                <w:sz w:val="24"/>
                <w:szCs w:val="2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Prepared</w:t>
            </w:r>
          </w:p>
        </w:tc>
        <w:tc>
          <w:tcPr>
            <w:tcW w:w="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$ 127,328</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$ 127,328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$ 196,443</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$ 196,443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Tomatoes</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15,662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15,662</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8,990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Other fresh income</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Fresh-cut products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101,150</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101,150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117,541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117,541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Guacamole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18,049</w:t>
            </w:r>
          </w:p>
        </w:tc>
        <w:tc>
          <w:tcPr>
            <w:tcW w:w="2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18,049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19,606</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19,606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Salsa</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Total gross sales</w:t>
            </w:r>
          </w:p>
        </w:tc>
        <w:tc>
          <w:tcPr>
            <w:tcW w:w="900" w:type="dxa"/>
            <w:vAlign w:val="bottom"/>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145,338</w:t>
            </w: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119,248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264,586</w:t>
            </w:r>
          </w:p>
        </w:tc>
        <w:tc>
          <w:tcPr>
            <w:tcW w:w="140" w:type="dxa"/>
            <w:vAlign w:val="bottom"/>
          </w:tcPr>
          <w:p>
            <w:pPr>
              <w:spacing w:after="0"/>
              <w:rPr>
                <w:sz w:val="17"/>
                <w:szCs w:val="17"/>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208,166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137,671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345,837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Less sales allowances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(3,442)</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(2,799)</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Less inter-company eliminations</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(470)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7"/>
              </w:rPr>
              <w:t>$ 144,069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115,806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7"/>
              </w:rPr>
              <w:t>$ 259,875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$ 207,119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134,872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$ 341,991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Nine months ended July 31, 2023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Nine months ended July 31,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Grown</w:t>
            </w:r>
          </w:p>
        </w:tc>
        <w:tc>
          <w:tcPr>
            <w:tcW w:w="2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Prepared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Grown</w:t>
            </w:r>
          </w:p>
        </w:tc>
        <w:tc>
          <w:tcPr>
            <w:tcW w:w="80" w:type="dxa"/>
            <w:vAlign w:val="bottom"/>
          </w:tcPr>
          <w:p>
            <w:pPr>
              <w:spacing w:after="0"/>
              <w:rPr>
                <w:sz w:val="24"/>
                <w:szCs w:val="2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Prepared</w:t>
            </w:r>
          </w:p>
        </w:tc>
        <w:tc>
          <w:tcPr>
            <w:tcW w:w="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$ 352,858</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$ 352,858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$ 538,882</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$ 538,882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Tomatoes</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45,669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45,669</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36,331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36,331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8,193</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8,462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8,462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Other fresh income</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Fresh-cut products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283,588</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283,588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316,804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316,804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Guacamole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52,601</w:t>
            </w:r>
          </w:p>
        </w:tc>
        <w:tc>
          <w:tcPr>
            <w:tcW w:w="2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52,601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56,976</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56,976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Salsa</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spacing w:after="0"/>
              <w:rPr>
                <w:sz w:val="20"/>
                <w:szCs w:val="20"/>
                <w:color w:val="auto"/>
              </w:rPr>
            </w:pPr>
            <w:r>
              <w:rPr>
                <w:rFonts w:ascii="Arial" w:cs="Arial" w:eastAsia="Arial" w:hAnsi="Arial"/>
                <w:sz w:val="16"/>
                <w:szCs w:val="16"/>
                <w:color w:val="auto"/>
              </w:rPr>
              <w:t>Total gross sales</w:t>
            </w:r>
          </w:p>
        </w:tc>
        <w:tc>
          <w:tcPr>
            <w:tcW w:w="920" w:type="dxa"/>
            <w:vAlign w:val="bottom"/>
            <w:gridSpan w:val="2"/>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406,795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336,945</w:t>
            </w:r>
          </w:p>
        </w:tc>
        <w:tc>
          <w:tcPr>
            <w:tcW w:w="20" w:type="dxa"/>
            <w:vAlign w:val="bottom"/>
            <w:tcBorders>
              <w:top w:val="single" w:sz="8" w:color="auto"/>
            </w:tcBorders>
          </w:tcPr>
          <w:p>
            <w:pPr>
              <w:spacing w:after="0"/>
              <w:rPr>
                <w:sz w:val="17"/>
                <w:szCs w:val="17"/>
                <w:color w:val="auto"/>
              </w:rPr>
            </w:pPr>
          </w:p>
        </w:tc>
        <w:tc>
          <w:tcPr>
            <w:tcW w:w="220" w:type="dxa"/>
            <w:vAlign w:val="bottom"/>
            <w:gridSpan w:val="3"/>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743,740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583,762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375,129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958,891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Less sales allowances</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(3,510)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(8,296)</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(11,806)</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(9,831)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Less inter-company eliminations</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(1,166)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(1,166)</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(1,559)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9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$ 402,119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328,649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4"/>
              </w:rPr>
              <w:t>$ 730,768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$ 579,612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367,889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$ 947,501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Grown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Prepared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Interco.</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Elimins.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gridSpan w:val="16"/>
          </w:tcPr>
          <w:p>
            <w:pPr>
              <w:ind w:left="400"/>
              <w:spacing w:after="0" w:line="129" w:lineRule="exact"/>
              <w:rPr>
                <w:sz w:val="20"/>
                <w:szCs w:val="20"/>
                <w:color w:val="auto"/>
              </w:rPr>
            </w:pPr>
            <w:r>
              <w:rPr>
                <w:rFonts w:ascii="Arial" w:cs="Arial" w:eastAsia="Arial" w:hAnsi="Arial"/>
                <w:sz w:val="14"/>
                <w:szCs w:val="14"/>
                <w:b w:val="1"/>
                <w:bCs w:val="1"/>
                <w:color w:val="auto"/>
              </w:rPr>
              <w:t>(All amounts are presented 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2023</w:t>
            </w: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144,543</w:t>
            </w:r>
          </w:p>
        </w:tc>
        <w:tc>
          <w:tcPr>
            <w:tcW w:w="2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115,806</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(474)</w:t>
            </w:r>
          </w:p>
        </w:tc>
        <w:tc>
          <w:tcPr>
            <w:tcW w:w="40" w:type="dxa"/>
            <w:vAlign w:val="bottom"/>
          </w:tcPr>
          <w:p>
            <w:pPr>
              <w:spacing w:after="0"/>
              <w:rPr>
                <w:sz w:val="18"/>
                <w:szCs w:val="18"/>
                <w:color w:val="auto"/>
              </w:rPr>
            </w:pPr>
          </w:p>
        </w:tc>
        <w:tc>
          <w:tcPr>
            <w:tcW w:w="28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259,875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123,190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112,134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2022</w:t>
            </w: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207,589</w:t>
            </w:r>
          </w:p>
        </w:tc>
        <w:tc>
          <w:tcPr>
            <w:tcW w:w="2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134,872</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40" w:type="dxa"/>
            <w:vAlign w:val="bottom"/>
          </w:tcPr>
          <w:p>
            <w:pPr>
              <w:spacing w:after="0"/>
              <w:rPr>
                <w:sz w:val="18"/>
                <w:szCs w:val="18"/>
                <w:color w:val="auto"/>
              </w:rPr>
            </w:pPr>
          </w:p>
        </w:tc>
        <w:tc>
          <w:tcPr>
            <w:tcW w:w="28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341,991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195,818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128,129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3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18,514</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Interco.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9"/>
              </w:rPr>
              <w:t>Grown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Prepared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Elimins.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gridSpan w:val="17"/>
          </w:tcPr>
          <w:p>
            <w:pPr>
              <w:ind w:left="380"/>
              <w:spacing w:after="0"/>
              <w:rPr>
                <w:sz w:val="20"/>
                <w:szCs w:val="20"/>
                <w:color w:val="auto"/>
              </w:rPr>
            </w:pPr>
            <w:r>
              <w:rPr>
                <w:rFonts w:ascii="Arial" w:cs="Arial" w:eastAsia="Arial" w:hAnsi="Arial"/>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July 31, 2023</w:t>
            </w: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403,285</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328,649</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(1,166)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730,768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359,852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317,588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(1,166)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676,274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July 31, 2022</w:t>
            </w: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581,171</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367,889</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(1,559)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947,501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539,577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355,999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894,017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41,594</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53,484</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39" w:firstLine="259"/>
        <w:spacing w:after="0" w:line="311" w:lineRule="auto"/>
        <w:rPr>
          <w:sz w:val="20"/>
          <w:szCs w:val="20"/>
          <w:color w:val="auto"/>
        </w:rPr>
      </w:pPr>
      <w:r>
        <w:rPr>
          <w:rFonts w:ascii="Arial" w:cs="Arial" w:eastAsia="Arial" w:hAnsi="Arial"/>
          <w:sz w:val="16"/>
          <w:szCs w:val="16"/>
          <w:color w:val="auto"/>
        </w:rPr>
        <w:t>For the three months ended July 31, 2023 and 2022, intercompany sales and cost of sales of $0.5 million between Grown products and Prepared products were eliminated. For the nine months ended July 31, 2023 and 2022, intercompany sales and cost of sales of $1.2 million and $1.6 million between Grown products and Prepared products were eliminated.</w:t>
      </w:r>
    </w:p>
    <w:p>
      <w:pPr>
        <w:spacing w:after="0" w:line="81" w:lineRule="exact"/>
        <w:rPr>
          <w:sz w:val="20"/>
          <w:szCs w:val="20"/>
          <w:color w:val="auto"/>
        </w:rPr>
      </w:pPr>
    </w:p>
    <w:p>
      <w:pPr>
        <w:ind w:left="40" w:right="179" w:firstLine="259"/>
        <w:spacing w:after="0" w:line="263" w:lineRule="auto"/>
        <w:rPr>
          <w:sz w:val="20"/>
          <w:szCs w:val="20"/>
          <w:color w:val="auto"/>
        </w:rPr>
      </w:pPr>
      <w:r>
        <w:rPr>
          <w:rFonts w:ascii="Arial" w:cs="Arial" w:eastAsia="Arial" w:hAnsi="Arial"/>
          <w:sz w:val="18"/>
          <w:szCs w:val="18"/>
          <w:color w:val="auto"/>
        </w:rPr>
        <w:t>Sales to customers outside the U.S. were approximately $8.6 million, and $6.1 million for the three months ended July 31, 2023 and 2022. Sales to customers outside the U.S. were approximately $24.1 million, and $21.5 million for the nine months ended July 31, 2023 and 2022.</w:t>
      </w:r>
    </w:p>
    <w:p>
      <w:pPr>
        <w:spacing w:after="0" w:line="184" w:lineRule="exact"/>
        <w:rPr>
          <w:sz w:val="20"/>
          <w:szCs w:val="20"/>
          <w:color w:val="auto"/>
        </w:rPr>
      </w:pPr>
    </w:p>
    <w:p>
      <w:pPr>
        <w:ind w:left="40" w:right="139" w:firstLine="259"/>
        <w:spacing w:after="0" w:line="289" w:lineRule="auto"/>
        <w:rPr>
          <w:sz w:val="20"/>
          <w:szCs w:val="20"/>
          <w:color w:val="auto"/>
        </w:rPr>
      </w:pPr>
      <w:r>
        <w:rPr>
          <w:rFonts w:ascii="Arial" w:cs="Arial" w:eastAsia="Arial" w:hAnsi="Arial"/>
          <w:sz w:val="16"/>
          <w:szCs w:val="16"/>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gains in the current quarter. These gains were due primarily to certain long-term net peso receivables. Foreign currency remeasurement gains, net of losses, for the three and nine months ended July 31, 2023 were $2.0 million and $4.4 million respectively. Foreign currency remeasurement losses, net of gains, for the three and nine months ended July 31, 2022 were $0.4 million and $1.3 million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The net carrying value of long-lived assets attributed to geographic areas as of July 31, 2023 and October 31, 2022,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Mexico</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July 31, 2023</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77,760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36,464</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114,224</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October 31, 2022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77,208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36,102</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113,310</w:t>
            </w:r>
          </w:p>
        </w:tc>
        <w:tc>
          <w:tcPr>
            <w:tcW w:w="0" w:type="dxa"/>
            <w:vAlign w:val="bottom"/>
          </w:tcPr>
          <w:p>
            <w:pPr>
              <w:spacing w:after="0"/>
              <w:rPr>
                <w:sz w:val="1"/>
                <w:szCs w:val="1"/>
                <w:color w:val="auto"/>
              </w:rPr>
            </w:pPr>
          </w:p>
        </w:tc>
      </w:tr>
      <w:tr>
        <w:trPr>
          <w:trHeight w:val="4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(in thousands):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31,</w:t>
            </w:r>
          </w:p>
        </w:tc>
        <w:tc>
          <w:tcPr>
            <w:tcW w:w="160" w:type="dxa"/>
            <w:vAlign w:val="bottom"/>
          </w:tcPr>
          <w:p>
            <w:pPr>
              <w:spacing w:after="0"/>
              <w:rPr>
                <w:sz w:val="24"/>
                <w:szCs w:val="2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October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$ 13,865</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14,036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14,176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8"/>
              </w:rPr>
              <w:t>$ 38,878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259"/>
        <w:spacing w:after="0" w:line="311" w:lineRule="auto"/>
        <w:rPr>
          <w:sz w:val="20"/>
          <w:szCs w:val="20"/>
          <w:color w:val="auto"/>
        </w:rPr>
      </w:pPr>
      <w:r>
        <w:rPr>
          <w:rFonts w:ascii="Arial" w:cs="Arial" w:eastAsia="Arial" w:hAnsi="Arial"/>
          <w:sz w:val="16"/>
          <w:szCs w:val="16"/>
          <w:color w:val="auto"/>
        </w:rPr>
        <w:t>Inventories are stated at the lower of cost or net realizable value. We periodically review the value of items in inventory and record any necessary write downs of inventory based on our assessment of market conditions. Inventory includes reserves of $0.7 million and $0.5 million in slow moving inventories as of July 31, 2023 and October 31, 2022.</w:t>
      </w:r>
    </w:p>
    <w:p>
      <w:pPr>
        <w:spacing w:after="0" w:line="145"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ind w:left="40" w:right="99" w:firstLine="259"/>
        <w:spacing w:after="0" w:line="290" w:lineRule="auto"/>
        <w:rPr>
          <w:sz w:val="20"/>
          <w:szCs w:val="20"/>
          <w:color w:val="auto"/>
        </w:rPr>
      </w:pPr>
      <w:r>
        <w:rPr>
          <w:rFonts w:ascii="Arial" w:cs="Arial" w:eastAsia="Arial" w:hAnsi="Arial"/>
          <w:sz w:val="16"/>
          <w:szCs w:val="16"/>
          <w:color w:val="auto"/>
        </w:rPr>
        <w:t>Certain members of our Board of Directors market California avocados through Calavo pursuant to marketing agreements substantially similar to the marketing agreements that we enter into with other growers. For the three months ended July 31, 2023 and 2022, the aggregate amount of avocados procured from entities owned or controlled by members of our Board of Directors was $2.2 million and $5.7 million. For the nine months ended July 31, 2023 and 2022, the aggregate amount of avocados procured from entities owned or controlled by members of our Board of Directors was $2.3 million and $7.3 million. Amounts payable to these Board members were $0.8 million as of July 31, 2023. We did not have any amounts payable to these Board members as of October 31, 2022. For the three and nine months ended July 31, 2023, we have procured $1.7 million of avocados from entities affiliated with our Chief Executive Officer.</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Agricola Don Memo, S.A. de C.V. (“Don Memo”)</w:t>
      </w:r>
    </w:p>
    <w:p>
      <w:pPr>
        <w:spacing w:after="0" w:line="225"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Calavo and Agricola Belher (“Belher”) have an equal one-half ownership interest in Don Memo. Pursuant to a management service agreement, Belher, through its officers and employees, has day-to-day power and authority to manage the operations.</w:t>
      </w:r>
    </w:p>
    <w:p>
      <w:pPr>
        <w:spacing w:after="0" w:line="184" w:lineRule="exact"/>
        <w:rPr>
          <w:sz w:val="20"/>
          <w:szCs w:val="20"/>
          <w:color w:val="auto"/>
        </w:rPr>
      </w:pPr>
    </w:p>
    <w:p>
      <w:pPr>
        <w:ind w:left="40" w:right="59" w:firstLine="259"/>
        <w:spacing w:after="0" w:line="287" w:lineRule="auto"/>
        <w:rPr>
          <w:sz w:val="20"/>
          <w:szCs w:val="20"/>
          <w:color w:val="auto"/>
        </w:rPr>
      </w:pPr>
      <w:r>
        <w:rPr>
          <w:rFonts w:ascii="Arial" w:cs="Arial" w:eastAsia="Arial" w:hAnsi="Arial"/>
          <w:sz w:val="16"/>
          <w:szCs w:val="16"/>
          <w:color w:val="auto"/>
        </w:rPr>
        <w:t>As of July 31, 2023, and October 31, 2022, we had an investment of $3.4 million and $3.8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and nine months ended July 31, 2023, we advanced $0.2 million and $4.1 million of preseason advances to Don Memo, respectively. As of July 31, 2023 and October 31, 2022, we had outstanding advances of $6.0 million and $7.0 million to Don Memo. In October 2020, we entered into an infrastructure loan agreement with Don Memo for up to $2.4 million secured by certain property and equipment of Don Memo. This infrastructure loan accrues interest at 7.25%. The total outstanding infrastructure loan balance at July 31, 2023 and at October 31, 2022, was $1.6 million. This infrastructure loan agreement will mature in fiscal 2024. During the three months ended July 31, 2023 and 2022, we incurred $6.9 million and $3.2 million of cost of sales to Don Memo pursuant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to our purchase consignment agreement. During the nine months ended July 31, 2023 and 2022, we incurred $13.0 million and $7.1 million of cost of sales to Don Memo pursuant to our purchase consignment agreement.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Belher</w:t>
      </w:r>
    </w:p>
    <w:p>
      <w:pPr>
        <w:spacing w:after="0" w:line="225" w:lineRule="exact"/>
        <w:rPr>
          <w:sz w:val="20"/>
          <w:szCs w:val="20"/>
          <w:color w:val="auto"/>
        </w:rPr>
      </w:pPr>
    </w:p>
    <w:p>
      <w:pPr>
        <w:ind w:left="40" w:right="59" w:firstLine="259"/>
        <w:spacing w:after="0" w:line="268" w:lineRule="auto"/>
        <w:rPr>
          <w:sz w:val="20"/>
          <w:szCs w:val="20"/>
          <w:color w:val="auto"/>
        </w:rPr>
      </w:pPr>
      <w:r>
        <w:rPr>
          <w:rFonts w:ascii="Arial" w:cs="Arial" w:eastAsia="Arial" w:hAnsi="Arial"/>
          <w:sz w:val="17"/>
          <w:szCs w:val="17"/>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$5.2 million and $4.5 million as of July 31, 2023 and October 31, 2022, which are netted against the grower payable. In addition, we had infrastructure advances due from Belher of $0.9 million as of October 31, 2022. These infrastructure advances were recorded as a receivable in prepaid and other current assets as of October 31, 2022. 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The total outstanding bridge loan balance at July 31, 2023, was $1.7 million, which is included in prepaids and other current assets. The total outstanding bridge loan balance at October 31, 2022, was $2.6 million ($0.9 million is included in prepaids and other current assets and $1.7 million in other assets). During the three months ended July 31, 2023 and 2022, we incurred $2.1 million and $1.4 million of cost of sales to Belher pursuant to our purchase consignment agreement. During the nine months ended July 31, 2023 and 2022, we incurred $16.2 million and $19.0 million of cost of sales to Belher pursuant to our purchase consignment agreement.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Avocados de Jalisco, S.A.P.I. de C.V. (“Avocados de Jalisco”)</w:t>
      </w:r>
    </w:p>
    <w:p>
      <w:pPr>
        <w:spacing w:after="0" w:line="225" w:lineRule="exact"/>
        <w:rPr>
          <w:sz w:val="20"/>
          <w:szCs w:val="20"/>
          <w:color w:val="auto"/>
        </w:rPr>
      </w:pPr>
    </w:p>
    <w:p>
      <w:pPr>
        <w:ind w:left="40" w:right="99" w:firstLine="259"/>
        <w:spacing w:after="0" w:line="272" w:lineRule="auto"/>
        <w:rPr>
          <w:sz w:val="20"/>
          <w:szCs w:val="20"/>
          <w:color w:val="auto"/>
        </w:rPr>
      </w:pPr>
      <w:r>
        <w:rPr>
          <w:rFonts w:ascii="Arial" w:cs="Arial" w:eastAsia="Arial" w:hAnsi="Arial"/>
          <w:sz w:val="17"/>
          <w:szCs w:val="17"/>
          <w:color w:val="auto"/>
        </w:rPr>
        <w:t>In August 2015, we entered into a Shareholder’s Agreement with various Mexican partners and created Avocados de Jalisco. Avocados de Jalisco is a Mexican corporation created to engage in procuring, packing and selling avocados. As of July 31, 2023, this entity was approximately 83% owned by Calavo and was consolidated in our financial statements. Avocados de Jalisco built a packinghouse located in Jalisco, Mexico, which began operations in June of 2017. During the three months ended July 31, 2023 and 2022 we purchased approximately $2.1 million and $1.2 million of avocados from the partners of Avocados de Jalisco. During the nine months ended July 31, 2023 and 2022 we purchased approximately $6.4 million and $4.7 million of avocados from the partners of Avocados de Jalisco.</w:t>
      </w:r>
    </w:p>
    <w:p>
      <w:pPr>
        <w:spacing w:after="0" w:line="173"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Other assets and Intangibles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assets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rPr>
              <w:t>July 31,</w:t>
            </w:r>
          </w:p>
        </w:tc>
        <w:tc>
          <w:tcPr>
            <w:tcW w:w="1700" w:type="dxa"/>
            <w:vAlign w:val="bottom"/>
            <w:gridSpan w:val="4"/>
          </w:tcPr>
          <w:p>
            <w:pPr>
              <w:ind w:left="1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6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Mexican IVA (i.e. value-added) taxes receivable, net (see Note 10)</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$ 54,108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43,625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Infrastructure advances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Bridge loan to Agricola Belher</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$ 56,726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47,170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141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0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July 31, 2023</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October 31, 2022</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w:t>
            </w:r>
          </w:p>
        </w:tc>
        <w:tc>
          <w:tcPr>
            <w:tcW w:w="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Accum.</w:t>
            </w: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years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$ 17,340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$ 4,929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$ 17,340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$ 5,967</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Trade names</w:t>
            </w:r>
          </w:p>
        </w:tc>
        <w:tc>
          <w:tcPr>
            <w:tcW w:w="760" w:type="dxa"/>
            <w:vAlign w:val="bottom"/>
          </w:tcPr>
          <w:p>
            <w:pPr>
              <w:jc w:val="right"/>
              <w:spacing w:after="0"/>
              <w:rPr>
                <w:sz w:val="20"/>
                <w:szCs w:val="20"/>
                <w:color w:val="auto"/>
              </w:rPr>
            </w:pPr>
            <w:r>
              <w:rPr>
                <w:rFonts w:ascii="Arial" w:cs="Arial" w:eastAsia="Arial" w:hAnsi="Arial"/>
                <w:sz w:val="18"/>
                <w:szCs w:val="18"/>
                <w:color w:val="auto"/>
              </w:rPr>
              <w:t>8 years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62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years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Brand name intangibles</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indefinite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$ 22,305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$ 7,206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19" w:firstLine="259"/>
        <w:spacing w:after="0" w:line="308" w:lineRule="auto"/>
        <w:rPr>
          <w:sz w:val="20"/>
          <w:szCs w:val="20"/>
          <w:color w:val="auto"/>
        </w:rPr>
      </w:pPr>
      <w:r>
        <w:rPr>
          <w:rFonts w:ascii="Arial" w:cs="Arial" w:eastAsia="Arial" w:hAnsi="Arial"/>
          <w:sz w:val="17"/>
          <w:szCs w:val="17"/>
          <w:color w:val="auto"/>
        </w:rPr>
        <w:t>We anticipate recording amortization expense of $0.4 million for the remainder of fiscal 2023, $1.5 million for fiscal year 2024, $1.5 million for fiscal year 2025, $1.5 million for fiscal year 2026, and $0.9 million thereafter.</w:t>
      </w:r>
    </w:p>
    <w:p>
      <w:pPr>
        <w:spacing w:after="0" w:line="14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Stock Awards (RSAs)</w:t>
      </w:r>
    </w:p>
    <w:p>
      <w:pPr>
        <w:spacing w:after="0" w:line="225" w:lineRule="exact"/>
        <w:rPr>
          <w:sz w:val="20"/>
          <w:szCs w:val="20"/>
          <w:color w:val="auto"/>
        </w:rPr>
      </w:pPr>
    </w:p>
    <w:p>
      <w:pPr>
        <w:ind w:left="40" w:right="239" w:firstLine="259"/>
        <w:spacing w:after="0" w:line="279" w:lineRule="auto"/>
        <w:rPr>
          <w:sz w:val="20"/>
          <w:szCs w:val="20"/>
          <w:color w:val="auto"/>
        </w:rPr>
      </w:pPr>
      <w:r>
        <w:rPr>
          <w:rFonts w:ascii="Arial" w:cs="Arial" w:eastAsia="Arial" w:hAnsi="Arial"/>
          <w:sz w:val="17"/>
          <w:szCs w:val="17"/>
          <w:color w:val="auto"/>
        </w:rPr>
        <w:t>On November 3, 2022, our former Chief Executive Officer (CEO) entered into an amendment to his employment agreement, which changed $100,000 of his guaranteed STIP cash bonus for fiscal 2022 to $100,000 worth of unrestricted Calavo common stock. On December 22, 2022, our CEO was granted 3,321 shares of unrestricted common stock. The closing share price of our common stock at the grant date was $30.12.</w:t>
      </w:r>
    </w:p>
    <w:p>
      <w:pPr>
        <w:spacing w:after="0" w:line="171" w:lineRule="exact"/>
        <w:rPr>
          <w:sz w:val="20"/>
          <w:szCs w:val="20"/>
          <w:color w:val="auto"/>
        </w:rPr>
      </w:pPr>
    </w:p>
    <w:p>
      <w:pPr>
        <w:ind w:left="40" w:right="219" w:firstLine="259"/>
        <w:spacing w:after="0" w:line="290" w:lineRule="auto"/>
        <w:rPr>
          <w:sz w:val="20"/>
          <w:szCs w:val="20"/>
          <w:color w:val="auto"/>
        </w:rPr>
      </w:pPr>
      <w:r>
        <w:rPr>
          <w:rFonts w:ascii="Arial" w:cs="Arial" w:eastAsia="Arial" w:hAnsi="Arial"/>
          <w:sz w:val="16"/>
          <w:szCs w:val="16"/>
          <w:color w:val="auto"/>
        </w:rPr>
        <w:t>On December 1, 2022, our 10 directors were granted 3,478 restricted shares each (for a total of 34,780 shares). These shares have full voting rights and participate in dividends as if unrestricted. The closing share price of our stock on such grant date was $34.51. Two directors did not seek reelection in April of 2023, and, consequently, 1,678 shares for each director (for a total of 3,356 shares) vested and became unrestricted while 1,800 shares for each director (for a total of 3,600 shares) were forfeited. As of November 1, 2023, the remaining 27,824 shares will vest and become unrestricted subject to the continued service of the director. The total recognized stock-based compensation expense for these grants was $0.3 million for the three months ended July 31, 2023. The total recognized stock-based compensation expense for these grants was $0.8 million for the nine months ended July 31, 2023.</w:t>
      </w:r>
    </w:p>
    <w:p>
      <w:pPr>
        <w:spacing w:after="0" w:line="16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On March 7, 2023, our former CEO was terminated. As part of his Separation Agreement, the remaining 19,329 restricted shares that were granted as part of his original employment agreement were immediately vested. The total stock-based compensation expense recognized was $0.8 million for the three and nine months ended July 31, 2023.</w:t>
      </w:r>
    </w:p>
    <w:p>
      <w:pPr>
        <w:spacing w:after="0" w:line="165" w:lineRule="exact"/>
        <w:rPr>
          <w:sz w:val="20"/>
          <w:szCs w:val="20"/>
          <w:color w:val="auto"/>
        </w:rPr>
      </w:pPr>
    </w:p>
    <w:p>
      <w:pPr>
        <w:ind w:left="40" w:right="239" w:firstLine="259"/>
        <w:spacing w:after="0" w:line="296" w:lineRule="auto"/>
        <w:rPr>
          <w:sz w:val="20"/>
          <w:szCs w:val="20"/>
          <w:color w:val="auto"/>
        </w:rPr>
      </w:pPr>
      <w:r>
        <w:rPr>
          <w:rFonts w:ascii="Arial" w:cs="Arial" w:eastAsia="Arial" w:hAnsi="Arial"/>
          <w:sz w:val="16"/>
          <w:szCs w:val="16"/>
          <w:color w:val="auto"/>
        </w:rPr>
        <w:t>The total recognized stock-based compensation expense for restricted stock awards was $0.2 million and $0.4 million for the three months ended July 31, 2023 and 2022, respectively. The total recognized stock-based compensation expense for restricted stock awards was $1.9 million and $1.8 million for the nine months ended July 31, 2023 and 2022, respectively. As of July 31, 2023, there was $0.3 million of unrecognized stock-based compensation costs related to non-vested RSAs, which the Company expects to recognize over a weighted-average period of 0.3 years.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99" w:firstLine="259"/>
        <w:spacing w:after="0" w:line="277" w:lineRule="auto"/>
        <w:rPr>
          <w:sz w:val="20"/>
          <w:szCs w:val="20"/>
          <w:color w:val="auto"/>
        </w:rPr>
      </w:pPr>
      <w:r>
        <w:rPr>
          <w:rFonts w:ascii="Arial" w:cs="Arial" w:eastAsia="Arial" w:hAnsi="Arial"/>
          <w:sz w:val="18"/>
          <w:szCs w:val="18"/>
          <w:color w:val="auto"/>
        </w:rPr>
        <w:t>A combined summary of restricted stock award activity, related to our 2011 and 2020 Plans, is as follows (in thousands, except for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Grant Price</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2023</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rPr>
              <w:t>Outstanding at July 31, 2023</w:t>
            </w:r>
          </w:p>
        </w:tc>
        <w:tc>
          <w:tcPr>
            <w:tcW w:w="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top w:val="single" w:sz="8" w:color="auto"/>
            </w:tcBorders>
          </w:tcPr>
          <w:p>
            <w:pPr>
              <w:spacing w:after="0"/>
              <w:rPr>
                <w:sz w:val="18"/>
                <w:szCs w:val="18"/>
                <w:color w:val="auto"/>
              </w:rPr>
            </w:pP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35.38</w:t>
            </w:r>
          </w:p>
        </w:tc>
        <w:tc>
          <w:tcPr>
            <w:tcW w:w="2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360" w:type="dxa"/>
            <w:vAlign w:val="bottom"/>
          </w:tcPr>
          <w:p>
            <w:pPr>
              <w:spacing w:after="0"/>
              <w:rPr>
                <w:sz w:val="24"/>
                <w:szCs w:val="24"/>
                <w:color w:val="auto"/>
              </w:rPr>
            </w:pPr>
          </w:p>
        </w:tc>
        <w:tc>
          <w:tcPr>
            <w:tcW w:w="11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Price</w:t>
            </w:r>
          </w:p>
        </w:tc>
        <w:tc>
          <w:tcPr>
            <w:tcW w:w="12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2022</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31, 2023</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Stock Units (RSUs) and Performance Restricted Stock Units (PRSUs)</w:t>
      </w:r>
    </w:p>
    <w:p>
      <w:pPr>
        <w:spacing w:after="0" w:line="225" w:lineRule="exact"/>
        <w:rPr>
          <w:sz w:val="20"/>
          <w:szCs w:val="20"/>
          <w:color w:val="auto"/>
        </w:rPr>
      </w:pPr>
    </w:p>
    <w:p>
      <w:pPr>
        <w:jc w:val="both"/>
        <w:ind w:left="40" w:right="99" w:firstLine="259"/>
        <w:spacing w:after="0" w:line="301" w:lineRule="auto"/>
        <w:rPr>
          <w:sz w:val="20"/>
          <w:szCs w:val="20"/>
          <w:color w:val="auto"/>
        </w:rPr>
      </w:pPr>
      <w:r>
        <w:rPr>
          <w:rFonts w:ascii="Arial" w:cs="Arial" w:eastAsia="Arial" w:hAnsi="Arial"/>
          <w:sz w:val="16"/>
          <w:szCs w:val="16"/>
          <w:color w:val="auto"/>
        </w:rPr>
        <w:t>On December 1, 2022, we issued RSUs and PRSUs for officers and other members of management as part of our long-term incentive plan. The RSUs are time-based and vest annually in equal amounts over a three-year period. The PRSUs are based on three-year cumulative performance targets of net sales, adjusted EBITDA and return on invested capital and vest entirely at the third anniversary. We granted 66,325 RSUs and 66,325 PRSUs at a grant price of $34.51.</w:t>
      </w:r>
    </w:p>
    <w:p>
      <w:pPr>
        <w:spacing w:after="0" w:line="157" w:lineRule="exact"/>
        <w:rPr>
          <w:sz w:val="20"/>
          <w:szCs w:val="20"/>
          <w:color w:val="auto"/>
        </w:rPr>
      </w:pPr>
    </w:p>
    <w:p>
      <w:pPr>
        <w:ind w:left="40" w:right="79" w:firstLine="259"/>
        <w:spacing w:after="0" w:line="293" w:lineRule="auto"/>
        <w:rPr>
          <w:sz w:val="20"/>
          <w:szCs w:val="20"/>
          <w:color w:val="auto"/>
        </w:rPr>
      </w:pPr>
      <w:r>
        <w:rPr>
          <w:rFonts w:ascii="Arial" w:cs="Arial" w:eastAsia="Arial" w:hAnsi="Arial"/>
          <w:sz w:val="16"/>
          <w:szCs w:val="16"/>
          <w:color w:val="auto"/>
        </w:rPr>
        <w:t>On March 7, 2023, our former CEO was terminated. As part of his Separation Agreement, 7,421 RSUs and 13,687 PRSUs immediately vested. The accelerated stock-based compensation expense recognized was $0.5 million for the nine months ended July 31, 2023. With his termination 8,574 PRSUs and 11,285 RSUs were forfeited. In June of 2023, two of our Senior Vice Presidents departed the Company and, pursuant to their employment agreements, 10,311 RSUs immediately vested. The accelerated stock-based compensation expense recognized was $0.3 million for the three and nine months ended July 31, 2023. With these departures 6,123 PRSUs and 6,123 RSUs were forfeited.</w:t>
      </w:r>
    </w:p>
    <w:p>
      <w:pPr>
        <w:spacing w:after="0" w:line="164" w:lineRule="exact"/>
        <w:rPr>
          <w:sz w:val="20"/>
          <w:szCs w:val="20"/>
          <w:color w:val="auto"/>
        </w:rPr>
      </w:pPr>
    </w:p>
    <w:p>
      <w:pPr>
        <w:ind w:left="40" w:right="79" w:firstLine="259"/>
        <w:spacing w:after="0" w:line="275" w:lineRule="auto"/>
        <w:rPr>
          <w:sz w:val="20"/>
          <w:szCs w:val="20"/>
          <w:color w:val="auto"/>
        </w:rPr>
      </w:pPr>
      <w:r>
        <w:rPr>
          <w:rFonts w:ascii="Arial" w:cs="Arial" w:eastAsia="Arial" w:hAnsi="Arial"/>
          <w:sz w:val="17"/>
          <w:szCs w:val="17"/>
          <w:color w:val="auto"/>
        </w:rPr>
        <w:t>The total recognized stock-based compensation expense for RSUs was $0.4 million and $0.3 million for the three months ended July 31, 2023 and 2022, respectively. The total recognized stock-based compensation expense for RSUs was $1.3 million and $0.3 million for the nine months ended July 31, 2023 and 2022, respectively. As of July 31, 2023, there was $1.5 million of unrecognized stock-based compensation costs related to non-vested RSUs, which the Company expects to recognize over a weighted-average period of 2.0 years.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summary of RSU activity, related to our 2020 Plan, is as follows (in thousands, except for per share amounts):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Aggregate</w:t>
            </w:r>
          </w:p>
        </w:tc>
      </w:tr>
      <w:tr>
        <w:trPr>
          <w:trHeight w:val="171"/>
        </w:trPr>
        <w:tc>
          <w:tcPr>
            <w:tcW w:w="53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Represented</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Grant Price</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Intrinsic Value</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36"/>
        </w:trPr>
        <w:tc>
          <w:tcPr>
            <w:tcW w:w="53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Aggregate</w:t>
            </w:r>
          </w:p>
        </w:tc>
      </w:tr>
      <w:tr>
        <w:trPr>
          <w:trHeight w:val="171"/>
        </w:trPr>
        <w:tc>
          <w:tcPr>
            <w:tcW w:w="53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Represented</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Grant Price</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Intrinsic Value</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At the end of each reporting period, the Company will adjust compensation expense for the PRSUs based on its best estimate of attainment of the specified performance targets. The cumulative effect on current and prior periods of a change in the estimated number of PRSUs that are expected to be earned will be recognized as an adjustment in the period of the adjustment. As of July 31, 2023, the Company determined that it was not probable that any of the PRSUs for the 2022 three-year cumulative performance grant would vest and that less than 100% of the PRSUs for the 2023 three-year cumulative performance grant would vest. The Company recorded a net reversal of approximately $0.4 million of previously amortized stock-based compensation for the three months ended July 31, 2023, for all PRSUs. The total recognized stock-based compensation expense for PRSUs was $0.1 million for the three months ended July 31, 2022. The total recognized stock-based compensation expense for PRSUs was $0.4 million and $0.1 million for the nine months ended July 31, 2023 and 2022, respectively. As of July 31, 2023, there was $0.3 million of unrecognized stock-based compensation costs related to non-vested PRSUs, which the Company expects to recognize over a weighted-average period of 2.3 years.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summary of PRSU activity, related to our 2020 Plan, is as follows (in thousands, except for per share amounts):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Aggregate</w:t>
            </w:r>
          </w:p>
        </w:tc>
      </w:tr>
      <w:tr>
        <w:trPr>
          <w:trHeight w:val="171"/>
        </w:trPr>
        <w:tc>
          <w:tcPr>
            <w:tcW w:w="53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Represented</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Grant Price</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Intrinsic Value</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Adjusted for performance factor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Outstanding at July 31, 2023</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34.51</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36"/>
        </w:trPr>
        <w:tc>
          <w:tcPr>
            <w:tcW w:w="53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Aggregate</w:t>
            </w:r>
          </w:p>
        </w:tc>
      </w:tr>
      <w:tr>
        <w:trPr>
          <w:trHeight w:val="171"/>
        </w:trPr>
        <w:tc>
          <w:tcPr>
            <w:tcW w:w="53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Represented</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Grant Price</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Intrinsic Value</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Adjusted for performance factor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Outstanding at July 31, 2023</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34.51</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left="40" w:right="339" w:firstLine="259"/>
        <w:spacing w:after="0" w:line="263"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7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76" w:lineRule="exact"/>
        <w:rPr>
          <w:sz w:val="20"/>
          <w:szCs w:val="20"/>
          <w:color w:val="auto"/>
        </w:rPr>
      </w:pPr>
    </w:p>
    <w:p>
      <w:pPr>
        <w:jc w:val="both"/>
        <w:ind w:left="40" w:right="59" w:firstLine="342"/>
        <w:spacing w:after="0" w:line="263" w:lineRule="auto"/>
        <w:rPr>
          <w:sz w:val="20"/>
          <w:szCs w:val="20"/>
          <w:color w:val="auto"/>
        </w:rPr>
      </w:pPr>
      <w:r>
        <w:rPr>
          <w:rFonts w:ascii="Arial" w:cs="Arial" w:eastAsia="Arial" w:hAnsi="Arial"/>
          <w:sz w:val="18"/>
          <w:szCs w:val="18"/>
          <w:color w:val="auto"/>
        </w:rPr>
        <w:t>In March 2023, the Company agreed to award our newly appointed CEO a stock option to purchase 500,000 shares of the Company’s common stock pursuant to the 2020 Equity Incentive Plan, which will vest in the following four tranches upon satisfaction of the milestones described below (the “Milestones”):</w:t>
      </w:r>
    </w:p>
    <w:p>
      <w:pPr>
        <w:spacing w:after="0" w:line="184" w:lineRule="exact"/>
        <w:rPr>
          <w:sz w:val="20"/>
          <w:szCs w:val="20"/>
          <w:color w:val="auto"/>
        </w:rPr>
      </w:pPr>
    </w:p>
    <w:p>
      <w:pPr>
        <w:ind w:left="260" w:hanging="216"/>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 shares subject to the option shall vest and become exercisable on March 10, 2024;</w:t>
      </w:r>
    </w:p>
    <w:p>
      <w:pPr>
        <w:spacing w:after="0" w:line="225" w:lineRule="exact"/>
        <w:rPr>
          <w:rFonts w:ascii="Arial" w:cs="Arial" w:eastAsia="Arial" w:hAnsi="Arial"/>
          <w:sz w:val="18"/>
          <w:szCs w:val="18"/>
          <w:color w:val="auto"/>
        </w:rPr>
      </w:pPr>
    </w:p>
    <w:p>
      <w:pPr>
        <w:jc w:val="both"/>
        <w:ind w:left="40" w:right="59" w:firstLine="4"/>
        <w:spacing w:after="0" w:line="257"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 shares subject to the option shall vest and become exercisable (1) if the closing price per share of the Company’s common stock, as reported by The Nasdaq Stock Market, is greater than or equal to $50.00 (the “Target Share Price”), and (2) the average closing price per share of the Company’s common stock for any thirty (30) day period following achievement of the Target Share Price (the “Thirty-day Average Share Price”), is greater than or equal to $50.00, as reported by Nasdaq;</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4"/>
        <w:spacing w:after="0" w:line="308" w:lineRule="auto"/>
        <w:tabs>
          <w:tab w:leader="none" w:pos="357" w:val="left"/>
        </w:tabs>
        <w:numPr>
          <w:ilvl w:val="0"/>
          <w:numId w:val="4"/>
        </w:numPr>
        <w:rPr>
          <w:rFonts w:ascii="Arial" w:cs="Arial" w:eastAsia="Arial" w:hAnsi="Arial"/>
          <w:sz w:val="17"/>
          <w:szCs w:val="17"/>
          <w:color w:val="auto"/>
        </w:rPr>
      </w:pPr>
      <w:r>
        <w:rPr>
          <w:rFonts w:ascii="Arial" w:cs="Arial" w:eastAsia="Arial" w:hAnsi="Arial"/>
          <w:sz w:val="17"/>
          <w:szCs w:val="17"/>
          <w:color w:val="auto"/>
        </w:rPr>
        <w:t>100,000 shares subject to the option shall vest and become exercisable (1) upon achievement of the Target Share Price, and (2) the Thirty-day Average Share Price is greater than or equal to $60.00, as reported by Nasdaq; and</w:t>
      </w:r>
    </w:p>
    <w:p>
      <w:pPr>
        <w:spacing w:after="0" w:line="146" w:lineRule="exact"/>
        <w:rPr>
          <w:rFonts w:ascii="Arial" w:cs="Arial" w:eastAsia="Arial" w:hAnsi="Arial"/>
          <w:sz w:val="17"/>
          <w:szCs w:val="17"/>
          <w:color w:val="auto"/>
        </w:rPr>
      </w:pPr>
    </w:p>
    <w:p>
      <w:pPr>
        <w:ind w:left="40" w:right="59" w:firstLine="4"/>
        <w:spacing w:after="0" w:line="308" w:lineRule="auto"/>
        <w:tabs>
          <w:tab w:leader="none" w:pos="348" w:val="left"/>
        </w:tabs>
        <w:numPr>
          <w:ilvl w:val="0"/>
          <w:numId w:val="4"/>
        </w:numPr>
        <w:rPr>
          <w:rFonts w:ascii="Arial" w:cs="Arial" w:eastAsia="Arial" w:hAnsi="Arial"/>
          <w:sz w:val="17"/>
          <w:szCs w:val="17"/>
          <w:color w:val="auto"/>
        </w:rPr>
      </w:pPr>
      <w:r>
        <w:rPr>
          <w:rFonts w:ascii="Arial" w:cs="Arial" w:eastAsia="Arial" w:hAnsi="Arial"/>
          <w:sz w:val="17"/>
          <w:szCs w:val="17"/>
          <w:color w:val="auto"/>
        </w:rPr>
        <w:t>100,000 shares subject to the option shall vest and become exercisable (1) upon achievement of the Target Share Price, and (2) the Thirty-day Average Share Price is greater than or equal to $70.00, as reported by Nasdaq;</w:t>
      </w:r>
    </w:p>
    <w:p>
      <w:pPr>
        <w:spacing w:after="0" w:line="146" w:lineRule="exact"/>
        <w:rPr>
          <w:sz w:val="20"/>
          <w:szCs w:val="20"/>
          <w:color w:val="auto"/>
        </w:rPr>
      </w:pPr>
    </w:p>
    <w:p>
      <w:pPr>
        <w:ind w:left="40" w:right="239" w:firstLine="270"/>
        <w:spacing w:after="0" w:line="259" w:lineRule="auto"/>
        <w:rPr>
          <w:sz w:val="20"/>
          <w:szCs w:val="20"/>
          <w:color w:val="auto"/>
        </w:rPr>
      </w:pPr>
      <w:r>
        <w:rPr>
          <w:rFonts w:ascii="Arial" w:cs="Arial" w:eastAsia="Arial" w:hAnsi="Arial"/>
          <w:sz w:val="18"/>
          <w:szCs w:val="18"/>
          <w:color w:val="auto"/>
        </w:rPr>
        <w:t>provided, however, that satisfaction of each Milestone is subject to our newly appointed CEO continuing as the President and CEO of the Company through each vesting event; and provided further that regardless of when he achieves the Milestones set forth in subsections (ii) through (iv) above, the applicable tranche shall only vest on or after March 10, 2024.</w:t>
      </w:r>
    </w:p>
    <w:p>
      <w:pPr>
        <w:spacing w:after="0" w:line="187" w:lineRule="exact"/>
        <w:rPr>
          <w:sz w:val="20"/>
          <w:szCs w:val="20"/>
          <w:color w:val="auto"/>
        </w:rPr>
      </w:pPr>
    </w:p>
    <w:p>
      <w:pPr>
        <w:ind w:left="40" w:right="339" w:firstLine="90"/>
        <w:spacing w:after="0" w:line="277" w:lineRule="auto"/>
        <w:rPr>
          <w:sz w:val="20"/>
          <w:szCs w:val="20"/>
          <w:color w:val="auto"/>
        </w:rPr>
      </w:pPr>
      <w:r>
        <w:rPr>
          <w:rFonts w:ascii="Arial" w:cs="Arial" w:eastAsia="Arial" w:hAnsi="Arial"/>
          <w:sz w:val="18"/>
          <w:szCs w:val="18"/>
          <w:color w:val="auto"/>
        </w:rPr>
        <w:t>We measure the fair value of our stock option awards on the date of grant. The following assumptions were used in the estimated grant date fair value calculations for stock options: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4"/>
              </w:rPr>
              <w:t>March 2023</w:t>
            </w: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35.0 %</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Expected life (years)</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40" w:right="219" w:firstLine="225"/>
        <w:spacing w:after="0" w:line="257" w:lineRule="auto"/>
        <w:rPr>
          <w:sz w:val="20"/>
          <w:szCs w:val="20"/>
          <w:color w:val="auto"/>
        </w:rPr>
      </w:pPr>
      <w:r>
        <w:rPr>
          <w:rFonts w:ascii="Arial" w:cs="Arial" w:eastAsia="Arial" w:hAnsi="Arial"/>
          <w:sz w:val="18"/>
          <w:szCs w:val="18"/>
          <w:color w:val="auto"/>
        </w:rPr>
        <w:t>The expected stock price volatility rates were based on the historical volatility of our common stock. The risk free interest rate was based on the U.S. Treasury yield curve in effect at the time of grant for periods approximating the expected life of the option. The expected life represents the average period of time that options granted are expected to be outstanding, as calculated using the simplified method described in the Securities and Exchange Commission’s Staff Accounting Bulletin No. 107.</w:t>
      </w:r>
    </w:p>
    <w:p>
      <w:pPr>
        <w:spacing w:after="0" w:line="188" w:lineRule="exact"/>
        <w:rPr>
          <w:sz w:val="20"/>
          <w:szCs w:val="20"/>
          <w:color w:val="auto"/>
        </w:rPr>
      </w:pPr>
    </w:p>
    <w:p>
      <w:pPr>
        <w:ind w:left="40" w:right="59" w:firstLine="225"/>
        <w:spacing w:after="0" w:line="296" w:lineRule="auto"/>
        <w:rPr>
          <w:sz w:val="20"/>
          <w:szCs w:val="20"/>
          <w:color w:val="auto"/>
        </w:rPr>
      </w:pPr>
      <w:r>
        <w:rPr>
          <w:rFonts w:ascii="Arial" w:cs="Arial" w:eastAsia="Arial" w:hAnsi="Arial"/>
          <w:sz w:val="16"/>
          <w:szCs w:val="16"/>
          <w:color w:val="auto"/>
        </w:rPr>
        <w:t>The Black-Scholes-Merton and lattice-based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 For the market award, we determined both the fair value and derived service period using a Monte Carlo simulation model on the closing date.</w:t>
      </w:r>
    </w:p>
    <w:p>
      <w:pPr>
        <w:spacing w:after="0" w:line="161" w:lineRule="exact"/>
        <w:rPr>
          <w:sz w:val="20"/>
          <w:szCs w:val="20"/>
          <w:color w:val="auto"/>
        </w:rPr>
      </w:pPr>
    </w:p>
    <w:p>
      <w:pPr>
        <w:ind w:left="40" w:right="79" w:firstLine="225"/>
        <w:spacing w:after="0" w:line="277" w:lineRule="auto"/>
        <w:rPr>
          <w:sz w:val="20"/>
          <w:szCs w:val="20"/>
          <w:color w:val="auto"/>
        </w:rPr>
      </w:pPr>
      <w:r>
        <w:rPr>
          <w:rFonts w:ascii="Arial" w:cs="Arial" w:eastAsia="Arial" w:hAnsi="Arial"/>
          <w:sz w:val="18"/>
          <w:szCs w:val="18"/>
          <w:color w:val="auto"/>
        </w:rPr>
        <w:t>Based on the above details and assumptions, we valued these options at $1.8 million. We will amortize this amount on a straight-line basis over the derived service period.</w:t>
      </w:r>
    </w:p>
    <w:p>
      <w:pPr>
        <w:spacing w:after="0" w:line="170" w:lineRule="exact"/>
        <w:rPr>
          <w:sz w:val="20"/>
          <w:szCs w:val="20"/>
          <w:color w:val="auto"/>
        </w:rPr>
      </w:pPr>
    </w:p>
    <w:p>
      <w:pPr>
        <w:ind w:left="40" w:right="359" w:firstLine="259"/>
        <w:spacing w:after="0" w:line="259" w:lineRule="auto"/>
        <w:rPr>
          <w:sz w:val="20"/>
          <w:szCs w:val="20"/>
          <w:color w:val="auto"/>
        </w:rPr>
      </w:pPr>
      <w:r>
        <w:rPr>
          <w:rFonts w:ascii="Arial" w:cs="Arial" w:eastAsia="Arial" w:hAnsi="Arial"/>
          <w:sz w:val="18"/>
          <w:szCs w:val="18"/>
          <w:color w:val="auto"/>
        </w:rPr>
        <w:t>The total recognized stock-based compensation expense for options was $0.7 million and $0.8 million for the three months and nine months ended July 31, 2023, respectively. As of July 31, 2023, there was $1.1 million of unrecognized stock-based compensation costs related to options, which the Company expects to recognize over a weighted-average period of 0.7 years.</w:t>
      </w:r>
    </w:p>
    <w:p>
      <w:pPr>
        <w:spacing w:after="0" w:line="187" w:lineRule="exact"/>
        <w:rPr>
          <w:sz w:val="20"/>
          <w:szCs w:val="20"/>
          <w:color w:val="auto"/>
        </w:rPr>
      </w:pPr>
    </w:p>
    <w:p>
      <w:pPr>
        <w:ind w:left="40" w:right="559" w:firstLine="259"/>
        <w:spacing w:after="0" w:line="342" w:lineRule="auto"/>
        <w:rPr>
          <w:sz w:val="20"/>
          <w:szCs w:val="20"/>
          <w:color w:val="auto"/>
        </w:rPr>
      </w:pPr>
      <w:r>
        <w:rPr>
          <w:rFonts w:ascii="Arial" w:cs="Arial" w:eastAsia="Arial" w:hAnsi="Arial"/>
          <w:sz w:val="16"/>
          <w:szCs w:val="16"/>
          <w:color w:val="auto"/>
        </w:rPr>
        <w:t>There was no stock option activity for the three months ended July 31, 2023. A summary of stock option activity, related to our 2011 and 2020 Plans, is as follows (in thousands, except for weighted-average exercise price):</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Number of Shares</w:t>
            </w:r>
          </w:p>
        </w:tc>
        <w:tc>
          <w:tcPr>
            <w:tcW w:w="2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Exercise</w:t>
            </w: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July 31,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25.44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6,670</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July 31, 2023</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79" w:firstLine="259"/>
        <w:spacing w:after="0" w:line="277" w:lineRule="auto"/>
        <w:rPr>
          <w:sz w:val="20"/>
          <w:szCs w:val="20"/>
          <w:color w:val="auto"/>
        </w:rPr>
      </w:pPr>
      <w:r>
        <w:rPr>
          <w:rFonts w:ascii="Arial" w:cs="Arial" w:eastAsia="Arial" w:hAnsi="Arial"/>
          <w:sz w:val="18"/>
          <w:szCs w:val="18"/>
          <w:color w:val="auto"/>
        </w:rPr>
        <w:t>As of July 31, 2023, outstanding and exercisable stock options had a weighted-average remaining contractual term of 0.7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6"/>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payments</w:t>
      </w:r>
    </w:p>
    <w:p>
      <w:pPr>
        <w:spacing w:after="0" w:line="225" w:lineRule="exact"/>
        <w:rPr>
          <w:sz w:val="20"/>
          <w:szCs w:val="20"/>
          <w:color w:val="auto"/>
        </w:rPr>
      </w:pPr>
    </w:p>
    <w:p>
      <w:pPr>
        <w:ind w:left="40" w:right="239" w:firstLine="259"/>
        <w:spacing w:after="0" w:line="277" w:lineRule="auto"/>
        <w:rPr>
          <w:sz w:val="20"/>
          <w:szCs w:val="20"/>
          <w:color w:val="auto"/>
        </w:rPr>
      </w:pPr>
      <w:r>
        <w:rPr>
          <w:rFonts w:ascii="Arial" w:cs="Arial" w:eastAsia="Arial" w:hAnsi="Arial"/>
          <w:sz w:val="18"/>
          <w:szCs w:val="18"/>
          <w:color w:val="auto"/>
        </w:rPr>
        <w:t>In November 2022, we announced that we would begin declaring and paying dividends quarterly rather than annually as had been our prior practice.</w:t>
      </w:r>
    </w:p>
    <w:p>
      <w:pPr>
        <w:spacing w:after="0" w:line="170"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On December 14, 2022, we paid a dividend of $0.2875 per share, or an aggregate of $5.2 million, to shareholders of record on November 16, 2022. On April 6, 2023, we paid a $0.10 per share dividend in the aggregate amount of $1.7 million to shareholders of record on March 24, 2023. On July 11, 2023, we paid a $0.10 per share dividend in the aggregate amount of $1.8 million to shareholders of record on June 27, 2023.</w:t>
      </w:r>
    </w:p>
    <w:p>
      <w:pPr>
        <w:spacing w:after="0" w:line="187"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On September 1, 2023, our board of directors declared a cash dividend of $0.10 per share. This dividend will be paid on October 11, 2023, to shareholders of record on September 27, 2023.</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2013 Assessment</w:t>
      </w:r>
    </w:p>
    <w:p>
      <w:pPr>
        <w:spacing w:after="0" w:line="229" w:lineRule="exact"/>
        <w:rPr>
          <w:sz w:val="20"/>
          <w:szCs w:val="20"/>
          <w:color w:val="auto"/>
        </w:rPr>
      </w:pPr>
    </w:p>
    <w:p>
      <w:pPr>
        <w:ind w:left="40" w:right="199" w:firstLine="259"/>
        <w:spacing w:after="0" w:line="271" w:lineRule="auto"/>
        <w:rPr>
          <w:sz w:val="20"/>
          <w:szCs w:val="20"/>
          <w:color w:val="auto"/>
        </w:rPr>
      </w:pPr>
      <w:r>
        <w:rPr>
          <w:rFonts w:ascii="Arial" w:cs="Arial" w:eastAsia="Arial" w:hAnsi="Arial"/>
          <w:sz w:val="17"/>
          <w:szCs w:val="17"/>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(Mexican Tax Ombudsman), having several working meetings attended by representatives of the SAT, Calavo de Mexico (“CDM”) and the PRODECON. However, we were unable to materially resolve our case with the SAT through the PRODECON process.</w:t>
      </w:r>
    </w:p>
    <w:p>
      <w:pPr>
        <w:spacing w:after="0" w:line="178" w:lineRule="exact"/>
        <w:rPr>
          <w:sz w:val="20"/>
          <w:szCs w:val="20"/>
          <w:color w:val="auto"/>
        </w:rPr>
      </w:pPr>
    </w:p>
    <w:p>
      <w:pPr>
        <w:ind w:left="40" w:right="159" w:firstLine="259"/>
        <w:spacing w:after="0" w:line="271" w:lineRule="auto"/>
        <w:rPr>
          <w:sz w:val="20"/>
          <w:szCs w:val="20"/>
          <w:color w:val="auto"/>
        </w:rPr>
      </w:pPr>
      <w:r>
        <w:rPr>
          <w:rFonts w:ascii="Arial" w:cs="Arial" w:eastAsia="Arial" w:hAnsi="Arial"/>
          <w:sz w:val="17"/>
          <w:szCs w:val="17"/>
          <w:color w:val="auto"/>
        </w:rPr>
        <w:t>As a result, in July 2018, the SAT’s local office in Uruapan issued to CDM a final tax assessment (the “2013 Assessment”) totaling approximately $2.6 billion Mexican pesos (which includes annual adjustments for inflation, and equals approximately $155.2 million USD at July 31, 2023) related to income tax, flat rate business tax, and value added tax, related to this fiscal 2013 tax audit. This amount has been adjusted for inflation as of July 31, 2023 to the amount of $3.08 billion Mexican pesos (approx. $183.9 million USD). Additionally, the tax authorities have determined that we owe our employees profit-sharing liability, totaling approximately $118 million Mexican pesos (approx. $7.0 million USD at July 31, 2023). In August 2018, we filed an Administrative Appeal on the 2013 Assessment, appealing our case to the SAT’s central legal department in Michoacan.</w:t>
      </w:r>
    </w:p>
    <w:p>
      <w:pPr>
        <w:spacing w:after="0" w:line="178" w:lineRule="exact"/>
        <w:rPr>
          <w:sz w:val="20"/>
          <w:szCs w:val="20"/>
          <w:color w:val="auto"/>
        </w:rPr>
      </w:pPr>
    </w:p>
    <w:p>
      <w:pPr>
        <w:ind w:left="40" w:right="79" w:firstLine="259"/>
        <w:spacing w:after="0" w:line="273" w:lineRule="auto"/>
        <w:rPr>
          <w:sz w:val="20"/>
          <w:szCs w:val="20"/>
          <w:color w:val="auto"/>
        </w:rPr>
      </w:pPr>
      <w:r>
        <w:rPr>
          <w:rFonts w:ascii="Arial" w:cs="Arial" w:eastAsia="Arial" w:hAnsi="Arial"/>
          <w:sz w:val="17"/>
          <w:szCs w:val="17"/>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firstLine="259"/>
        <w:spacing w:after="0" w:line="255" w:lineRule="auto"/>
        <w:rPr>
          <w:sz w:val="20"/>
          <w:szCs w:val="20"/>
          <w:color w:val="auto"/>
        </w:rPr>
      </w:pPr>
      <w:r>
        <w:rPr>
          <w:rFonts w:ascii="Arial" w:cs="Arial" w:eastAsia="Arial" w:hAnsi="Arial"/>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620" w:hanging="321"/>
        <w:spacing w:after="0" w:line="235" w:lineRule="auto"/>
        <w:tabs>
          <w:tab w:leader="none" w:pos="162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Failure to recognize CDM as a “maquiladora”</w:t>
      </w:r>
    </w:p>
    <w:p>
      <w:pPr>
        <w:ind w:left="1620" w:hanging="321"/>
        <w:spacing w:after="0" w:line="232" w:lineRule="auto"/>
        <w:tabs>
          <w:tab w:leader="none" w:pos="162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Considering the Company to have a permanent establishment in Mexico,</w:t>
      </w:r>
    </w:p>
    <w:p>
      <w:pPr>
        <w:ind w:left="1620" w:hanging="321"/>
        <w:spacing w:after="0" w:line="232" w:lineRule="auto"/>
        <w:tabs>
          <w:tab w:leader="none" w:pos="162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Including fruit purchase deposits transferred by the Company to CDM as taxable,</w:t>
      </w:r>
    </w:p>
    <w:p>
      <w:pPr>
        <w:ind w:left="1620" w:hanging="321"/>
        <w:spacing w:after="0" w:line="232" w:lineRule="auto"/>
        <w:tabs>
          <w:tab w:leader="none" w:pos="162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Application of 16% IVA tax to fruit purchase deposits; and</w:t>
      </w:r>
    </w:p>
    <w:p>
      <w:pPr>
        <w:ind w:left="1620" w:hanging="321"/>
        <w:spacing w:after="0" w:line="232" w:lineRule="auto"/>
        <w:tabs>
          <w:tab w:leader="none" w:pos="162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Imposing double-taxation on the fruit purchase transactions</w:t>
      </w:r>
    </w:p>
    <w:p>
      <w:pPr>
        <w:spacing w:after="0" w:line="202"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8"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 capital injunction suit (the “Injunction Suit”) with a federal district court seeking to nullify the arguments against the Reconsideration made by the SAT on constitutional grounds.</w:t>
      </w:r>
    </w:p>
    <w:p>
      <w:pPr>
        <w:spacing w:after="0" w:line="188" w:lineRule="exact"/>
        <w:rPr>
          <w:sz w:val="20"/>
          <w:szCs w:val="20"/>
          <w:color w:val="auto"/>
        </w:rPr>
      </w:pPr>
    </w:p>
    <w:p>
      <w:pPr>
        <w:ind w:left="40" w:right="379" w:firstLine="259"/>
        <w:spacing w:after="0" w:line="301" w:lineRule="auto"/>
        <w:rPr>
          <w:sz w:val="20"/>
          <w:szCs w:val="20"/>
          <w:color w:val="auto"/>
        </w:rPr>
      </w:pPr>
      <w:r>
        <w:rPr>
          <w:rFonts w:ascii="Arial" w:cs="Arial" w:eastAsia="Arial" w:hAnsi="Arial"/>
          <w:sz w:val="16"/>
          <w:szCs w:val="16"/>
          <w:color w:val="auto"/>
        </w:rPr>
        <w:t>The main purpose of the Injuction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The Injunction Suit represents a further opportunity for a court to analyze this matter from a constitutional perspective.</w:t>
      </w:r>
    </w:p>
    <w:p>
      <w:pPr>
        <w:spacing w:after="0" w:line="157" w:lineRule="exact"/>
        <w:rPr>
          <w:sz w:val="20"/>
          <w:szCs w:val="20"/>
          <w:color w:val="auto"/>
        </w:rPr>
      </w:pPr>
    </w:p>
    <w:p>
      <w:pPr>
        <w:ind w:left="40" w:right="199" w:firstLine="259"/>
        <w:spacing w:after="0" w:line="311" w:lineRule="auto"/>
        <w:rPr>
          <w:sz w:val="20"/>
          <w:szCs w:val="20"/>
          <w:color w:val="auto"/>
        </w:rPr>
      </w:pPr>
      <w:r>
        <w:rPr>
          <w:rFonts w:ascii="Arial" w:cs="Arial" w:eastAsia="Arial" w:hAnsi="Arial"/>
          <w:sz w:val="16"/>
          <w:szCs w:val="16"/>
          <w:color w:val="auto"/>
        </w:rPr>
        <w:t>On August 16, 2023, we received notice that the federal district court rejected the Injunction Suit. In so doing, the federal district court did not rule on the substance of the case, stating that the substance of the case will be resolved by the Tax Court through the Annulment Suit. The Company filed an appeal with the federal circuit court on August 30, 2023.</w:t>
      </w:r>
    </w:p>
    <w:p>
      <w:pPr>
        <w:spacing w:after="0" w:line="149" w:lineRule="exact"/>
        <w:rPr>
          <w:sz w:val="20"/>
          <w:szCs w:val="20"/>
          <w:color w:val="auto"/>
        </w:rPr>
      </w:pPr>
    </w:p>
    <w:p>
      <w:pPr>
        <w:jc w:val="both"/>
        <w:ind w:left="40" w:right="79" w:firstLine="259"/>
        <w:spacing w:after="0" w:line="263" w:lineRule="auto"/>
        <w:rPr>
          <w:sz w:val="20"/>
          <w:szCs w:val="20"/>
          <w:color w:val="auto"/>
        </w:rPr>
      </w:pPr>
      <w:r>
        <w:rPr>
          <w:rFonts w:ascii="Arial" w:cs="Arial" w:eastAsia="Arial" w:hAnsi="Arial"/>
          <w:sz w:val="18"/>
          <w:szCs w:val="18"/>
          <w:color w:val="auto"/>
        </w:rPr>
        <w:t>On March 10, 2022, we met with the SAT and offered an Administrative Guaranty (</w:t>
      </w:r>
      <w:r>
        <w:rPr>
          <w:rFonts w:ascii="Arial" w:cs="Arial" w:eastAsia="Arial" w:hAnsi="Arial"/>
          <w:sz w:val="18"/>
          <w:szCs w:val="18"/>
          <w:i w:val="1"/>
          <w:iCs w:val="1"/>
          <w:color w:val="auto"/>
        </w:rPr>
        <w:t>Embargo en Via Administrativa)</w:t>
      </w:r>
      <w:r>
        <w:rPr>
          <w:rFonts w:ascii="Arial" w:cs="Arial" w:eastAsia="Arial" w:hAnsi="Arial"/>
          <w:sz w:val="18"/>
          <w:szCs w:val="18"/>
          <w:color w:val="auto"/>
        </w:rPr>
        <w:t xml:space="preserve"> to secure the 2013 Assessment</w:t>
      </w:r>
      <w:r>
        <w:rPr>
          <w:rFonts w:ascii="Arial" w:cs="Arial" w:eastAsia="Arial" w:hAnsi="Arial"/>
          <w:sz w:val="18"/>
          <w:szCs w:val="18"/>
          <w:i w:val="1"/>
          <w:iCs w:val="1"/>
          <w:color w:val="auto"/>
        </w:rPr>
        <w:t>,</w:t>
      </w:r>
      <w:r>
        <w:rPr>
          <w:rFonts w:ascii="Arial" w:cs="Arial" w:eastAsia="Arial" w:hAnsi="Arial"/>
          <w:sz w:val="18"/>
          <w:szCs w:val="18"/>
          <w:color w:val="auto"/>
        </w:rPr>
        <w:t xml:space="preserve"> which provides the SAT with certain administrative rights to CDM assets in the unlikely event we do not prevail in our actions through the Federal Tax Court.</w:t>
      </w:r>
    </w:p>
    <w:p>
      <w:pPr>
        <w:spacing w:after="0" w:line="184" w:lineRule="exact"/>
        <w:rPr>
          <w:sz w:val="20"/>
          <w:szCs w:val="20"/>
          <w:color w:val="auto"/>
        </w:rPr>
      </w:pPr>
    </w:p>
    <w:p>
      <w:pPr>
        <w:ind w:left="40" w:right="299" w:firstLine="259"/>
        <w:spacing w:after="0" w:line="259" w:lineRule="auto"/>
        <w:rPr>
          <w:sz w:val="20"/>
          <w:szCs w:val="20"/>
          <w:color w:val="auto"/>
        </w:rPr>
      </w:pPr>
      <w:r>
        <w:rPr>
          <w:rFonts w:ascii="Arial" w:cs="Arial" w:eastAsia="Arial" w:hAnsi="Arial"/>
          <w:sz w:val="18"/>
          <w:szCs w:val="18"/>
          <w:color w:val="auto"/>
        </w:rPr>
        <w:t>On October 10, 2022, the Tax Court ruled in favor of CDM granting the definitive suspension, accepting the Administrative Guaranty and forcing the SAT to remove all liens placed on CDM fixed assets and bank accounts. These liens were removed in November 2022. The Court also recognized that the $3.1 billion peso assessment exceeds the economic capacity of CDM.</w:t>
      </w:r>
    </w:p>
    <w:p>
      <w:pPr>
        <w:spacing w:after="0" w:line="187" w:lineRule="exact"/>
        <w:rPr>
          <w:sz w:val="20"/>
          <w:szCs w:val="20"/>
          <w:color w:val="auto"/>
        </w:rPr>
      </w:pPr>
    </w:p>
    <w:p>
      <w:pPr>
        <w:ind w:left="40" w:right="99" w:firstLine="259"/>
        <w:spacing w:after="0" w:line="288" w:lineRule="auto"/>
        <w:rPr>
          <w:sz w:val="20"/>
          <w:szCs w:val="20"/>
          <w:color w:val="auto"/>
        </w:rPr>
      </w:pPr>
      <w:r>
        <w:rPr>
          <w:rFonts w:ascii="Arial" w:cs="Arial" w:eastAsia="Arial" w:hAnsi="Arial"/>
          <w:sz w:val="16"/>
          <w:szCs w:val="16"/>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settlements made by the SAT in other cases, the 2011 Assessment settlement reached by CDM with the MFM,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July 31, 2023 based on our cumulative probability analysis. We incurred $0.5 million and $1.6 million of related professional fees for the three and nine months ended July 31, 2023, respectively, which have been recorded in Expenses (recovery) related to Mexican Tax matters on the consolidated statements of operations.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Noncontrolling interest</w:t>
      </w:r>
    </w:p>
    <w:p>
      <w:pPr>
        <w:spacing w:after="0" w:line="229"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180" w:type="dxa"/>
            <w:vAlign w:val="bottom"/>
            <w:vMerge w:val="restart"/>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Three months ended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2023</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2022</w:t>
            </w: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40" w:type="dxa"/>
            <w:vAlign w:val="bottom"/>
            <w:shd w:val="clear" w:color="auto" w:fill="CCEEFF"/>
          </w:tcPr>
          <w:p>
            <w:pPr>
              <w:spacing w:after="0"/>
              <w:rPr>
                <w:sz w:val="18"/>
                <w:szCs w:val="18"/>
                <w:color w:val="auto"/>
              </w:rPr>
            </w:pPr>
          </w:p>
        </w:tc>
      </w:tr>
      <w:tr>
        <w:trPr>
          <w:trHeight w:val="216"/>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attributable to noncontrolling interest of Avocados de Jalisco</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tcPr>
          <w:p>
            <w:pPr>
              <w:spacing w:after="0"/>
              <w:rPr>
                <w:sz w:val="18"/>
                <w:szCs w:val="18"/>
                <w:color w:val="auto"/>
              </w:rPr>
            </w:pPr>
          </w:p>
        </w:tc>
      </w:tr>
      <w:tr>
        <w:trPr>
          <w:trHeight w:val="210"/>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9"/>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r>
      <w:tr>
        <w:trPr>
          <w:trHeight w:val="215"/>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1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July 31, 2023</w:t>
            </w:r>
          </w:p>
        </w:tc>
        <w:tc>
          <w:tcPr>
            <w:tcW w:w="16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31, 2022</w:t>
            </w:r>
          </w:p>
        </w:tc>
      </w:tr>
      <w:tr>
        <w:trPr>
          <w:trHeight w:val="209"/>
        </w:trPr>
        <w:tc>
          <w:tcPr>
            <w:tcW w:w="5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40" w:type="dxa"/>
            <w:vAlign w:val="bottom"/>
            <w:shd w:val="clear" w:color="auto" w:fill="CCEEFF"/>
          </w:tcPr>
          <w:p>
            <w:pPr>
              <w:spacing w:after="0"/>
              <w:rPr>
                <w:sz w:val="19"/>
                <w:szCs w:val="19"/>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w w:val="98"/>
              </w:rPr>
              <w:t>Net income (loss) attributable to noncontrolling interest of Avocados de Jalisco</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09"/>
        </w:trPr>
        <w:tc>
          <w:tcPr>
            <w:tcW w:w="6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July 31,</w:t>
            </w:r>
          </w:p>
        </w:tc>
      </w:tr>
      <w:tr>
        <w:trPr>
          <w:trHeight w:val="142"/>
        </w:trPr>
        <w:tc>
          <w:tcPr>
            <w:tcW w:w="57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income attributable to Calavo Growers,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6,626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17,667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Restricted stock/units/options</w:t>
            </w:r>
          </w:p>
        </w:tc>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9"/>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17,856</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17,769</w:t>
            </w:r>
          </w:p>
        </w:tc>
      </w:tr>
      <w:tr>
        <w:trPr>
          <w:trHeight w:val="197"/>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share attributable to Calavo Growers, Inc:</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378"/>
        </w:trPr>
        <w:tc>
          <w:tcPr>
            <w:tcW w:w="5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1"/>
              </w:rPr>
              <w:t>Nine months ended July 31,</w:t>
            </w:r>
          </w:p>
        </w:tc>
      </w:tr>
      <w:tr>
        <w:trPr>
          <w:trHeight w:val="142"/>
        </w:trPr>
        <w:tc>
          <w:tcPr>
            <w:tcW w:w="57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loss attributable to Calavo Growers,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17,661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stock/units/options (1)</w:t>
            </w:r>
          </w:p>
        </w:tc>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17,746</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17,661</w:t>
            </w:r>
          </w:p>
        </w:tc>
      </w:tr>
      <w:tr>
        <w:trPr>
          <w:trHeight w:val="197"/>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per share attributable to Calavo Growers, Inc:</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bl>
    <w:p>
      <w:pPr>
        <w:spacing w:after="0" w:line="202" w:lineRule="exact"/>
        <w:rPr>
          <w:sz w:val="20"/>
          <w:szCs w:val="20"/>
          <w:color w:val="auto"/>
        </w:rPr>
      </w:pPr>
    </w:p>
    <w:p>
      <w:pPr>
        <w:ind w:left="720" w:right="279" w:hanging="325"/>
        <w:spacing w:after="0" w:line="263" w:lineRule="auto"/>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the nine months ended July 31, 2023 and 2022, approximately 89,000 shares and 65,000 shares of common stock equivalents were excluded in the computation of diluted net loss per share, as the effect would be anti-dilutive given the Company’s net loss for those periods.</w:t>
      </w:r>
    </w:p>
    <w:p>
      <w:pPr>
        <w:spacing w:after="0" w:line="179" w:lineRule="exact"/>
        <w:rPr>
          <w:rFonts w:ascii="Arial" w:cs="Arial" w:eastAsia="Arial" w:hAnsi="Arial"/>
          <w:sz w:val="18"/>
          <w:szCs w:val="18"/>
          <w:color w:val="auto"/>
        </w:rPr>
      </w:pPr>
    </w:p>
    <w:p>
      <w:pPr>
        <w:ind w:left="340" w:hanging="296"/>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Mexican IVA taxes receivable</w:t>
      </w:r>
    </w:p>
    <w:p>
      <w:pPr>
        <w:spacing w:after="0" w:line="229" w:lineRule="exact"/>
        <w:rPr>
          <w:sz w:val="20"/>
          <w:szCs w:val="20"/>
          <w:color w:val="auto"/>
        </w:rPr>
      </w:pPr>
    </w:p>
    <w:p>
      <w:pPr>
        <w:ind w:left="40" w:right="339" w:firstLine="259"/>
        <w:spacing w:after="0" w:line="286" w:lineRule="auto"/>
        <w:rPr>
          <w:sz w:val="20"/>
          <w:szCs w:val="20"/>
          <w:color w:val="auto"/>
        </w:rPr>
      </w:pPr>
      <w:r>
        <w:rPr>
          <w:rFonts w:ascii="Arial" w:cs="Arial" w:eastAsia="Arial" w:hAnsi="Arial"/>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65" w:lineRule="exact"/>
        <w:rPr>
          <w:sz w:val="20"/>
          <w:szCs w:val="20"/>
          <w:color w:val="auto"/>
        </w:rPr>
      </w:pPr>
    </w:p>
    <w:p>
      <w:pPr>
        <w:jc w:val="both"/>
        <w:ind w:left="40" w:right="59" w:firstLine="259"/>
        <w:spacing w:after="0" w:line="286" w:lineRule="auto"/>
        <w:rPr>
          <w:sz w:val="20"/>
          <w:szCs w:val="20"/>
          <w:color w:val="auto"/>
        </w:rPr>
      </w:pPr>
      <w:r>
        <w:rPr>
          <w:rFonts w:ascii="Arial" w:cs="Arial" w:eastAsia="Arial" w:hAnsi="Arial"/>
          <w:sz w:val="16"/>
          <w:szCs w:val="16"/>
          <w:color w:val="auto"/>
        </w:rPr>
        <w:t>As of July 31, 2023, and October 31, 2022, CDM IVA receivables totaled $54.1 million (921.7 million Mexican pesos) and $43.6 million (865.4 million Mexican pesos). Historically, CDM received IVA refund payments from the Mexican tax authorities on a timely basis. Beginning in fiscal 2014 and continuing into fiscal 2023, the tax authorities began objecting to refund requests and supporting documentation that had previously been deemed acceptable to process a refund.</w:t>
      </w:r>
    </w:p>
    <w:p>
      <w:pPr>
        <w:spacing w:after="0" w:line="1"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Additionally, they are also contesting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91" w:lineRule="exact"/>
        <w:rPr>
          <w:sz w:val="20"/>
          <w:szCs w:val="20"/>
          <w:color w:val="auto"/>
        </w:rPr>
      </w:pPr>
    </w:p>
    <w:p>
      <w:pPr>
        <w:ind w:left="40" w:right="279" w:firstLine="259"/>
        <w:spacing w:after="0" w:line="296" w:lineRule="auto"/>
        <w:rPr>
          <w:sz w:val="20"/>
          <w:szCs w:val="20"/>
          <w:color w:val="auto"/>
        </w:rPr>
      </w:pPr>
      <w:r>
        <w:rPr>
          <w:rFonts w:ascii="Arial" w:cs="Arial" w:eastAsia="Arial" w:hAnsi="Arial"/>
          <w:sz w:val="16"/>
          <w:szCs w:val="16"/>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w:t>
      </w:r>
    </w:p>
    <w:p>
      <w:pPr>
        <w:spacing w:after="0" w:line="164"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In April 2022, the Tax Court issued the ruling for the months of July, August and September 2015 through which it was declared that the following resolutions were resolved:</w:t>
      </w:r>
    </w:p>
    <w:p>
      <w:pPr>
        <w:spacing w:after="0" w:line="170"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recognized that CDM operates as a maquila under the authorization of the Ministry of Finance.</w:t>
      </w:r>
    </w:p>
    <w:p>
      <w:pPr>
        <w:spacing w:after="0" w:line="225" w:lineRule="exact"/>
        <w:rPr>
          <w:rFonts w:ascii="Arial" w:cs="Arial" w:eastAsia="Arial" w:hAnsi="Arial"/>
          <w:sz w:val="18"/>
          <w:szCs w:val="18"/>
          <w:color w:val="auto"/>
        </w:rPr>
      </w:pPr>
    </w:p>
    <w:p>
      <w:pPr>
        <w:ind w:left="980" w:right="119" w:hanging="329"/>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83" w:lineRule="exact"/>
        <w:rPr>
          <w:rFonts w:ascii="Arial" w:cs="Arial" w:eastAsia="Arial" w:hAnsi="Arial"/>
          <w:sz w:val="18"/>
          <w:szCs w:val="18"/>
          <w:color w:val="auto"/>
        </w:rPr>
      </w:pPr>
    </w:p>
    <w:p>
      <w:pPr>
        <w:ind w:left="980" w:right="299"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recognized that VAT is recoverable, since CDM demonstrated the existence of operations carried under the maquila services.</w:t>
      </w:r>
    </w:p>
    <w:p>
      <w:pPr>
        <w:spacing w:after="0" w:line="170" w:lineRule="exact"/>
        <w:rPr>
          <w:rFonts w:ascii="Arial" w:cs="Arial" w:eastAsia="Arial" w:hAnsi="Arial"/>
          <w:sz w:val="18"/>
          <w:szCs w:val="18"/>
          <w:color w:val="auto"/>
        </w:rPr>
      </w:pPr>
    </w:p>
    <w:p>
      <w:pPr>
        <w:ind w:left="980" w:right="159" w:hanging="329"/>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$0.4 million USD).</w:t>
      </w:r>
    </w:p>
    <w:p>
      <w:pPr>
        <w:spacing w:after="0" w:line="184" w:lineRule="exact"/>
        <w:rPr>
          <w:sz w:val="20"/>
          <w:szCs w:val="20"/>
          <w:color w:val="auto"/>
        </w:rPr>
      </w:pPr>
    </w:p>
    <w:p>
      <w:pPr>
        <w:ind w:left="40" w:right="119" w:firstLine="225"/>
        <w:spacing w:after="0" w:line="293" w:lineRule="auto"/>
        <w:rPr>
          <w:sz w:val="20"/>
          <w:szCs w:val="20"/>
          <w:color w:val="auto"/>
        </w:rPr>
      </w:pPr>
      <w:r>
        <w:rPr>
          <w:rFonts w:ascii="Arial" w:cs="Arial" w:eastAsia="Arial" w:hAnsi="Arial"/>
          <w:sz w:val="16"/>
          <w:szCs w:val="16"/>
          <w:color w:val="auto"/>
        </w:rPr>
        <w:t>In January 2023 the Federal Tax Court issued a definitive resolution confirming the ruling from April 2022, ordering SAT to refund approximately $18 million pesos (approx. $1.1 million USD at July 31, 2023) and confirming that the $6.9 million pesos (approx. $0.4 million USD at July 31, 2023) related to packing materials will not be recoverable. For the nine months ended July 31, 2023, we recognized a reserve of $1.4 million USD for Mexican IVA tax receivables related to certain packing material vendors corresponding to the years 2013 and 2015. This reserve includes the amounts included in the January 2023 ruling as well as other similar receivables that are subject to proceedings in this same Federal Tax Court.</w:t>
      </w:r>
    </w:p>
    <w:p>
      <w:pPr>
        <w:spacing w:after="0" w:line="164" w:lineRule="exact"/>
        <w:rPr>
          <w:sz w:val="20"/>
          <w:szCs w:val="20"/>
          <w:color w:val="auto"/>
        </w:rPr>
      </w:pPr>
    </w:p>
    <w:p>
      <w:pPr>
        <w:ind w:left="40" w:right="59" w:firstLine="225"/>
        <w:spacing w:after="0" w:line="259" w:lineRule="auto"/>
        <w:rPr>
          <w:sz w:val="20"/>
          <w:szCs w:val="20"/>
          <w:color w:val="auto"/>
        </w:rPr>
      </w:pPr>
      <w:r>
        <w:rPr>
          <w:rFonts w:ascii="Arial" w:cs="Arial" w:eastAsia="Arial" w:hAnsi="Arial"/>
          <w:sz w:val="18"/>
          <w:szCs w:val="18"/>
          <w:color w:val="auto"/>
        </w:rPr>
        <w:t>In June 2023 we received $2.8 million from the SAT related to Mexican IVA tax receivables corresponding to fiscal year 2013 which was consistent with the January 2023 definitive resolution. Of this amount, $1.7 million was interest and inflation related adjustments. This $1.7 million was netted with expenses related to Mexican tax matters on the statement of operations.</w:t>
      </w:r>
    </w:p>
    <w:p>
      <w:pPr>
        <w:spacing w:after="0" w:line="187" w:lineRule="exact"/>
        <w:rPr>
          <w:sz w:val="20"/>
          <w:szCs w:val="20"/>
          <w:color w:val="auto"/>
        </w:rPr>
      </w:pPr>
    </w:p>
    <w:p>
      <w:pPr>
        <w:jc w:val="both"/>
        <w:ind w:left="40" w:right="59" w:firstLine="259"/>
        <w:spacing w:after="0" w:line="255" w:lineRule="auto"/>
        <w:rPr>
          <w:sz w:val="20"/>
          <w:szCs w:val="20"/>
          <w:color w:val="auto"/>
        </w:rPr>
      </w:pPr>
      <w:r>
        <w:rPr>
          <w:rFonts w:ascii="Arial" w:cs="Arial" w:eastAsia="Arial" w:hAnsi="Arial"/>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July 31, 2023,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Credit Facility</w:t>
      </w:r>
    </w:p>
    <w:p>
      <w:pPr>
        <w:spacing w:after="0" w:line="229" w:lineRule="exact"/>
        <w:rPr>
          <w:sz w:val="20"/>
          <w:szCs w:val="20"/>
          <w:color w:val="auto"/>
        </w:rPr>
      </w:pPr>
    </w:p>
    <w:p>
      <w:pPr>
        <w:ind w:left="40" w:right="399" w:firstLine="270"/>
        <w:spacing w:after="0" w:line="257" w:lineRule="auto"/>
        <w:rPr>
          <w:sz w:val="20"/>
          <w:szCs w:val="20"/>
          <w:color w:val="auto"/>
        </w:rPr>
      </w:pPr>
      <w:r>
        <w:rPr>
          <w:rFonts w:ascii="Arial" w:cs="Arial" w:eastAsia="Arial" w:hAnsi="Arial"/>
          <w:sz w:val="18"/>
          <w:szCs w:val="18"/>
          <w:color w:val="auto"/>
        </w:rPr>
        <w:t>On June 26, 2023, Calavo and certain subsidiaries entered into a credit agreement (the “Credit Agreement”) by and among, Calavo, certain subsidiaries of Calavo as guarantors, and Wells Fargo Bank, National Association, as agent and lender (“Agent”). The Credit Agreement provides for a revolving credit facility of up to $90.0 million (the “Revolving Loans”), along with an undrawn capex credit facility of up to $10.0 million (the “Term Loan”, and together with the Revolving Loans, the “New Credit Facility”).</w:t>
      </w:r>
    </w:p>
    <w:p>
      <w:pPr>
        <w:spacing w:after="0" w:line="188" w:lineRule="exact"/>
        <w:rPr>
          <w:sz w:val="20"/>
          <w:szCs w:val="20"/>
          <w:color w:val="auto"/>
        </w:rPr>
      </w:pPr>
    </w:p>
    <w:p>
      <w:pPr>
        <w:ind w:left="40" w:right="299" w:firstLine="270"/>
        <w:spacing w:after="0" w:line="342" w:lineRule="auto"/>
        <w:rPr>
          <w:sz w:val="20"/>
          <w:szCs w:val="20"/>
          <w:color w:val="auto"/>
        </w:rPr>
      </w:pPr>
      <w:r>
        <w:rPr>
          <w:rFonts w:ascii="Arial" w:cs="Arial" w:eastAsia="Arial" w:hAnsi="Arial"/>
          <w:sz w:val="16"/>
          <w:szCs w:val="16"/>
          <w:color w:val="auto"/>
        </w:rPr>
        <w:t>The initial proceeds of $36.8 million on the Revolving Loans were used to fully repay the outstanding $34.9 million, balance under Calavo’s previously existing revolving credit faciilty with Bank of America, N.A. and to pay related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39"/>
        <w:spacing w:after="0" w:line="286" w:lineRule="auto"/>
        <w:rPr>
          <w:sz w:val="20"/>
          <w:szCs w:val="20"/>
          <w:color w:val="auto"/>
        </w:rPr>
      </w:pPr>
      <w:r>
        <w:rPr>
          <w:rFonts w:ascii="Arial" w:cs="Arial" w:eastAsia="Arial" w:hAnsi="Arial"/>
          <w:sz w:val="17"/>
          <w:szCs w:val="17"/>
          <w:color w:val="auto"/>
        </w:rPr>
        <w:t>transaction fees and expenses, and following the Closing Date (June 26, 2023) may be used for working capital and other general corporate purposes. For a period of one year following the Closing Date, Calavo may utilize the proceeds of the Term Loan to pay a certain percentage of the costs of certain equipment purchased by Calavo.</w:t>
      </w:r>
    </w:p>
    <w:p>
      <w:pPr>
        <w:spacing w:after="0" w:line="165" w:lineRule="exact"/>
        <w:rPr>
          <w:sz w:val="20"/>
          <w:szCs w:val="20"/>
          <w:color w:val="auto"/>
        </w:rPr>
      </w:pPr>
    </w:p>
    <w:p>
      <w:pPr>
        <w:ind w:left="40" w:right="199" w:firstLine="315"/>
        <w:spacing w:after="0" w:line="259" w:lineRule="auto"/>
        <w:rPr>
          <w:sz w:val="20"/>
          <w:szCs w:val="20"/>
          <w:color w:val="auto"/>
        </w:rPr>
      </w:pPr>
      <w:r>
        <w:rPr>
          <w:rFonts w:ascii="Arial" w:cs="Arial" w:eastAsia="Arial" w:hAnsi="Arial"/>
          <w:sz w:val="18"/>
          <w:szCs w:val="18"/>
          <w:color w:val="auto"/>
        </w:rPr>
        <w:t>Borrowings of the Revolving Loans under the Credit Agreement are asset based and are subject to a borrowing base calculation that includes a certain percentage of eligible accounts receivable, inventory and equipment of Calavo, less any reserves implemented by Agent in its permitted discretion; provided that the equipment based portion of such borrowing base calculation will reduce monthly following the Closing Date.</w:t>
      </w:r>
    </w:p>
    <w:p>
      <w:pPr>
        <w:spacing w:after="0" w:line="187" w:lineRule="exact"/>
        <w:rPr>
          <w:sz w:val="20"/>
          <w:szCs w:val="20"/>
          <w:color w:val="auto"/>
        </w:rPr>
      </w:pPr>
    </w:p>
    <w:p>
      <w:pPr>
        <w:ind w:left="40" w:right="199" w:firstLine="315"/>
        <w:spacing w:after="0" w:line="296" w:lineRule="auto"/>
        <w:rPr>
          <w:sz w:val="20"/>
          <w:szCs w:val="20"/>
          <w:color w:val="auto"/>
        </w:rPr>
      </w:pPr>
      <w:r>
        <w:rPr>
          <w:rFonts w:ascii="Arial" w:cs="Arial" w:eastAsia="Arial" w:hAnsi="Arial"/>
          <w:sz w:val="16"/>
          <w:szCs w:val="16"/>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New Credit Facility matures on June 26, 2028 (the “Maturity Date”).</w:t>
      </w:r>
    </w:p>
    <w:p>
      <w:pPr>
        <w:spacing w:after="0" w:line="161" w:lineRule="exact"/>
        <w:rPr>
          <w:sz w:val="20"/>
          <w:szCs w:val="20"/>
          <w:color w:val="auto"/>
        </w:rPr>
      </w:pPr>
    </w:p>
    <w:p>
      <w:pPr>
        <w:jc w:val="both"/>
        <w:ind w:left="40" w:right="239" w:firstLine="270"/>
        <w:spacing w:after="0" w:line="263" w:lineRule="auto"/>
        <w:rPr>
          <w:sz w:val="20"/>
          <w:szCs w:val="20"/>
          <w:color w:val="auto"/>
        </w:rPr>
      </w:pPr>
      <w:r>
        <w:rPr>
          <w:rFonts w:ascii="Arial" w:cs="Arial" w:eastAsia="Arial" w:hAnsi="Arial"/>
          <w:sz w:val="18"/>
          <w:szCs w:val="18"/>
          <w:color w:val="auto"/>
        </w:rPr>
        <w:t>Calavo may voluntarily prepay loans under the New Credit Facility, in whole or in part, without premium or penalty. Subject to the terms and conditions set forth in the Credit Agreement, Calavo may be required to make certain mandatory prepayments prior to the Maturity Date.</w:t>
      </w:r>
    </w:p>
    <w:p>
      <w:pPr>
        <w:spacing w:after="0" w:line="184" w:lineRule="exact"/>
        <w:rPr>
          <w:sz w:val="20"/>
          <w:szCs w:val="20"/>
          <w:color w:val="auto"/>
        </w:rPr>
      </w:pPr>
    </w:p>
    <w:p>
      <w:pPr>
        <w:ind w:left="40" w:right="59" w:firstLine="270"/>
        <w:spacing w:after="0" w:line="272" w:lineRule="auto"/>
        <w:rPr>
          <w:sz w:val="20"/>
          <w:szCs w:val="20"/>
          <w:color w:val="auto"/>
        </w:rPr>
      </w:pPr>
      <w:r>
        <w:rPr>
          <w:rFonts w:ascii="Arial" w:cs="Arial" w:eastAsia="Arial" w:hAnsi="Arial"/>
          <w:sz w:val="17"/>
          <w:szCs w:val="17"/>
          <w:color w:val="auto"/>
        </w:rPr>
        <w:t>The Credit Agreement contains negative covenants that, among other things, limit Calavo’s ability to: incur indebtedness; grant liens on its assets; enter into certain investments; consummate fundamental change transactions; engage in mergers or acquisitions or dispose of assets; enter into certain transactions with affiliates; make changes to its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for Calavo to borrow under the New Credit Facility is less than 10% of the total revolving credit facility.</w:t>
      </w:r>
    </w:p>
    <w:p>
      <w:pPr>
        <w:spacing w:after="0" w:line="177" w:lineRule="exact"/>
        <w:rPr>
          <w:sz w:val="20"/>
          <w:szCs w:val="20"/>
          <w:color w:val="auto"/>
        </w:rPr>
      </w:pPr>
    </w:p>
    <w:p>
      <w:pPr>
        <w:ind w:left="40" w:right="199" w:firstLine="315"/>
        <w:spacing w:after="0" w:line="263" w:lineRule="auto"/>
        <w:rPr>
          <w:sz w:val="20"/>
          <w:szCs w:val="20"/>
          <w:color w:val="auto"/>
        </w:rPr>
      </w:pPr>
      <w:r>
        <w:rPr>
          <w:rFonts w:ascii="Arial" w:cs="Arial" w:eastAsia="Arial" w:hAnsi="Arial"/>
          <w:sz w:val="18"/>
          <w:szCs w:val="18"/>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184"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As of July 31, 2023, we were in compliance with the financial covenants, and we expect to remain in compliance. As of July 31, 2023, approximately $41.7 million was available for borrowing, based on our borrowing base calculation discussed above.</w:t>
      </w:r>
    </w:p>
    <w:p>
      <w:pPr>
        <w:spacing w:after="0" w:line="184" w:lineRule="exact"/>
        <w:rPr>
          <w:sz w:val="20"/>
          <w:szCs w:val="20"/>
          <w:color w:val="auto"/>
        </w:rPr>
      </w:pPr>
    </w:p>
    <w:p>
      <w:pPr>
        <w:jc w:val="both"/>
        <w:ind w:left="40" w:right="119" w:firstLine="259"/>
        <w:spacing w:after="0" w:line="263" w:lineRule="auto"/>
        <w:rPr>
          <w:sz w:val="20"/>
          <w:szCs w:val="20"/>
          <w:color w:val="auto"/>
        </w:rPr>
      </w:pPr>
      <w:r>
        <w:rPr>
          <w:rFonts w:ascii="Arial" w:cs="Arial" w:eastAsia="Arial" w:hAnsi="Arial"/>
          <w:sz w:val="18"/>
          <w:szCs w:val="18"/>
          <w:color w:val="auto"/>
        </w:rPr>
        <w:t>The weighted-average interest rate under the Credit Facility was 6.7% at July 31, 2023. Under the New Credit Facility, we had $36.8 million and $3.5 million outstanding related to the Revolving Loans and Term Loan, respectively, as of July 31, 2023.</w:t>
      </w:r>
    </w:p>
    <w:p>
      <w:pPr>
        <w:spacing w:after="0" w:line="184"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In connection with the New Credit Facility, we are in the process of obtaining letters of credit related to our workers compensation policies to satisfy certain collateral requirements. While this is in process, we have recorded $0.8 million and $3.0 million as restricted cash and prepaid and other current assets, respectively, on the consolidated balance sheet as of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right="7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40" w:right="239" w:firstLine="259"/>
        <w:spacing w:after="0" w:line="301" w:lineRule="auto"/>
        <w:rPr>
          <w:sz w:val="20"/>
          <w:szCs w:val="20"/>
          <w:color w:val="auto"/>
        </w:rPr>
      </w:pPr>
      <w:r>
        <w:rPr>
          <w:rFonts w:ascii="Arial" w:cs="Arial" w:eastAsia="Arial" w:hAnsi="Arial"/>
          <w:sz w:val="16"/>
          <w:szCs w:val="16"/>
          <w:color w:val="auto"/>
        </w:rPr>
        <w:t>This information should be read in conjunction with the unaudited consolidated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2022 of Calavo Growers, Inc. (“we”, “Calavo”, or the “Company”).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left="40" w:right="239" w:firstLine="259"/>
        <w:spacing w:after="0" w:line="277" w:lineRule="auto"/>
        <w:rPr>
          <w:sz w:val="20"/>
          <w:szCs w:val="20"/>
          <w:color w:val="auto"/>
        </w:rPr>
      </w:pPr>
      <w:r>
        <w:rPr>
          <w:rFonts w:ascii="Arial" w:cs="Arial" w:eastAsia="Arial" w:hAnsi="Arial"/>
          <w:sz w:val="18"/>
          <w:szCs w:val="18"/>
          <w:color w:val="auto"/>
        </w:rPr>
        <w:t>In November 2022, we announced that we would begin declaring and paying dividends quarterly rather than annually as had been our prior practice.</w:t>
      </w:r>
    </w:p>
    <w:p>
      <w:pPr>
        <w:spacing w:after="0" w:line="170"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On December 14, 2022, we paid a dividend of $0.2875 per share, or an aggregate of $5.2 million, to shareholders of record on November 16, 2022. On April 6, 2023, we paid a $0.10 per share dividend in the aggregate amount of $1.7 million to shareholders of record on March 24, 2023. On July 11, 2023, we paid a $0.10 per share dividend in the aggregate amount of $1.8 million to shareholders of record on June 27, 2023.</w:t>
      </w:r>
    </w:p>
    <w:p>
      <w:pPr>
        <w:spacing w:after="0" w:line="187"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On September 1, 2023, our board of directors declared a cash dividend of $0.10 per share. This dividend will be paid on October 11, 2023, to shareholders of record on September 27, 2023.</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left="40" w:right="99" w:firstLine="259"/>
        <w:spacing w:after="0" w:line="275" w:lineRule="auto"/>
        <w:rPr>
          <w:sz w:val="20"/>
          <w:szCs w:val="20"/>
          <w:color w:val="auto"/>
        </w:rPr>
      </w:pPr>
      <w:r>
        <w:rPr>
          <w:rFonts w:ascii="Arial" w:cs="Arial" w:eastAsia="Arial" w:hAnsi="Arial"/>
          <w:sz w:val="17"/>
          <w:szCs w:val="17"/>
          <w:color w:val="auto"/>
        </w:rPr>
        <w:t>On June 26, 2023, Calavo and certain subsidiaries entered into a credit agreement (the “Credit Agreement”) by and among, Calavo, certain subsidiaries of Calavo as guarantors, and Wells Fargo Bank, National Association, as agent and lender. The Credit Agreement provides for a revolving credit facility of up to $90.0 million (the “Revolving Loans”), along with an undrawn capex credit facility of up to $10.0 million (the “Term Loan”, and together with the Revolving Loans, the “New Credit Facility”). See “Liquidity and Capital Resources” below for more information.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Mexican Tax Issues</w:t>
      </w:r>
    </w:p>
    <w:p>
      <w:pPr>
        <w:spacing w:after="0" w:line="225"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See footnotes 7 and 10 of the consolidated financial statements for information on Mexican tax matters and the Mexican IVA taxes receivable.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firstLine="259"/>
        <w:spacing w:after="0" w:line="259" w:lineRule="auto"/>
        <w:rPr>
          <w:sz w:val="20"/>
          <w:szCs w:val="20"/>
          <w:color w:val="auto"/>
        </w:rPr>
      </w:pPr>
      <w:r>
        <w:rPr>
          <w:rFonts w:ascii="Arial" w:cs="Arial" w:eastAsia="Arial" w:hAnsi="Arial"/>
          <w:sz w:val="18"/>
          <w:szCs w:val="18"/>
          <w:color w:val="auto"/>
        </w:rPr>
        <w:t>There have been no material changes in our critical accounting estimates during the three and nine months ended July 31, 2023, as compared to those disclosed in the “Management’s Discussion and Analysis of Financial Condition and Results of Operations—Critical Accounting Estimates” in our Annual Report on Form 10-K for our fiscal year ended October 31, 2022.</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0" w:right="319" w:firstLine="259"/>
        <w:spacing w:after="0" w:line="263" w:lineRule="auto"/>
        <w:rPr>
          <w:sz w:val="20"/>
          <w:szCs w:val="20"/>
          <w:color w:val="auto"/>
        </w:rPr>
      </w:pPr>
      <w:r>
        <w:rPr>
          <w:rFonts w:ascii="Arial" w:cs="Arial" w:eastAsia="Arial" w:hAnsi="Arial"/>
          <w:sz w:val="18"/>
          <w:szCs w:val="18"/>
          <w:color w:val="auto"/>
        </w:rPr>
        <w:t>The below tables include non-GAAP measures EBITDA, adjusted EBITDA, adjusted net income (loss) and adjusted net income (loss) per diluted share, which are not prepared in accordance with U.S. generally accepted accounting principles, or “GAAP.”</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EBITDA is defined as net income (loss) attributable to Calavo Growers, Inc. excluding (1) interest income and expense,</w:t>
      </w:r>
    </w:p>
    <w:p>
      <w:pPr>
        <w:spacing w:after="0" w:line="46" w:lineRule="exact"/>
        <w:rPr>
          <w:sz w:val="20"/>
          <w:szCs w:val="20"/>
          <w:color w:val="auto"/>
        </w:rPr>
      </w:pPr>
    </w:p>
    <w:p>
      <w:pPr>
        <w:ind w:left="40" w:right="159" w:firstLine="4"/>
        <w:spacing w:after="0" w:line="286" w:lineRule="auto"/>
        <w:tabs>
          <w:tab w:leader="none" w:pos="2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income taxes (benefit) provision, (3) depreciation and amortization and (4) stock-based compensation expense. Adjusted EBITDA is EBITDA with further adjustments for (1) non-cash net income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72" w:lineRule="exact"/>
        <w:rPr>
          <w:sz w:val="20"/>
          <w:szCs w:val="20"/>
          <w:color w:val="auto"/>
        </w:rPr>
      </w:pPr>
    </w:p>
    <w:p>
      <w:pPr>
        <w:ind w:left="40" w:right="79" w:firstLine="259"/>
        <w:spacing w:after="0" w:line="290" w:lineRule="auto"/>
        <w:rPr>
          <w:sz w:val="20"/>
          <w:szCs w:val="20"/>
          <w:color w:val="auto"/>
        </w:rPr>
      </w:pPr>
      <w:r>
        <w:rPr>
          <w:rFonts w:ascii="Arial" w:cs="Arial" w:eastAsia="Arial" w:hAnsi="Arial"/>
          <w:sz w:val="16"/>
          <w:szCs w:val="16"/>
          <w:color w:val="auto"/>
        </w:rPr>
        <w:t>Adjusted net income (loss) is defined as net income (loss) attributable to Calavo Growers, Inc. excluding (1) non-cash net income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attributable to Calavo Growers, Inc.</w:t>
      </w:r>
    </w:p>
    <w:p>
      <w:pPr>
        <w:spacing w:after="0" w:line="165" w:lineRule="exact"/>
        <w:rPr>
          <w:sz w:val="20"/>
          <w:szCs w:val="20"/>
          <w:color w:val="auto"/>
        </w:rPr>
      </w:pPr>
    </w:p>
    <w:p>
      <w:pPr>
        <w:ind w:left="40" w:right="639" w:firstLine="259"/>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below.</w:t>
      </w:r>
    </w:p>
    <w:p>
      <w:pPr>
        <w:spacing w:after="0" w:line="170" w:lineRule="exact"/>
        <w:rPr>
          <w:sz w:val="20"/>
          <w:szCs w:val="20"/>
          <w:color w:val="auto"/>
        </w:rPr>
      </w:pPr>
    </w:p>
    <w:p>
      <w:pPr>
        <w:ind w:left="40" w:right="339" w:firstLine="259"/>
        <w:spacing w:after="0" w:line="263"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84" w:lineRule="exact"/>
        <w:rPr>
          <w:sz w:val="20"/>
          <w:szCs w:val="20"/>
          <w:color w:val="auto"/>
        </w:rPr>
      </w:pPr>
    </w:p>
    <w:p>
      <w:pPr>
        <w:ind w:left="40" w:right="139" w:firstLine="259"/>
        <w:spacing w:after="0" w:line="275" w:lineRule="auto"/>
        <w:rPr>
          <w:sz w:val="20"/>
          <w:szCs w:val="20"/>
          <w:color w:val="auto"/>
        </w:rPr>
      </w:pPr>
      <w:r>
        <w:rPr>
          <w:rFonts w:ascii="Arial" w:cs="Arial" w:eastAsia="Arial" w:hAnsi="Arial"/>
          <w:sz w:val="17"/>
          <w:szCs w:val="17"/>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(loss) and adjusted net income (loss) per diluted share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Adjusted Net Income (Non-GAAP, Unaudited)</w:t>
      </w:r>
    </w:p>
    <w:p>
      <w:pPr>
        <w:spacing w:after="0" w:line="225"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Arial" w:cs="Arial" w:eastAsia="Arial" w:hAnsi="Arial"/>
                <w:sz w:val="14"/>
                <w:szCs w:val="14"/>
                <w:b w:val="1"/>
                <w:bCs w:val="1"/>
                <w:color w:val="auto"/>
                <w:w w:val="95"/>
              </w:rPr>
              <w:t>Three months ended July 31,</w:t>
            </w:r>
          </w:p>
        </w:tc>
        <w:tc>
          <w:tcPr>
            <w:tcW w:w="80" w:type="dxa"/>
            <w:vAlign w:val="bottom"/>
          </w:tcPr>
          <w:p>
            <w:pPr>
              <w:spacing w:after="0"/>
              <w:rPr>
                <w:sz w:val="14"/>
                <w:szCs w:val="14"/>
                <w:color w:val="auto"/>
              </w:rPr>
            </w:pPr>
          </w:p>
        </w:tc>
        <w:tc>
          <w:tcPr>
            <w:tcW w:w="182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Nine months ended July 31,</w:t>
            </w: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Loss from FreshRealm and other related expenses (b)</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on Limoneira shares (c)</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Rent expense add back (d)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Restructure costs - consulting, management recruiting and severance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Expenses (recovery) related to Mexican tax matters (f)</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Impairment, losses and charges related to property, plant and</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(g)</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Legal settlement and related expenses (h)</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impact of adjustments (i)</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Calavo Growers, Inc.’s net income (loss) per share: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 (GAAP)</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07</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net income per diluted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16</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Number of shares used in per share computation:</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2"/>
        </w:trPr>
        <w:tc>
          <w:tcPr>
            <w:tcW w:w="30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60" w:right="199" w:hanging="327"/>
        <w:spacing w:after="0" w:line="278"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the three months ended July 31, 2023 and 2022, we realized losses of $0.5 million and losses of $0.3 million from Agricola Don Memo. For the nine months ended July 31, 2023 and 2022, we realized income of $0.4 million and losses of $0.8 million from Agricola Don Memo.</w:t>
      </w:r>
    </w:p>
    <w:p>
      <w:pPr>
        <w:spacing w:after="0" w:line="76" w:lineRule="exact"/>
        <w:rPr>
          <w:rFonts w:ascii="Arial" w:cs="Arial" w:eastAsia="Arial" w:hAnsi="Arial"/>
          <w:sz w:val="16"/>
          <w:szCs w:val="16"/>
          <w:color w:val="auto"/>
        </w:rPr>
      </w:pPr>
    </w:p>
    <w:p>
      <w:pPr>
        <w:ind w:left="560" w:right="99" w:hanging="327"/>
        <w:spacing w:after="0" w:line="369" w:lineRule="auto"/>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and nine months ended July 31, 2022, we recognized a return to provision discrete tax expense of $0.6 million due to the finalization of the tax treatment of the loss related to the previously recorded impairment of the investment in FreshRealm.</w:t>
      </w:r>
    </w:p>
    <w:p>
      <w:pPr>
        <w:spacing w:after="0" w:line="17" w:lineRule="exact"/>
        <w:rPr>
          <w:rFonts w:ascii="Arial" w:cs="Arial" w:eastAsia="Arial" w:hAnsi="Arial"/>
          <w:sz w:val="14"/>
          <w:szCs w:val="14"/>
          <w:color w:val="auto"/>
        </w:rPr>
      </w:pPr>
    </w:p>
    <w:p>
      <w:pPr>
        <w:ind w:left="560" w:right="159" w:hanging="327"/>
        <w:spacing w:after="0" w:line="293"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the three and nine months ended July 31, 2022, we recorded $1.2 million in urealized income and $5.8 million in unrealized losses related to mark-to-market adjustments of our previously held investment in Limoniera stock..</w:t>
      </w:r>
    </w:p>
    <w:p>
      <w:pPr>
        <w:spacing w:after="0" w:line="63" w:lineRule="exact"/>
        <w:rPr>
          <w:rFonts w:ascii="Arial" w:cs="Arial" w:eastAsia="Arial" w:hAnsi="Arial"/>
          <w:sz w:val="16"/>
          <w:szCs w:val="16"/>
          <w:color w:val="auto"/>
        </w:rPr>
      </w:pPr>
    </w:p>
    <w:p>
      <w:pPr>
        <w:ind w:left="560" w:right="99" w:hanging="327"/>
        <w:spacing w:after="0" w:line="335" w:lineRule="auto"/>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months ended July 31, 2023 and 2022, we incurred $0.1 million related to rent paid for Prepared’s former corporate office space that we have vacated and plan to sublease. For the nine months ended July 31, 2023 and 2022, we incurred $0.3 million related to rent paid for Prepared’s former corporate office space that we have vacated and plan to sublease.</w:t>
      </w:r>
    </w:p>
    <w:p>
      <w:pPr>
        <w:spacing w:after="0" w:line="41" w:lineRule="exact"/>
        <w:rPr>
          <w:rFonts w:ascii="Arial" w:cs="Arial" w:eastAsia="Arial" w:hAnsi="Arial"/>
          <w:sz w:val="14"/>
          <w:szCs w:val="14"/>
          <w:color w:val="auto"/>
        </w:rPr>
      </w:pPr>
    </w:p>
    <w:p>
      <w:pPr>
        <w:ind w:left="560" w:right="159" w:hanging="327"/>
        <w:spacing w:after="0" w:line="291"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the three and nine months ended July 31, 2023, we recorded $0.1 million and $0.8 million in severance costs as part of U.S. restructuring efforts, respectively. For the three and nine months ended July 31, 2023, we incurred $0.9 million in severance and other costs and $0.3 million in stock-based compensation related to the departure of certain members of management. In addition, for the nine months ended July 31, 2023, we incurred $1.2 million in severance and other costs and $1.2 million in stock-based compensation related to the departure of our former Chief Executive Officer. Additionally, for the nine months ended July 31, 2023, we incurred $0.6 million related to the divesture of Salsa Lisa.</w:t>
      </w:r>
    </w:p>
    <w:p>
      <w:pPr>
        <w:spacing w:after="0" w:line="68" w:lineRule="exact"/>
        <w:rPr>
          <w:sz w:val="20"/>
          <w:szCs w:val="20"/>
          <w:color w:val="auto"/>
        </w:rPr>
      </w:pPr>
    </w:p>
    <w:p>
      <w:pPr>
        <w:ind w:left="520" w:right="159"/>
        <w:spacing w:after="0" w:line="297" w:lineRule="auto"/>
        <w:rPr>
          <w:sz w:val="20"/>
          <w:szCs w:val="20"/>
          <w:color w:val="auto"/>
        </w:rPr>
      </w:pPr>
      <w:r>
        <w:rPr>
          <w:rFonts w:ascii="Arial" w:cs="Arial" w:eastAsia="Arial" w:hAnsi="Arial"/>
          <w:sz w:val="15"/>
          <w:szCs w:val="15"/>
          <w:color w:val="auto"/>
        </w:rPr>
        <w:t>For the three and nine months ended July 31, 2022, we recorded $1.2 million and $4.5 million of consulting expenses related to an enterprise-wide strategic business operations study conducted by a third-party management consulting organization for the purpose of restructuring to improve the profitability of the organization and efficiency of our operations. In addition, for the nine months ended July 31, 2022, we recorded $1.4 million of severance accrual related to the Project Uno restructuring.</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560" w:right="139" w:hanging="327"/>
        <w:spacing w:after="0" w:line="278"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months ended July 31, 2023 and 2022, we incurred $0.5 million and $0.3 million of professional fees related to the Mexican tax matters, respectively. For the nine months ended July 31, 2023 and 2022, we incurred $1.6 million and $1.1 million of professional fees related to the Mexican tax matters, respectively.</w:t>
      </w:r>
    </w:p>
    <w:p>
      <w:pPr>
        <w:spacing w:after="0" w:line="76" w:lineRule="exact"/>
        <w:rPr>
          <w:sz w:val="20"/>
          <w:szCs w:val="20"/>
          <w:color w:val="auto"/>
        </w:rPr>
      </w:pPr>
    </w:p>
    <w:p>
      <w:pPr>
        <w:jc w:val="both"/>
        <w:ind w:left="520" w:right="159"/>
        <w:spacing w:after="0" w:line="305" w:lineRule="auto"/>
        <w:rPr>
          <w:sz w:val="20"/>
          <w:szCs w:val="20"/>
          <w:color w:val="auto"/>
        </w:rPr>
      </w:pPr>
      <w:r>
        <w:rPr>
          <w:rFonts w:ascii="Arial" w:cs="Arial" w:eastAsia="Arial" w:hAnsi="Arial"/>
          <w:sz w:val="15"/>
          <w:szCs w:val="15"/>
          <w:color w:val="auto"/>
        </w:rPr>
        <w:t>For the three and nine months ended July 31,2023, we recorded a recovery of $1.7 million related to the interest and inflationary adjustments related to an IVA repayment from Mexican Tax Authority. For the nine months ended July 31, 2023, we recognized a reserve of $1.4 million related to the collectability of IVA receivables. See Note 10 for more information.</w:t>
      </w:r>
    </w:p>
    <w:p>
      <w:pPr>
        <w:spacing w:after="0" w:line="58" w:lineRule="exact"/>
        <w:rPr>
          <w:sz w:val="20"/>
          <w:szCs w:val="20"/>
          <w:color w:val="auto"/>
        </w:rPr>
      </w:pPr>
    </w:p>
    <w:p>
      <w:pPr>
        <w:jc w:val="both"/>
        <w:ind w:left="520" w:right="159" w:firstLine="40"/>
        <w:spacing w:after="0" w:line="293" w:lineRule="auto"/>
        <w:rPr>
          <w:sz w:val="20"/>
          <w:szCs w:val="20"/>
          <w:color w:val="auto"/>
        </w:rPr>
      </w:pPr>
      <w:r>
        <w:rPr>
          <w:rFonts w:ascii="Arial" w:cs="Arial" w:eastAsia="Arial" w:hAnsi="Arial"/>
          <w:sz w:val="16"/>
          <w:szCs w:val="16"/>
          <w:color w:val="auto"/>
        </w:rPr>
        <w:t>For the three and nine months ended July 31, 2022, we recognized a return to provision discrete tax expense of $0.5 million due to the finalization of the tax treatment for the final settlement of the 2011 Assessment.</w:t>
      </w:r>
    </w:p>
    <w:p>
      <w:pPr>
        <w:spacing w:after="0" w:line="64" w:lineRule="exact"/>
        <w:rPr>
          <w:sz w:val="20"/>
          <w:szCs w:val="20"/>
          <w:color w:val="auto"/>
        </w:rPr>
      </w:pPr>
    </w:p>
    <w:p>
      <w:pPr>
        <w:ind w:left="560" w:right="219" w:hanging="327"/>
        <w:spacing w:after="0" w:line="293"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April 1, 2023, we completed the divesture of our salsa business in our Prepared segment and incurred $0.2 million in losses related to the disposal of property, plant and equipment.</w:t>
      </w:r>
    </w:p>
    <w:p>
      <w:pPr>
        <w:spacing w:after="0" w:line="64" w:lineRule="exact"/>
        <w:rPr>
          <w:sz w:val="20"/>
          <w:szCs w:val="20"/>
          <w:color w:val="auto"/>
        </w:rPr>
      </w:pPr>
    </w:p>
    <w:p>
      <w:pPr>
        <w:ind w:left="520" w:right="99"/>
        <w:spacing w:after="0" w:line="273" w:lineRule="auto"/>
        <w:rPr>
          <w:sz w:val="20"/>
          <w:szCs w:val="20"/>
          <w:color w:val="auto"/>
        </w:rPr>
      </w:pPr>
      <w:r>
        <w:rPr>
          <w:rFonts w:ascii="Arial" w:cs="Arial" w:eastAsia="Arial" w:hAnsi="Arial"/>
          <w:sz w:val="16"/>
          <w:szCs w:val="16"/>
          <w:color w:val="auto"/>
        </w:rPr>
        <w:t>On October 18, 2021, we announced the closure of RFG’s food processing operations in Green Cove Springs (near Jacksonville), Florida, as part of our Project Uno profit improvement program. As of November 15, 2021, the Green Cove Springs facility of RFG ceased operations. We incurred $0.9 million of expenses for the nine months ended July 31, 2022, related to the closure of this facility.</w:t>
      </w:r>
    </w:p>
    <w:p>
      <w:pPr>
        <w:spacing w:after="0" w:line="81" w:lineRule="exact"/>
        <w:rPr>
          <w:sz w:val="20"/>
          <w:szCs w:val="20"/>
          <w:color w:val="auto"/>
        </w:rPr>
      </w:pPr>
    </w:p>
    <w:p>
      <w:pPr>
        <w:ind w:left="560" w:right="99" w:hanging="327"/>
        <w:spacing w:after="0" w:line="297" w:lineRule="auto"/>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nine months ended July 31, 2023, we accrued $0.6 million in a legal settlement from a dispute from over 5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pacing w:after="0" w:line="64" w:lineRule="exact"/>
        <w:rPr>
          <w:rFonts w:ascii="Arial" w:cs="Arial" w:eastAsia="Arial" w:hAnsi="Arial"/>
          <w:sz w:val="15"/>
          <w:szCs w:val="15"/>
          <w:color w:val="auto"/>
        </w:rPr>
      </w:pPr>
    </w:p>
    <w:p>
      <w:pPr>
        <w:ind w:left="560" w:hanging="327"/>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Tax impact of non-GAAP adjustments are based on effective year-to-date tax rates.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Reconciliation of EBITDA and Adjusted EBITDA (Non-GAAP, Unaudited)</w:t>
      </w:r>
    </w:p>
    <w:p>
      <w:pPr>
        <w:spacing w:after="0" w:line="225"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40" w:type="dxa"/>
            <w:vAlign w:val="bottom"/>
            <w:gridSpan w:val="7"/>
          </w:tcPr>
          <w:p>
            <w:pPr>
              <w:ind w:left="400"/>
              <w:spacing w:after="0"/>
              <w:rPr>
                <w:sz w:val="20"/>
                <w:szCs w:val="20"/>
                <w:color w:val="auto"/>
              </w:rPr>
            </w:pPr>
            <w:r>
              <w:rPr>
                <w:rFonts w:ascii="Arial" w:cs="Arial" w:eastAsia="Arial" w:hAnsi="Arial"/>
                <w:sz w:val="14"/>
                <w:szCs w:val="14"/>
                <w:b w:val="1"/>
                <w:bCs w:val="1"/>
                <w:color w:val="auto"/>
                <w:w w:val="94"/>
              </w:rPr>
              <w:t>Three months ended July 31,</w:t>
            </w:r>
          </w:p>
        </w:tc>
        <w:tc>
          <w:tcPr>
            <w:tcW w:w="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17,783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9"/>
              </w:rPr>
              <w:t>Non-cash losses recognized from unconsolidated entities (a)</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on Limoneira shares (c)</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Rent expense add back (d)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Restructure costs - consulting and management recruiting and</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(e)</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Expenses (recovery) related to Mexican tax matters (f)</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Impairment, losses and charges related to property, plant and</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(g)</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Legal settlement and related expenses (h)</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prior page for footnote references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and nine months ended July 31, 2023 and 2022:</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July 31,</w:t>
            </w:r>
          </w:p>
        </w:tc>
        <w:tc>
          <w:tcPr>
            <w:tcW w:w="2760" w:type="dxa"/>
            <w:vAlign w:val="bottom"/>
            <w:gridSpan w:val="7"/>
          </w:tcPr>
          <w:p>
            <w:pPr>
              <w:ind w:left="420"/>
              <w:spacing w:after="0"/>
              <w:rPr>
                <w:sz w:val="20"/>
                <w:szCs w:val="20"/>
                <w:color w:val="auto"/>
              </w:rPr>
            </w:pPr>
            <w:r>
              <w:rPr>
                <w:rFonts w:ascii="Arial" w:cs="Arial" w:eastAsia="Arial" w:hAnsi="Arial"/>
                <w:sz w:val="14"/>
                <w:szCs w:val="14"/>
                <w:b w:val="1"/>
                <w:bCs w:val="1"/>
                <w:color w:val="auto"/>
              </w:rPr>
              <w:t>Nine months ended July 31,</w:t>
            </w:r>
          </w:p>
        </w:tc>
      </w:tr>
      <w:tr>
        <w:trPr>
          <w:trHeight w:val="142"/>
        </w:trPr>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Change</w:t>
            </w: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sales:</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Grown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$ 144,543</w:t>
            </w: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(30)% $ 207,589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$ 403,285</w:t>
            </w:r>
          </w:p>
        </w:tc>
        <w:tc>
          <w:tcPr>
            <w:tcW w:w="2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(31)% $ 581,171</w:t>
            </w:r>
          </w:p>
        </w:tc>
        <w:tc>
          <w:tcPr>
            <w:tcW w:w="200" w:type="dxa"/>
            <w:vAlign w:val="bottom"/>
          </w:tcPr>
          <w:p>
            <w:pPr>
              <w:spacing w:after="0"/>
              <w:rPr>
                <w:sz w:val="18"/>
                <w:szCs w:val="18"/>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Prepared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115,806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328,649</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367,889</w:t>
            </w:r>
          </w:p>
        </w:tc>
        <w:tc>
          <w:tcPr>
            <w:tcW w:w="200" w:type="dxa"/>
            <w:vAlign w:val="bottom"/>
            <w:shd w:val="clear" w:color="auto" w:fill="CCEEFF"/>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Less intercompany eliminations</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(474)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(1,166)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(1,559)</w:t>
            </w:r>
          </w:p>
        </w:tc>
      </w:tr>
      <w:tr>
        <w:trPr>
          <w:trHeight w:val="210"/>
        </w:trPr>
        <w:tc>
          <w:tcPr>
            <w:tcW w:w="2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$ 259,875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$ 341,991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$ 730,768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$ 947,501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a percentage of sales:</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8"/>
                <w:szCs w:val="18"/>
                <w:color w:val="auto"/>
              </w:rPr>
              <w:t>Grown</w:t>
            </w:r>
          </w:p>
        </w:tc>
        <w:tc>
          <w:tcPr>
            <w:tcW w:w="1740" w:type="dxa"/>
            <w:vAlign w:val="bottom"/>
            <w:gridSpan w:val="2"/>
          </w:tcPr>
          <w:p>
            <w:pPr>
              <w:jc w:val="right"/>
              <w:ind w:right="710"/>
              <w:spacing w:after="0"/>
              <w:rPr>
                <w:sz w:val="20"/>
                <w:szCs w:val="20"/>
                <w:color w:val="auto"/>
              </w:rPr>
            </w:pPr>
            <w:r>
              <w:rPr>
                <w:rFonts w:ascii="Arial" w:cs="Arial" w:eastAsia="Arial" w:hAnsi="Arial"/>
                <w:sz w:val="18"/>
                <w:szCs w:val="18"/>
                <w:color w:val="auto"/>
              </w:rPr>
              <w:t>55.5 %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60.6 %</w:t>
            </w:r>
          </w:p>
        </w:tc>
        <w:tc>
          <w:tcPr>
            <w:tcW w:w="1740" w:type="dxa"/>
            <w:vAlign w:val="bottom"/>
            <w:gridSpan w:val="2"/>
          </w:tcPr>
          <w:p>
            <w:pPr>
              <w:jc w:val="right"/>
              <w:ind w:right="710"/>
              <w:spacing w:after="0"/>
              <w:rPr>
                <w:sz w:val="20"/>
                <w:szCs w:val="20"/>
                <w:color w:val="auto"/>
              </w:rPr>
            </w:pPr>
            <w:r>
              <w:rPr>
                <w:rFonts w:ascii="Arial" w:cs="Arial" w:eastAsia="Arial" w:hAnsi="Arial"/>
                <w:sz w:val="18"/>
                <w:szCs w:val="18"/>
                <w:color w:val="auto"/>
              </w:rPr>
              <w:t>55.1 %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61.2 %</w:t>
            </w: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Prepared</w:t>
            </w:r>
          </w:p>
        </w:tc>
        <w:tc>
          <w:tcPr>
            <w:tcW w:w="17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44.5 %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17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44.9 %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38.8 %</w:t>
            </w:r>
          </w:p>
        </w:tc>
      </w:tr>
      <w:tr>
        <w:trPr>
          <w:trHeight w:val="210"/>
        </w:trPr>
        <w:tc>
          <w:tcPr>
            <w:tcW w:w="34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Pr>
          <w:p>
            <w:pPr>
              <w:jc w:val="right"/>
              <w:ind w:right="710"/>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Pr>
          <w:p>
            <w:pPr>
              <w:jc w:val="right"/>
              <w:ind w:right="71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left="40" w:right="199" w:firstLine="259"/>
        <w:spacing w:after="0" w:line="259" w:lineRule="auto"/>
        <w:rPr>
          <w:sz w:val="20"/>
          <w:szCs w:val="20"/>
          <w:color w:val="auto"/>
        </w:rPr>
      </w:pPr>
      <w:r>
        <w:rPr>
          <w:rFonts w:ascii="Arial" w:cs="Arial" w:eastAsia="Arial" w:hAnsi="Arial"/>
          <w:sz w:val="18"/>
          <w:szCs w:val="18"/>
          <w:color w:val="auto"/>
        </w:rPr>
        <w:t>Net sales for the three months ended July 31, 2023, compared to the corresponding period in fiscal 2022, decreased by $82.1 million, or approximately 24%. This decrease was across both segments. Net sales for the nine months ended July 31, 2023, compared to the corresponding period in fiscal 2022, decreased by $216.7 million, or approximately 23%. This decrease was across both segments.</w:t>
      </w:r>
    </w:p>
    <w:p>
      <w:pPr>
        <w:spacing w:after="0" w:line="187" w:lineRule="exact"/>
        <w:rPr>
          <w:sz w:val="20"/>
          <w:szCs w:val="20"/>
          <w:color w:val="auto"/>
        </w:rPr>
      </w:pPr>
    </w:p>
    <w:p>
      <w:pPr>
        <w:jc w:val="both"/>
        <w:ind w:left="40" w:right="59" w:firstLine="259"/>
        <w:spacing w:after="0" w:line="259" w:lineRule="auto"/>
        <w:rPr>
          <w:sz w:val="20"/>
          <w:szCs w:val="20"/>
          <w:color w:val="auto"/>
        </w:rPr>
      </w:pPr>
      <w:r>
        <w:rPr>
          <w:rFonts w:ascii="Arial" w:cs="Arial" w:eastAsia="Arial" w:hAnsi="Arial"/>
          <w:sz w:val="18"/>
          <w:szCs w:val="18"/>
          <w:color w:val="auto"/>
        </w:rPr>
        <w:t>For the three and nine months ended July 31, 2023, the decrease in Grown product sales was primarily due to a decrease in price per unit of avocados offset by increased sales volume due to increased volumes of available fruit. For the three and nine months ended July 31, 2023, the decrease in Prepared product sales was due primarily to decreased sales volume from fresh-cut fruit products and guacamole products.</w:t>
      </w:r>
    </w:p>
    <w:p>
      <w:pPr>
        <w:spacing w:after="0" w:line="187" w:lineRule="exact"/>
        <w:rPr>
          <w:sz w:val="20"/>
          <w:szCs w:val="20"/>
          <w:color w:val="auto"/>
        </w:rPr>
      </w:pPr>
    </w:p>
    <w:p>
      <w:pPr>
        <w:ind w:left="40" w:right="99" w:firstLine="259"/>
        <w:spacing w:after="0" w:line="311" w:lineRule="auto"/>
        <w:rPr>
          <w:sz w:val="20"/>
          <w:szCs w:val="20"/>
          <w:color w:val="auto"/>
        </w:rPr>
      </w:pPr>
      <w:r>
        <w:rPr>
          <w:rFonts w:ascii="Arial" w:cs="Arial" w:eastAsia="Arial" w:hAnsi="Arial"/>
          <w:sz w:val="16"/>
          <w:szCs w:val="16"/>
          <w:color w:val="auto"/>
        </w:rPr>
        <w:t>We will continue to pursue grower recruitment opportunities and expand relationships with retail and/or foodservice customers to fuel net sales growth in each of our business segments. Our Grown and Prepared segments of our business are subject to seasonal trends which can impact the volume and/or quality of raw materials sourced in any particular quarter.</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Grown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Third Quarter 2023 vs. Third Quarter 2022</w:t>
      </w:r>
    </w:p>
    <w:p>
      <w:pPr>
        <w:spacing w:after="0" w:line="225" w:lineRule="exact"/>
        <w:rPr>
          <w:sz w:val="20"/>
          <w:szCs w:val="20"/>
          <w:color w:val="auto"/>
        </w:rPr>
      </w:pPr>
    </w:p>
    <w:p>
      <w:pPr>
        <w:ind w:left="40" w:right="279" w:firstLine="259"/>
        <w:spacing w:after="0" w:line="259" w:lineRule="auto"/>
        <w:rPr>
          <w:sz w:val="20"/>
          <w:szCs w:val="20"/>
          <w:color w:val="auto"/>
        </w:rPr>
      </w:pPr>
      <w:r>
        <w:rPr>
          <w:rFonts w:ascii="Arial" w:cs="Arial" w:eastAsia="Arial" w:hAnsi="Arial"/>
          <w:sz w:val="18"/>
          <w:szCs w:val="18"/>
          <w:color w:val="auto"/>
        </w:rPr>
        <w:t>Net sales for the Grown products business decreased by approximately $63.0 million, or 30%, for the third quarter of fiscal 2023 compared to the corresponding period in fiscal 2022. The decrease in Grown product sales during the third quarter of fiscal 2023 was primarily related to lower sales prices of avocados due to higher overall supply of avocados in the marketplace.</w:t>
      </w:r>
    </w:p>
    <w:p>
      <w:pPr>
        <w:spacing w:after="0" w:line="187" w:lineRule="exact"/>
        <w:rPr>
          <w:sz w:val="20"/>
          <w:szCs w:val="20"/>
          <w:color w:val="auto"/>
        </w:rPr>
      </w:pPr>
    </w:p>
    <w:p>
      <w:pPr>
        <w:ind w:left="40" w:right="59" w:firstLine="259"/>
        <w:spacing w:after="0" w:line="279" w:lineRule="auto"/>
        <w:rPr>
          <w:sz w:val="20"/>
          <w:szCs w:val="20"/>
          <w:color w:val="auto"/>
        </w:rPr>
      </w:pPr>
      <w:r>
        <w:rPr>
          <w:rFonts w:ascii="Arial" w:cs="Arial" w:eastAsia="Arial" w:hAnsi="Arial"/>
          <w:sz w:val="17"/>
          <w:szCs w:val="17"/>
          <w:color w:val="auto"/>
        </w:rPr>
        <w:t>Sales of avocados decreased $69.3 million, or 35%, for the third quarter of 2023 compared to the prior year period. The average avocado sales price per carton decreased 38% compared to the prior year period. The decrease in the sales price per carton was mainly due to an industry-wide increase in supply of avocados in the marketplace. The volume of avocados sold in the second quarter of 2023 increased 5% compared to the prior year period.</w:t>
      </w:r>
    </w:p>
    <w:p>
      <w:pPr>
        <w:spacing w:after="0" w:line="171" w:lineRule="exact"/>
        <w:rPr>
          <w:sz w:val="20"/>
          <w:szCs w:val="20"/>
          <w:color w:val="auto"/>
        </w:rPr>
      </w:pPr>
    </w:p>
    <w:p>
      <w:pPr>
        <w:ind w:left="40" w:right="99" w:firstLine="259"/>
        <w:spacing w:after="0" w:line="342" w:lineRule="auto"/>
        <w:rPr>
          <w:sz w:val="20"/>
          <w:szCs w:val="20"/>
          <w:color w:val="auto"/>
        </w:rPr>
      </w:pPr>
      <w:r>
        <w:rPr>
          <w:rFonts w:ascii="Arial" w:cs="Arial" w:eastAsia="Arial" w:hAnsi="Arial"/>
          <w:sz w:val="16"/>
          <w:szCs w:val="16"/>
          <w:color w:val="auto"/>
        </w:rPr>
        <w:t>Sales of tomatoes increased $6.7 million, or 74%, for the third quarter of 2023, when compared to the prior year period. The increase in tomato sales was primarily due to an increase in volume of tomatoes sold of approximately 71%</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color w:val="auto"/>
        </w:rPr>
        <w:t>in the third quarter of 2023, compared to the same prior year period. The sales price per carton of tomatoes increased by approximately 2%.</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Nine Months Ended July 31, 2023 vs. Nine Months Ended July 31, 2022</w:t>
      </w:r>
    </w:p>
    <w:p>
      <w:pPr>
        <w:spacing w:after="0" w:line="225"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Net sales for the Grown products business decreased by approximately $177.9 million, or 31%, for the nine months ended July 31, 2023, compared to the corresponding period in fiscal 2022. The decrease in Grown product sales during the nine months ended July 31, 2023, was primarily related to lower sales prices of avocados due to higher overall supply of avocados in the marketplace. Partially offsetting this decrease, tomato sales increased due to an increase in sales prices per carton, and higher tomato sales volume.</w:t>
      </w:r>
    </w:p>
    <w:p>
      <w:pPr>
        <w:spacing w:after="0" w:line="188" w:lineRule="exact"/>
        <w:rPr>
          <w:sz w:val="20"/>
          <w:szCs w:val="20"/>
          <w:color w:val="auto"/>
        </w:rPr>
      </w:pPr>
    </w:p>
    <w:p>
      <w:pPr>
        <w:ind w:left="40" w:right="79" w:firstLine="259"/>
        <w:spacing w:after="0" w:line="301" w:lineRule="auto"/>
        <w:rPr>
          <w:sz w:val="20"/>
          <w:szCs w:val="20"/>
          <w:color w:val="auto"/>
        </w:rPr>
      </w:pPr>
      <w:r>
        <w:rPr>
          <w:rFonts w:ascii="Arial" w:cs="Arial" w:eastAsia="Arial" w:hAnsi="Arial"/>
          <w:sz w:val="16"/>
          <w:szCs w:val="16"/>
          <w:color w:val="auto"/>
        </w:rPr>
        <w:t>Sales of avocados decreased $186.9 million, or 35%, for the nine months ended July 31, 2023, compared to the prior year period. The average avocado sales price per carton decreased 39% compared to the prior year period. The decrease in the sales price per carton was mainly due to an industry-wide increase in supply of avocados in the marketplace. The volume of avocados sold for the nine months ended July 31, 2023, increased 6% compared to the prior year period.</w:t>
      </w:r>
    </w:p>
    <w:p>
      <w:pPr>
        <w:spacing w:after="0" w:line="157" w:lineRule="exact"/>
        <w:rPr>
          <w:sz w:val="20"/>
          <w:szCs w:val="20"/>
          <w:color w:val="auto"/>
        </w:rPr>
      </w:pPr>
    </w:p>
    <w:p>
      <w:pPr>
        <w:jc w:val="both"/>
        <w:ind w:left="40" w:right="99" w:firstLine="259"/>
        <w:spacing w:after="0" w:line="263" w:lineRule="auto"/>
        <w:rPr>
          <w:sz w:val="20"/>
          <w:szCs w:val="20"/>
          <w:color w:val="auto"/>
        </w:rPr>
      </w:pPr>
      <w:r>
        <w:rPr>
          <w:rFonts w:ascii="Arial" w:cs="Arial" w:eastAsia="Arial" w:hAnsi="Arial"/>
          <w:sz w:val="18"/>
          <w:szCs w:val="18"/>
          <w:color w:val="auto"/>
        </w:rPr>
        <w:t>Sales of tomatoes increased $9.3 million, or 26%, for the nine months ended July 31, 2023, when compared to the prior year period. The increase in tomato sales was primarily due to a 13% increase in the sales price per carton, and an increase of 11% of tomato cartons sold.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Prepared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Third Quarter 2023 vs. Third Quarter 2022</w:t>
      </w:r>
    </w:p>
    <w:p>
      <w:pPr>
        <w:spacing w:after="0" w:line="225" w:lineRule="exact"/>
        <w:rPr>
          <w:sz w:val="20"/>
          <w:szCs w:val="20"/>
          <w:color w:val="auto"/>
        </w:rPr>
      </w:pPr>
    </w:p>
    <w:p>
      <w:pPr>
        <w:jc w:val="both"/>
        <w:ind w:left="40" w:right="219" w:firstLine="259"/>
        <w:spacing w:after="0" w:line="286" w:lineRule="auto"/>
        <w:rPr>
          <w:sz w:val="20"/>
          <w:szCs w:val="20"/>
          <w:color w:val="auto"/>
        </w:rPr>
      </w:pPr>
      <w:r>
        <w:rPr>
          <w:rFonts w:ascii="Arial" w:cs="Arial" w:eastAsia="Arial" w:hAnsi="Arial"/>
          <w:sz w:val="17"/>
          <w:szCs w:val="17"/>
          <w:color w:val="auto"/>
        </w:rPr>
        <w:t>Net sales for the Prepared products business decreased by approximately $19.1 million, or 14%, for the three months ended July 31, 2023 compared to the corresponding period in fiscal 2022. This decrease in Prepared product sales during the three months ended July 31, 2023 was primarily related to lower sales volume.</w:t>
      </w:r>
    </w:p>
    <w:p>
      <w:pPr>
        <w:spacing w:after="0" w:line="165" w:lineRule="exact"/>
        <w:rPr>
          <w:sz w:val="20"/>
          <w:szCs w:val="20"/>
          <w:color w:val="auto"/>
        </w:rPr>
      </w:pPr>
    </w:p>
    <w:p>
      <w:pPr>
        <w:ind w:left="40" w:right="259" w:firstLine="259"/>
        <w:spacing w:after="0" w:line="279" w:lineRule="auto"/>
        <w:rPr>
          <w:sz w:val="20"/>
          <w:szCs w:val="20"/>
          <w:color w:val="auto"/>
        </w:rPr>
      </w:pPr>
      <w:r>
        <w:rPr>
          <w:rFonts w:ascii="Arial" w:cs="Arial" w:eastAsia="Arial" w:hAnsi="Arial"/>
          <w:sz w:val="17"/>
          <w:szCs w:val="17"/>
          <w:color w:val="auto"/>
        </w:rPr>
        <w:t>Net sales for fresh-cut products decreased $17.1 million, or 15%, for the quarter ended July 31, 2023 compared to the corresponding period in fiscal 2022. This decrease was primarily driven by lower sales volume of 15%. Net sales for guacamole products decreased $2.4 million, or 13%, for the quarter ended July 31, 2023 compared to the corresponding period in fiscal 2022, primarily due to a decrease in total volume sold.</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Nine Months Ended July 31, 2023 vs. Nine Months Ended July 31, 2022</w:t>
      </w:r>
    </w:p>
    <w:p>
      <w:pPr>
        <w:spacing w:after="0" w:line="225"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Net sales for the Prepared products business decreased by approximately $39.2 million, or 11%, for the nine months ended July 31, 2023 compared to the corresponding period in fiscal 2022. This decrease in Prepared product sales during the nine months ended July 31, 2023 was primarily related to lower sales volume of fresh-cut fruit and vegetables, prepared foods and guacamole products.</w:t>
      </w:r>
    </w:p>
    <w:p>
      <w:pPr>
        <w:spacing w:after="0" w:line="187" w:lineRule="exact"/>
        <w:rPr>
          <w:sz w:val="20"/>
          <w:szCs w:val="20"/>
          <w:color w:val="auto"/>
        </w:rPr>
      </w:pPr>
    </w:p>
    <w:p>
      <w:pPr>
        <w:jc w:val="both"/>
        <w:ind w:left="40" w:right="79" w:firstLine="259"/>
        <w:spacing w:after="0" w:line="301" w:lineRule="auto"/>
        <w:rPr>
          <w:sz w:val="20"/>
          <w:szCs w:val="20"/>
          <w:color w:val="auto"/>
        </w:rPr>
      </w:pPr>
      <w:r>
        <w:rPr>
          <w:rFonts w:ascii="Arial" w:cs="Arial" w:eastAsia="Arial" w:hAnsi="Arial"/>
          <w:sz w:val="16"/>
          <w:szCs w:val="16"/>
          <w:color w:val="auto"/>
        </w:rPr>
        <w:t>Net sales for fresh-cut products decreased $34.0 million, or 11%, for the nine months ended July 31, 2023 compared to the corresponding period in fiscal 2022. This decrease was primarily driven by lower sales volume of 15%, partially offset by an increase of 7% of sales prices. Net sales for guacamole products decreased $6.6 million, or 12%, for the nine months ended July 31, 2023 compared to the corresponding period in fiscal 2022, primarily due to a decrease in total volume sold.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and nine months ended July 31, 2023 and 2022:</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 July 31,</w:t>
            </w:r>
          </w:p>
        </w:tc>
        <w:tc>
          <w:tcPr>
            <w:tcW w:w="252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 July 31,</w:t>
            </w:r>
          </w:p>
        </w:tc>
      </w:tr>
      <w:tr>
        <w:trPr>
          <w:trHeight w:val="142"/>
        </w:trPr>
        <w:tc>
          <w:tcPr>
            <w:tcW w:w="382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5"/>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5"/>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r>
      <w:tr>
        <w:trPr>
          <w:trHeight w:val="291"/>
        </w:trPr>
        <w:tc>
          <w:tcPr>
            <w:tcW w:w="38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Grown</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$ 21,353</w:t>
            </w: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81 % $ 11,771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8"/>
              </w:rPr>
              <w:t>$ 43,433</w:t>
            </w: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4 % $ 41,594</w:t>
            </w:r>
          </w:p>
        </w:tc>
        <w:tc>
          <w:tcPr>
            <w:tcW w:w="18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Prepared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80" w:type="dxa"/>
            <w:vAlign w:val="bottom"/>
            <w:shd w:val="clear" w:color="auto" w:fill="CCEEFF"/>
          </w:tcPr>
          <w:p>
            <w:pPr>
              <w:spacing w:after="0"/>
              <w:rPr>
                <w:sz w:val="18"/>
                <w:szCs w:val="18"/>
                <w:color w:val="auto"/>
              </w:rPr>
            </w:pPr>
          </w:p>
        </w:tc>
      </w:tr>
      <w:tr>
        <w:trPr>
          <w:trHeight w:val="250"/>
        </w:trPr>
        <w:tc>
          <w:tcPr>
            <w:tcW w:w="3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gross profit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$ 25,025</w:t>
            </w:r>
          </w:p>
        </w:tc>
        <w:tc>
          <w:tcPr>
            <w:tcW w:w="94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35 %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$ 18,514</w:t>
            </w:r>
          </w:p>
        </w:tc>
        <w:tc>
          <w:tcPr>
            <w:tcW w:w="2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$ 54,494</w:t>
            </w:r>
          </w:p>
        </w:tc>
        <w:tc>
          <w:tcPr>
            <w:tcW w:w="96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2 %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$ 53,484</w:t>
            </w:r>
          </w:p>
        </w:tc>
        <w:tc>
          <w:tcPr>
            <w:tcW w:w="180" w:type="dxa"/>
            <w:vAlign w:val="bottom"/>
            <w:tcBorders>
              <w:bottom w:val="single" w:sz="8" w:color="CCEEFF"/>
            </w:tcBorders>
          </w:tcPr>
          <w:p>
            <w:pPr>
              <w:spacing w:after="0"/>
              <w:rPr>
                <w:sz w:val="21"/>
                <w:szCs w:val="21"/>
                <w:color w:val="auto"/>
              </w:rPr>
            </w:pPr>
          </w:p>
        </w:tc>
      </w:tr>
      <w:tr>
        <w:trPr>
          <w:trHeight w:val="197"/>
        </w:trPr>
        <w:tc>
          <w:tcPr>
            <w:tcW w:w="3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040" w:type="dxa"/>
            <w:vAlign w:val="bottom"/>
          </w:tcPr>
          <w:p>
            <w:pPr>
              <w:ind w:left="120"/>
              <w:spacing w:after="0"/>
              <w:rPr>
                <w:sz w:val="20"/>
                <w:szCs w:val="20"/>
                <w:color w:val="auto"/>
              </w:rPr>
            </w:pPr>
            <w:r>
              <w:rPr>
                <w:rFonts w:ascii="Arial" w:cs="Arial" w:eastAsia="Arial" w:hAnsi="Arial"/>
                <w:sz w:val="18"/>
                <w:szCs w:val="18"/>
                <w:color w:val="auto"/>
              </w:rPr>
              <w:t>Gross profit percentages:</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Grown</w:t>
            </w:r>
          </w:p>
        </w:tc>
        <w:tc>
          <w:tcPr>
            <w:tcW w:w="22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14.8 %</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5.7 %</w:t>
            </w:r>
          </w:p>
        </w:tc>
        <w:tc>
          <w:tcPr>
            <w:tcW w:w="13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10.8 %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Prepared</w:t>
            </w:r>
          </w:p>
        </w:tc>
        <w:tc>
          <w:tcPr>
            <w:tcW w:w="2240" w:type="dxa"/>
            <w:vAlign w:val="bottom"/>
          </w:tcPr>
          <w:p>
            <w:pPr>
              <w:jc w:val="right"/>
              <w:ind w:right="530"/>
              <w:spacing w:after="0"/>
              <w:rPr>
                <w:sz w:val="20"/>
                <w:szCs w:val="20"/>
                <w:color w:val="auto"/>
              </w:rPr>
            </w:pPr>
            <w:r>
              <w:rPr>
                <w:rFonts w:ascii="Arial" w:cs="Arial" w:eastAsia="Arial" w:hAnsi="Arial"/>
                <w:sz w:val="18"/>
                <w:szCs w:val="18"/>
                <w:color w:val="auto"/>
              </w:rPr>
              <w:t>3.2 %</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5.0 %</w:t>
            </w: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3.4 %</w:t>
            </w:r>
          </w:p>
        </w:tc>
        <w:tc>
          <w:tcPr>
            <w:tcW w:w="10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9.6 %</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5.4 %</w:t>
            </w:r>
          </w:p>
        </w:tc>
        <w:tc>
          <w:tcPr>
            <w:tcW w:w="13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7.5 %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left="40" w:right="259" w:firstLine="259"/>
        <w:spacing w:after="0" w:line="286" w:lineRule="auto"/>
        <w:rPr>
          <w:sz w:val="20"/>
          <w:szCs w:val="20"/>
          <w:color w:val="auto"/>
        </w:rPr>
      </w:pPr>
      <w:r>
        <w:rPr>
          <w:rFonts w:ascii="Arial" w:cs="Arial" w:eastAsia="Arial" w:hAnsi="Arial"/>
          <w:sz w:val="17"/>
          <w:szCs w:val="17"/>
          <w:color w:val="auto"/>
        </w:rPr>
        <w:t>Our cost of goods sold consists predominantly of ingredient costs (fruit, vegetables and other food products), packing materials, freight and handling, labor and overhead (including depreciation) associated with packing, distributing and/or preparing food products, and other direct expenses pertaining to products sold.</w:t>
      </w:r>
    </w:p>
    <w:p>
      <w:pPr>
        <w:spacing w:after="0" w:line="165" w:lineRule="exact"/>
        <w:rPr>
          <w:sz w:val="20"/>
          <w:szCs w:val="20"/>
          <w:color w:val="auto"/>
        </w:rPr>
      </w:pPr>
    </w:p>
    <w:p>
      <w:pPr>
        <w:ind w:left="40" w:right="539" w:firstLine="259"/>
        <w:spacing w:after="0" w:line="263" w:lineRule="auto"/>
        <w:rPr>
          <w:sz w:val="20"/>
          <w:szCs w:val="20"/>
          <w:color w:val="auto"/>
        </w:rPr>
      </w:pPr>
      <w:r>
        <w:rPr>
          <w:rFonts w:ascii="Arial" w:cs="Arial" w:eastAsia="Arial" w:hAnsi="Arial"/>
          <w:sz w:val="18"/>
          <w:szCs w:val="18"/>
          <w:color w:val="auto"/>
        </w:rPr>
        <w:t>Gross profit increased by approximately $6.5 million, or 35%, for the third quarter of fiscal 2023 compared to the corresponding period in fiscal 2022. The increase was primarily attributable to a gross profit increase in the Grown segment, partially offset by a gross profit decrease in the Prepared segment.</w:t>
      </w:r>
    </w:p>
    <w:p>
      <w:pPr>
        <w:spacing w:after="0" w:line="184"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Gross profit increased by approximately $1.0 million, or 2%, for the nine months ended July 31, 2023, compared to the corresponding period in fiscal 2022. The increase was primarily attributable to a gross profit increase in the Grown segment, partially offset by a gross profit decrease in the Prepared segment.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Grown products</w:t>
      </w:r>
    </w:p>
    <w:p>
      <w:pPr>
        <w:spacing w:after="0" w:line="225"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The increase in our Grown products gross profit for the quarter ended July 31, 2023 was primarily the result of increased gross profit for avocados. For the third quarter of fiscal 2023, the gross profit percentage for avocados was 15.6% compared to 5.9% for the third quarter of 2022. The increase was primarily related to improved fresh avocado sourcing, production and sales management.</w:t>
      </w:r>
    </w:p>
    <w:p>
      <w:pPr>
        <w:spacing w:after="0" w:line="187" w:lineRule="exact"/>
        <w:rPr>
          <w:sz w:val="20"/>
          <w:szCs w:val="20"/>
          <w:color w:val="auto"/>
        </w:rPr>
      </w:pPr>
    </w:p>
    <w:p>
      <w:pPr>
        <w:ind w:left="40" w:right="219" w:firstLine="259"/>
        <w:spacing w:after="0" w:line="311" w:lineRule="auto"/>
        <w:rPr>
          <w:sz w:val="20"/>
          <w:szCs w:val="20"/>
          <w:color w:val="auto"/>
        </w:rPr>
      </w:pPr>
      <w:r>
        <w:rPr>
          <w:rFonts w:ascii="Arial" w:cs="Arial" w:eastAsia="Arial" w:hAnsi="Arial"/>
          <w:sz w:val="16"/>
          <w:szCs w:val="16"/>
          <w:color w:val="auto"/>
        </w:rPr>
        <w:t>Gross profit for the quarter was also affected by the change in the value of the U.S dollar in relation to the Mexican peso during the quarter, resulting in a $2.0 million net gain related the remeasurement of peso-dominated net assets at our Mexican subsidiaries. This is in comparison to a remeasurement loss of $0.4 million for the same period last year.</w:t>
      </w:r>
    </w:p>
    <w:p>
      <w:pPr>
        <w:spacing w:after="0" w:line="149" w:lineRule="exact"/>
        <w:rPr>
          <w:sz w:val="20"/>
          <w:szCs w:val="20"/>
          <w:color w:val="auto"/>
        </w:rPr>
      </w:pPr>
    </w:p>
    <w:p>
      <w:pPr>
        <w:ind w:left="40" w:right="139" w:firstLine="259"/>
        <w:spacing w:after="0" w:line="301" w:lineRule="auto"/>
        <w:rPr>
          <w:sz w:val="20"/>
          <w:szCs w:val="20"/>
          <w:color w:val="auto"/>
        </w:rPr>
      </w:pPr>
      <w:r>
        <w:rPr>
          <w:rFonts w:ascii="Arial" w:cs="Arial" w:eastAsia="Arial" w:hAnsi="Arial"/>
          <w:sz w:val="16"/>
          <w:szCs w:val="16"/>
          <w:color w:val="auto"/>
        </w:rPr>
        <w:t>The increase in our Grown products gross profit for the nine months ended July 31, 2023 was primarily the result of increased gross profit for avocados. For the nine months ended July 31, 2023, the gross profit percentage for avocados was 11.2% compared to 7.2% for the nine months ended July 31, 2022. The increase was primarily related to improved fresh avocado sourcing, production and sales management beginning in the second and third quarters of fiscal 2023.</w:t>
      </w:r>
    </w:p>
    <w:p>
      <w:pPr>
        <w:spacing w:after="0" w:line="157" w:lineRule="exact"/>
        <w:rPr>
          <w:sz w:val="20"/>
          <w:szCs w:val="20"/>
          <w:color w:val="auto"/>
        </w:rPr>
      </w:pPr>
    </w:p>
    <w:p>
      <w:pPr>
        <w:ind w:left="40" w:right="119" w:firstLine="259"/>
        <w:spacing w:after="0" w:line="311" w:lineRule="auto"/>
        <w:rPr>
          <w:sz w:val="20"/>
          <w:szCs w:val="20"/>
          <w:color w:val="auto"/>
        </w:rPr>
      </w:pPr>
      <w:r>
        <w:rPr>
          <w:rFonts w:ascii="Arial" w:cs="Arial" w:eastAsia="Arial" w:hAnsi="Arial"/>
          <w:sz w:val="16"/>
          <w:szCs w:val="16"/>
          <w:color w:val="auto"/>
        </w:rPr>
        <w:t>Gross profit for the nine months ended July 31, 2023, was also affected by the change in the value of the U.S dollar in relation to the Mexican peso, resulting in a $4.4 million net gain related the remeasurement of peso-dominated net assets at our Mexican subsidiaries. This is in comparison to a remeasurement loss of $1.3 million for the same period last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Note that any additional significant fluctuations in the exchange rate between the U.S. dollar and the Mexican peso may have a material impact on future gross profits for our Grown products segment.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Prepared products</w:t>
      </w:r>
    </w:p>
    <w:p>
      <w:pPr>
        <w:spacing w:after="0" w:line="225" w:lineRule="exact"/>
        <w:rPr>
          <w:sz w:val="20"/>
          <w:szCs w:val="20"/>
          <w:color w:val="auto"/>
        </w:rPr>
      </w:pPr>
    </w:p>
    <w:p>
      <w:pPr>
        <w:ind w:left="40" w:right="199" w:firstLine="259"/>
        <w:spacing w:after="0" w:line="342" w:lineRule="auto"/>
        <w:rPr>
          <w:sz w:val="20"/>
          <w:szCs w:val="20"/>
          <w:color w:val="auto"/>
        </w:rPr>
      </w:pPr>
      <w:r>
        <w:rPr>
          <w:rFonts w:ascii="Arial" w:cs="Arial" w:eastAsia="Arial" w:hAnsi="Arial"/>
          <w:sz w:val="16"/>
          <w:szCs w:val="16"/>
          <w:color w:val="auto"/>
        </w:rPr>
        <w:t>The decrease in our Prepared products gross profit for the three and nine months ended July 31, 2023 was the result of decreased gross profit for fresh-cut fruit and vegetables products, partially offset by an increase in guacamole products.</w:t>
      </w:r>
    </w:p>
    <w:p>
      <w:pPr>
        <w:spacing w:after="0" w:line="124"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Fresh-cut fruit and vegetables and prepared foods products gross profit percentage for the three months ended July 31, 2023 was 0.9%, compared to 7.7% for the same prior year period. Fresh-cut fruit and vegetables and prepared foods products gross profit percentage for the nine months ended July 31, 2023 was 0.5%, compared to profit of 3.4% for the same prior year period. The decreases in gross profit for the three and nine months ended July 31, 2023 was mainly due to increased commodity costs and lower volume.</w:t>
      </w:r>
    </w:p>
    <w:p>
      <w:pPr>
        <w:spacing w:after="0" w:line="188" w:lineRule="exact"/>
        <w:rPr>
          <w:sz w:val="20"/>
          <w:szCs w:val="20"/>
          <w:color w:val="auto"/>
        </w:rPr>
      </w:pPr>
    </w:p>
    <w:p>
      <w:pPr>
        <w:ind w:left="40" w:right="179" w:firstLine="259"/>
        <w:spacing w:after="0" w:line="254" w:lineRule="auto"/>
        <w:rPr>
          <w:sz w:val="20"/>
          <w:szCs w:val="20"/>
          <w:color w:val="auto"/>
        </w:rPr>
      </w:pPr>
      <w:r>
        <w:rPr>
          <w:rFonts w:ascii="Arial" w:cs="Arial" w:eastAsia="Arial" w:hAnsi="Arial"/>
          <w:sz w:val="18"/>
          <w:szCs w:val="18"/>
          <w:color w:val="auto"/>
        </w:rPr>
        <w:t>Guacamole products gross profit percentage for the three months ended July 31, 2023 was 16.7%, compared to a gross loss of (11.5)% for the prior year period. Guacamole products gross profit percentage for the nine months ended July 31, 2023 was 21.3%, compared to a gross profit of 3.3% for the prior year period. The increase in gross profit percentage for the three and nine months ended July 31, 2023 in guacamole products was primarily due to lower raw product fruit costs and manufacturing improvements. Any significant fluctuation in the cost of fruit used in the production process or the exchange rate between the U.S. dollar and the Mexican peso may have a material impact on future gross profit for our Prepared segment.</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5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Three months ended July 31,</w:t>
            </w:r>
          </w:p>
        </w:tc>
        <w:tc>
          <w:tcPr>
            <w:tcW w:w="2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Nine months ended July 31,</w:t>
            </w:r>
          </w:p>
        </w:tc>
      </w:tr>
      <w:tr>
        <w:trPr>
          <w:trHeight w:val="142"/>
        </w:trPr>
        <w:tc>
          <w:tcPr>
            <w:tcW w:w="380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r>
      <w:tr>
        <w:trPr>
          <w:trHeight w:val="20"/>
        </w:trPr>
        <w:tc>
          <w:tcPr>
            <w:tcW w:w="3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3800" w:type="dxa"/>
            <w:vAlign w:val="bottom"/>
          </w:tcPr>
          <w:p>
            <w:pPr>
              <w:spacing w:after="0"/>
              <w:rPr>
                <w:sz w:val="11"/>
                <w:szCs w:val="11"/>
                <w:color w:val="auto"/>
              </w:rPr>
            </w:pPr>
          </w:p>
        </w:tc>
        <w:tc>
          <w:tcPr>
            <w:tcW w:w="2340" w:type="dxa"/>
            <w:vAlign w:val="bottom"/>
            <w:gridSpan w:val="5"/>
          </w:tcPr>
          <w:p>
            <w:pPr>
              <w:jc w:val="right"/>
              <w:ind w:right="296"/>
              <w:spacing w:after="0" w:line="129"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2340" w:type="dxa"/>
            <w:vAlign w:val="bottom"/>
            <w:gridSpan w:val="5"/>
          </w:tcPr>
          <w:p>
            <w:pPr>
              <w:jc w:val="right"/>
              <w:ind w:right="316"/>
              <w:spacing w:after="0" w:line="129"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$ 17,842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$ 16,659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$ 52,271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$ 48,404</w:t>
            </w:r>
          </w:p>
        </w:tc>
        <w:tc>
          <w:tcPr>
            <w:tcW w:w="200" w:type="dxa"/>
            <w:vAlign w:val="bottom"/>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4.9 %</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5.1 %</w:t>
            </w:r>
          </w:p>
        </w:tc>
      </w:tr>
    </w:tbl>
    <w:p>
      <w:pPr>
        <w:spacing w:after="0" w:line="187" w:lineRule="exact"/>
        <w:rPr>
          <w:sz w:val="20"/>
          <w:szCs w:val="20"/>
          <w:color w:val="auto"/>
        </w:rPr>
      </w:pPr>
    </w:p>
    <w:p>
      <w:pPr>
        <w:ind w:left="40" w:right="139" w:firstLine="259"/>
        <w:spacing w:after="0" w:line="275" w:lineRule="auto"/>
        <w:rPr>
          <w:sz w:val="20"/>
          <w:szCs w:val="20"/>
          <w:color w:val="auto"/>
        </w:rPr>
      </w:pPr>
      <w:r>
        <w:rPr>
          <w:rFonts w:ascii="Arial" w:cs="Arial" w:eastAsia="Arial" w:hAnsi="Arial"/>
          <w:sz w:val="17"/>
          <w:szCs w:val="17"/>
          <w:color w:val="auto"/>
        </w:rPr>
        <w:t>Selling, general and administrative expenses of $17.8 million for the three months ended July 31, 2023 include costs of marketing and advertising, sales expenses (including broker commissions) and other general and administrative costs. Selling, general and administrative expenses increased by $1.2 million, or 7%, for the three months ended July 31, 2023 compared to the prior year period. This increase was primarily due to $0.9 million in severance and other costs and $0.3 million in stock-based compensation related to executive departures.</w:t>
      </w:r>
    </w:p>
    <w:p>
      <w:pPr>
        <w:spacing w:after="0" w:line="176" w:lineRule="exact"/>
        <w:rPr>
          <w:sz w:val="20"/>
          <w:szCs w:val="20"/>
          <w:color w:val="auto"/>
        </w:rPr>
      </w:pPr>
    </w:p>
    <w:p>
      <w:pPr>
        <w:ind w:left="40" w:right="159" w:firstLine="259"/>
        <w:spacing w:after="0" w:line="255" w:lineRule="auto"/>
        <w:rPr>
          <w:sz w:val="20"/>
          <w:szCs w:val="20"/>
          <w:color w:val="auto"/>
        </w:rPr>
      </w:pPr>
      <w:r>
        <w:rPr>
          <w:rFonts w:ascii="Arial" w:cs="Arial" w:eastAsia="Arial" w:hAnsi="Arial"/>
          <w:sz w:val="18"/>
          <w:szCs w:val="18"/>
          <w:color w:val="auto"/>
        </w:rPr>
        <w:t>Selling, general and administrative expenses of $52.3 million for the nine months ended July 31, 2023 include costs of marketing and advertising, sales expenses (including broker commissions) and other general and administrative costs. Selling, general and administrative expenses increased by $3.9 million, or 8%, for the nine months ended Juy 31, 2023 compared to the prior year period. This increase was primarily due to $2.5 million in severance and other costs and $1.6 million in stock-based compensation related to the executive departures. In addition, we incurred $0.7 million from a legal settlement and associated legal costs.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from unconsolidated entities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 July 31,</w:t>
            </w:r>
          </w:p>
        </w:tc>
        <w:tc>
          <w:tcPr>
            <w:tcW w:w="200" w:type="dxa"/>
            <w:vAlign w:val="bottom"/>
          </w:tcPr>
          <w:p>
            <w:pPr>
              <w:spacing w:after="0"/>
              <w:rPr>
                <w:sz w:val="14"/>
                <w:szCs w:val="14"/>
                <w:color w:val="auto"/>
              </w:rPr>
            </w:pPr>
          </w:p>
        </w:tc>
        <w:tc>
          <w:tcPr>
            <w:tcW w:w="2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Nine months ended July 31,</w:t>
            </w:r>
          </w:p>
        </w:tc>
      </w:tr>
      <w:tr>
        <w:trPr>
          <w:trHeight w:val="142"/>
        </w:trPr>
        <w:tc>
          <w:tcPr>
            <w:tcW w:w="3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56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8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2022</w:t>
            </w:r>
          </w:p>
        </w:tc>
      </w:tr>
      <w:tr>
        <w:trPr>
          <w:trHeight w:val="20"/>
        </w:trPr>
        <w:tc>
          <w:tcPr>
            <w:tcW w:w="3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r>
      <w:tr>
        <w:trPr>
          <w:trHeight w:val="129"/>
        </w:trPr>
        <w:tc>
          <w:tcPr>
            <w:tcW w:w="3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4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1"/>
                <w:szCs w:val="11"/>
                <w:color w:val="auto"/>
              </w:rPr>
            </w:pPr>
          </w:p>
        </w:tc>
        <w:tc>
          <w:tcPr>
            <w:tcW w:w="206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91"/>
              </w:rPr>
              <w:t>(Dollars in thousands)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entities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(398)</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bl>
    <w:p>
      <w:pPr>
        <w:spacing w:after="0" w:line="202" w:lineRule="exact"/>
        <w:rPr>
          <w:sz w:val="20"/>
          <w:szCs w:val="20"/>
          <w:color w:val="auto"/>
        </w:rPr>
      </w:pPr>
    </w:p>
    <w:p>
      <w:pPr>
        <w:ind w:left="40" w:right="279" w:firstLine="180"/>
        <w:spacing w:after="0" w:line="259" w:lineRule="auto"/>
        <w:rPr>
          <w:sz w:val="20"/>
          <w:szCs w:val="20"/>
          <w:color w:val="auto"/>
        </w:rPr>
      </w:pPr>
      <w:r>
        <w:rPr>
          <w:rFonts w:ascii="Arial" w:cs="Arial" w:eastAsia="Arial" w:hAnsi="Arial"/>
          <w:sz w:val="18"/>
          <w:szCs w:val="18"/>
          <w:color w:val="auto"/>
        </w:rPr>
        <w:t>Loss from unconsolidated entities includes our participation in earnings or losses from our investments in Don Memo. For the three months ended July 31, 2023 and 2022 we realized losses of $0.5 million and losses of $0.3 million from Agricola Don Memo, respectively. For the nine months ended July 31, 2023 and 2022 we realized losses of $0.4 million and losses of $0.8 million from Agricola Don Memo,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 Benefit (Provision)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1"/>
              </w:rPr>
              <w:t>Three months ended July 31,</w:t>
            </w:r>
          </w:p>
        </w:tc>
        <w:tc>
          <w:tcPr>
            <w:tcW w:w="222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 July 31,</w:t>
            </w:r>
          </w:p>
        </w:tc>
      </w:tr>
      <w:tr>
        <w:trPr>
          <w:trHeight w:val="142"/>
        </w:trPr>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Change</w:t>
            </w:r>
          </w:p>
        </w:tc>
        <w:tc>
          <w:tcPr>
            <w:tcW w:w="5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Change</w:t>
            </w: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r>
      <w:tr>
        <w:trPr>
          <w:trHeight w:val="209"/>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432"/>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(617)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 (984)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(21)</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363</w:t>
            </w:r>
          </w:p>
        </w:tc>
        <w:tc>
          <w:tcPr>
            <w:tcW w:w="200" w:type="dxa"/>
            <w:vAlign w:val="bottom"/>
            <w:shd w:val="clear" w:color="auto" w:fill="CCEEFF"/>
          </w:tcPr>
          <w:p>
            <w:pPr>
              <w:spacing w:after="0"/>
              <w:rPr>
                <w:sz w:val="24"/>
                <w:szCs w:val="24"/>
                <w:color w:val="auto"/>
              </w:rPr>
            </w:pPr>
          </w:p>
        </w:tc>
      </w:tr>
      <w:tr>
        <w:trPr>
          <w:trHeight w:val="230"/>
        </w:trPr>
        <w:tc>
          <w:tcPr>
            <w:tcW w:w="332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8.4 %</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42.8 %</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(80.8)%</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10.4 %</w:t>
            </w:r>
          </w:p>
        </w:tc>
      </w:tr>
    </w:tbl>
    <w:p>
      <w:pPr>
        <w:spacing w:after="0" w:line="187" w:lineRule="exact"/>
        <w:rPr>
          <w:sz w:val="20"/>
          <w:szCs w:val="20"/>
          <w:color w:val="auto"/>
        </w:rPr>
      </w:pPr>
    </w:p>
    <w:p>
      <w:pPr>
        <w:jc w:val="both"/>
        <w:ind w:left="40" w:right="59" w:firstLine="270"/>
        <w:spacing w:after="0" w:line="255"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quarter. We recorded an income tax expense of $0.6 million and an insignificant provision for the three months and nine months ended July 31, 2023, respectively; compared with an income tax expense of $1.0 million and an income tax benefit of $0.4 million for the three months and nine months ended July 31, 2022, respectively. The change in income taxes was primarily attributable to our change in forecast in 2023 related to the operating results in US and foreign jurisdictions.</w:t>
      </w:r>
    </w:p>
    <w:p>
      <w:pPr>
        <w:spacing w:after="0" w:line="192" w:lineRule="exact"/>
        <w:rPr>
          <w:sz w:val="20"/>
          <w:szCs w:val="20"/>
          <w:color w:val="auto"/>
        </w:rPr>
      </w:pPr>
    </w:p>
    <w:p>
      <w:pPr>
        <w:jc w:val="both"/>
        <w:ind w:left="40" w:right="59" w:firstLine="315"/>
        <w:spacing w:after="0" w:line="289" w:lineRule="auto"/>
        <w:rPr>
          <w:sz w:val="20"/>
          <w:szCs w:val="20"/>
          <w:color w:val="auto"/>
        </w:rPr>
      </w:pPr>
      <w:r>
        <w:rPr>
          <w:rFonts w:ascii="Arial" w:cs="Arial" w:eastAsia="Arial" w:hAnsi="Arial"/>
          <w:sz w:val="16"/>
          <w:szCs w:val="16"/>
          <w:color w:val="auto"/>
        </w:rPr>
        <w:t>Management assesses the available positive and negative evidence to estimate whether sufficient future taxable income will be generated to permit use of the existing deferred tax assets. A significant piece of objective positive evidence evaluated was the cumulative income, as adjusted for non-recurring items, incurred over the three-year period ended July 31, 2023. Based on this evaluation, as of July 31, 2023, no additional valuation allowance has been recorded and we recognized the full amount of the deferred tax asset that is more likely than not to be realized. The amount of the deferred tax asset considered realizable, however, could be adjusted in the subsequent periods if estimates of future taxable income are reduced or if objective negative evidence in the form of cumulative losses is present. Any future changes in the deferred tax asset realizability assertion may require a valuation allowance to reduce our deferred tax assets, which would increase our tax expense in the period the allowance is recognized and affect our 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73" w:lineRule="auto"/>
        <w:rPr>
          <w:sz w:val="20"/>
          <w:szCs w:val="20"/>
          <w:color w:val="auto"/>
        </w:rPr>
      </w:pPr>
      <w:r>
        <w:rPr>
          <w:rFonts w:ascii="Arial" w:cs="Arial" w:eastAsia="Arial" w:hAnsi="Arial"/>
          <w:sz w:val="17"/>
          <w:szCs w:val="17"/>
          <w:color w:val="auto"/>
        </w:rPr>
        <w:t>Cash used in operating activities was $19.2 million for the nine months ended July 31, 2023, compared to cash provided by operating activities of $42.2 million for the corresponding period in fiscal 2022. Cash provided by operating activities for the nine months ended July 31, 2023 reflect primarily net cash used in the components of our working capital of approximately $38.7 million offset by non-cash activities (depreciation and amortization, stock-based compensation expense, provision for losses on accounts receivable, losses from unconsolidated entities, loss on disposal of property, plant and equipment, and gain on the sale of the Temecula packinghouse) of $19.6 million.</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Decreases in operating cash flows caused by working capital changes include an increase in accounts receivable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$17.4 million, an increase in other assets of $11.6 million, a net decrease in accounts payable, accrued expenses and other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 of $4.8 million, an increase in prepaid expenses and other current assets of $3.7 million, an increase in advances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suppliers of $2.5 million, a decrease in income taxes receivable of $0.8 million and an increase in inventory of $0.4</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million, partially offset by an increase in payable to growers of $2.5 million.</w:t>
      </w:r>
    </w:p>
    <w:p>
      <w:pPr>
        <w:spacing w:after="0" w:line="211" w:lineRule="exact"/>
        <w:rPr>
          <w:sz w:val="20"/>
          <w:szCs w:val="20"/>
          <w:color w:val="auto"/>
        </w:rPr>
      </w:pPr>
    </w:p>
    <w:p>
      <w:pPr>
        <w:ind w:left="40" w:right="159" w:firstLine="180"/>
        <w:spacing w:after="0" w:line="270" w:lineRule="auto"/>
        <w:rPr>
          <w:sz w:val="20"/>
          <w:szCs w:val="20"/>
          <w:color w:val="auto"/>
        </w:rPr>
      </w:pPr>
      <w:r>
        <w:rPr>
          <w:rFonts w:ascii="Arial" w:cs="Arial" w:eastAsia="Arial" w:hAnsi="Arial"/>
          <w:sz w:val="17"/>
          <w:szCs w:val="17"/>
          <w:color w:val="auto"/>
        </w:rPr>
        <w:t>The increase in our accounts receivable is due to an increase in sales for the month of July 2023 compared to October 2022. The increase in other assets as of July 31, 2023, when compared to October 31, 2022, is primarily due to an increase in Mexican IVA taxes receivable. The decrease in accounts payable, accrued expenses and other liabilities is primarily related to the timing of payments in July 2023. The increase in our prepaid and othe current assets is primarily due to a deposit for collateral in connection with our workers compensation policies while we are in process of obtaining a letter of credit. The increase in advances to suppliers is mainly due to preseason advances paid to our consignment growers at the start of the tomato season. The increase in our inventory as of July 31, 2023, when compared to October 31, 2022, is primarily due to higher inventory of California avocados. The increase in payable to growers is mostly due to higher volume of California avocados in July 2023 compared to October 2022.</w:t>
      </w:r>
    </w:p>
    <w:p>
      <w:pPr>
        <w:spacing w:after="0" w:line="181"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Cash used in investing activities was $10.1 million for the nine months ended July 31, 2023, which related to purchases of property, plant, and equipment.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259"/>
        <w:spacing w:after="0" w:line="275" w:lineRule="auto"/>
        <w:rPr>
          <w:sz w:val="20"/>
          <w:szCs w:val="20"/>
          <w:color w:val="auto"/>
        </w:rPr>
      </w:pPr>
      <w:r>
        <w:rPr>
          <w:rFonts w:ascii="Arial" w:cs="Arial" w:eastAsia="Arial" w:hAnsi="Arial"/>
          <w:sz w:val="17"/>
          <w:szCs w:val="17"/>
          <w:color w:val="auto"/>
        </w:rPr>
        <w:t>Cash provided by financing activities was $28.3 million for the nine months ended July 31, 2023, which related principally to net receipts on our credit facilities totaling $35.6 million (net of repayment of Calavo;s previously existing Revolving Credit Facility with Bank of America, N.A. (the “Existing Credit Facility”) of $34.9 million) and the receipt of $3.5 million from our Term Loan with Wells Fargo, partially offset by payments of $8.7 million in dividends, payments on long-term obligations of $1.4 million and payments on debt issuance costs of $0.7 million.</w:t>
      </w:r>
    </w:p>
    <w:p>
      <w:pPr>
        <w:spacing w:after="0" w:line="176"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Our principal sources of liquidity are our existing cash reserves, cash generated from operations and amounts available for borrowing under our existing credit facilities. Cash and cash equivalents as of July 31, 2023 and October 31, 2022 totaled $2.2 million and $3.1 million. Our working capital at July 31, 2023 was $49.1 million, compared to $23.7 million at October 31, 2022.</w:t>
      </w:r>
    </w:p>
    <w:p>
      <w:pPr>
        <w:spacing w:after="0" w:line="187"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We believe that cash flows from operations, the available Credit Facility, and other sources will be sufficient to satisfy our future capital expenditures, grower recruitment efforts, working capital and other financing requirements for the foreseeable future.</w:t>
      </w:r>
    </w:p>
    <w:p>
      <w:pPr>
        <w:spacing w:after="0" w:line="184" w:lineRule="exact"/>
        <w:rPr>
          <w:sz w:val="20"/>
          <w:szCs w:val="20"/>
          <w:color w:val="auto"/>
        </w:rPr>
      </w:pPr>
    </w:p>
    <w:p>
      <w:pPr>
        <w:ind w:left="40" w:right="139" w:firstLine="270"/>
        <w:spacing w:after="0" w:line="259" w:lineRule="auto"/>
        <w:rPr>
          <w:sz w:val="20"/>
          <w:szCs w:val="20"/>
          <w:color w:val="auto"/>
        </w:rPr>
      </w:pPr>
      <w:r>
        <w:rPr>
          <w:rFonts w:ascii="Arial" w:cs="Arial" w:eastAsia="Arial" w:hAnsi="Arial"/>
          <w:sz w:val="18"/>
          <w:szCs w:val="18"/>
          <w:color w:val="auto"/>
        </w:rPr>
        <w:t>On June 26, 2023, Calavo and certain subsidiaries entered into a Credit Agreement by and among, Calavo, certain subsidiaries of Calavo as guarantors, and Wells Fargo Bank, National Association, as agent and lender. The Credit Agreement provides for a revolving credit facility of up to $90.0 million, along with an undrawn capex credit facility of up to $10.0 million.</w:t>
      </w:r>
    </w:p>
    <w:p>
      <w:pPr>
        <w:spacing w:after="0" w:line="187"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The initial proceeds of the Revolving Loans were used to repay all outstanding amounts under Calavo’s previous revolving credit faciilty with Bank of America, N.A. and to pay related transaction fees and expenses, and following the Closing Date may be used for working capital and other general corporate purposes. For a period of one year following the Closing Date, Calavo may utilize the proceeds of the Term Loan to pay a certain percentage of the costs of certain equipment purchased by Calavo.</w:t>
      </w:r>
    </w:p>
    <w:p>
      <w:pPr>
        <w:spacing w:after="0" w:line="188"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Borrowings of the Revolving Loans under the Credit Agreement are asset based and will be subject to a borrowing base calculation that includes a certain percentage of eligible accounts receivable, inventory and equipment of Calavo, less any reserves implemented by Agent in its permitted discretion; provided that the equipment based portion of such borrowing base calculation will reduce monthly following the Closing Date.</w:t>
      </w:r>
    </w:p>
    <w:p>
      <w:pPr>
        <w:spacing w:after="0" w:line="187" w:lineRule="exact"/>
        <w:rPr>
          <w:sz w:val="20"/>
          <w:szCs w:val="20"/>
          <w:color w:val="auto"/>
        </w:rPr>
      </w:pPr>
    </w:p>
    <w:p>
      <w:pPr>
        <w:ind w:left="40" w:right="199" w:firstLine="315"/>
        <w:spacing w:after="0" w:line="275" w:lineRule="auto"/>
        <w:rPr>
          <w:sz w:val="20"/>
          <w:szCs w:val="20"/>
          <w:color w:val="auto"/>
        </w:rPr>
      </w:pPr>
      <w:r>
        <w:rPr>
          <w:rFonts w:ascii="Arial" w:cs="Arial" w:eastAsia="Arial" w:hAnsi="Arial"/>
          <w:sz w:val="17"/>
          <w:szCs w:val="17"/>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New Credit Facility matures on June 26, 2028.</w:t>
      </w:r>
    </w:p>
    <w:p>
      <w:pPr>
        <w:spacing w:after="0" w:line="176" w:lineRule="exact"/>
        <w:rPr>
          <w:sz w:val="20"/>
          <w:szCs w:val="20"/>
          <w:color w:val="auto"/>
        </w:rPr>
      </w:pPr>
    </w:p>
    <w:p>
      <w:pPr>
        <w:ind w:left="40" w:right="399" w:firstLine="259"/>
        <w:spacing w:after="0" w:line="308" w:lineRule="auto"/>
        <w:rPr>
          <w:sz w:val="20"/>
          <w:szCs w:val="20"/>
          <w:color w:val="auto"/>
        </w:rPr>
      </w:pPr>
      <w:r>
        <w:rPr>
          <w:rFonts w:ascii="Arial" w:cs="Arial" w:eastAsia="Arial" w:hAnsi="Arial"/>
          <w:sz w:val="17"/>
          <w:szCs w:val="17"/>
          <w:color w:val="auto"/>
        </w:rPr>
        <w:t>As of July 31, 2023, we were in compliance with the financial covenants. As of July 31, 2023, approximately $41.7 million was available for borrowing, based on our borrowing base calculation discussed above.</w:t>
      </w:r>
    </w:p>
    <w:p>
      <w:pPr>
        <w:spacing w:after="0" w:line="146" w:lineRule="exact"/>
        <w:rPr>
          <w:sz w:val="20"/>
          <w:szCs w:val="20"/>
          <w:color w:val="auto"/>
        </w:rPr>
      </w:pPr>
    </w:p>
    <w:p>
      <w:pPr>
        <w:ind w:left="40" w:right="79" w:firstLine="304"/>
        <w:spacing w:after="0" w:line="263" w:lineRule="auto"/>
        <w:rPr>
          <w:sz w:val="20"/>
          <w:szCs w:val="20"/>
          <w:color w:val="auto"/>
        </w:rPr>
      </w:pPr>
      <w:r>
        <w:rPr>
          <w:rFonts w:ascii="Arial" w:cs="Arial" w:eastAsia="Arial" w:hAnsi="Arial"/>
          <w:sz w:val="18"/>
          <w:szCs w:val="18"/>
          <w:color w:val="auto"/>
        </w:rPr>
        <w:t>The weighted-average interest rate under the New Credit Facility was 6.7% at July 31, 2023. Under the Credit Facility, we had $36.8 million and $3.5 million outstanding related to the Revolving Loans and Term Loan, respectively, as of July 31, 2023.</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Commitments</w:t>
      </w:r>
    </w:p>
    <w:p>
      <w:pPr>
        <w:spacing w:after="0" w:line="229" w:lineRule="exact"/>
        <w:rPr>
          <w:sz w:val="20"/>
          <w:szCs w:val="20"/>
          <w:color w:val="auto"/>
        </w:rPr>
      </w:pPr>
    </w:p>
    <w:p>
      <w:pPr>
        <w:ind w:left="40" w:right="219" w:firstLine="259"/>
        <w:spacing w:after="0" w:line="286" w:lineRule="auto"/>
        <w:rPr>
          <w:sz w:val="20"/>
          <w:szCs w:val="20"/>
          <w:color w:val="auto"/>
        </w:rPr>
      </w:pPr>
      <w:r>
        <w:rPr>
          <w:rFonts w:ascii="Arial" w:cs="Arial" w:eastAsia="Arial" w:hAnsi="Arial"/>
          <w:sz w:val="17"/>
          <w:szCs w:val="17"/>
          <w:color w:val="auto"/>
        </w:rPr>
        <w:t>There have been no other material changes to our contractual commitments from those previously disclosed in our Annual Report on Form 10-K for our fiscal year ended October 31, 2022. For a summary of the contractual commitments at October 31, 2022, see Part II, Item 7, in our 2022 Annual Report on Form 10-K.</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59" w:firstLine="259"/>
        <w:spacing w:after="0" w:line="296" w:lineRule="auto"/>
        <w:rPr>
          <w:sz w:val="20"/>
          <w:szCs w:val="20"/>
          <w:color w:val="auto"/>
        </w:rPr>
      </w:pPr>
      <w:r>
        <w:rPr>
          <w:rFonts w:ascii="Arial" w:cs="Arial" w:eastAsia="Arial" w:hAnsi="Arial"/>
          <w:sz w:val="16"/>
          <w:szCs w:val="16"/>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2023.</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(All amounts 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color w:val="auto"/>
                <w:w w:val="95"/>
              </w:rPr>
              <w:t>Expected maturity date July 31,</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color w:val="auto"/>
                <w:w w:val="89"/>
              </w:rPr>
              <w:t>2025</w:t>
            </w:r>
          </w:p>
        </w:tc>
        <w:tc>
          <w:tcPr>
            <w:tcW w:w="1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2026</w:t>
            </w:r>
          </w:p>
        </w:tc>
        <w:tc>
          <w:tcPr>
            <w:tcW w:w="620" w:type="dxa"/>
            <w:vAlign w:val="bottom"/>
            <w:gridSpan w:val="3"/>
          </w:tcPr>
          <w:p>
            <w:pPr>
              <w:jc w:val="right"/>
              <w:ind w:right="10"/>
              <w:spacing w:after="0" w:line="142" w:lineRule="exact"/>
              <w:rPr>
                <w:sz w:val="20"/>
                <w:szCs w:val="20"/>
                <w:color w:val="auto"/>
              </w:rPr>
            </w:pPr>
            <w:r>
              <w:rPr>
                <w:rFonts w:ascii="Arial" w:cs="Arial" w:eastAsia="Arial" w:hAnsi="Arial"/>
                <w:sz w:val="14"/>
                <w:szCs w:val="14"/>
                <w:color w:val="auto"/>
              </w:rPr>
              <w:t>2027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2028</w:t>
            </w:r>
          </w:p>
        </w:tc>
        <w:tc>
          <w:tcPr>
            <w:tcW w:w="16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color w:val="auto"/>
                <w:w w:val="99"/>
              </w:rPr>
              <w:t>Thereafter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Total</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Fair Value</w:t>
            </w:r>
          </w:p>
        </w:tc>
        <w:tc>
          <w:tcPr>
            <w:tcW w:w="20" w:type="dxa"/>
            <w:vAlign w:val="bottom"/>
          </w:tcPr>
          <w:p>
            <w:pPr>
              <w:spacing w:after="0"/>
              <w:rPr>
                <w:sz w:val="12"/>
                <w:szCs w:val="12"/>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76,417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76,417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76,417</w:t>
            </w: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Advances to suppliers (1)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15,839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15,839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15,839</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22,712</w:t>
            </w:r>
          </w:p>
        </w:tc>
        <w:tc>
          <w:tcPr>
            <w:tcW w:w="2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Accounts payable (1)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16,425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16,425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16,425</w:t>
            </w:r>
          </w:p>
        </w:tc>
        <w:tc>
          <w:tcPr>
            <w:tcW w:w="20" w:type="dxa"/>
            <w:vAlign w:val="bottom"/>
          </w:tcPr>
          <w:p>
            <w:pPr>
              <w:spacing w:after="0"/>
              <w:rPr>
                <w:sz w:val="18"/>
                <w:szCs w:val="18"/>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Borrowings pursuant to credit facilities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36,768</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36,768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36,768</w:t>
            </w:r>
          </w:p>
        </w:tc>
        <w:tc>
          <w:tcPr>
            <w:tcW w:w="20" w:type="dxa"/>
            <w:vAlign w:val="bottom"/>
            <w:shd w:val="clear" w:color="auto" w:fill="CCEEFF"/>
          </w:tcPr>
          <w:p>
            <w:pPr>
              <w:spacing w:after="0"/>
              <w:rPr>
                <w:sz w:val="20"/>
                <w:szCs w:val="20"/>
                <w:color w:val="auto"/>
              </w:rPr>
            </w:pP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Term loan (1)</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692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692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3,459</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7" w:lineRule="exact"/>
        <w:rPr>
          <w:sz w:val="20"/>
          <w:szCs w:val="20"/>
          <w:color w:val="auto"/>
        </w:rPr>
      </w:pPr>
    </w:p>
    <w:p>
      <w:pPr>
        <w:ind w:left="360" w:right="119" w:hanging="316"/>
        <w:spacing w:after="0" w:line="238"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187" w:lineRule="exact"/>
        <w:rPr>
          <w:sz w:val="20"/>
          <w:szCs w:val="20"/>
          <w:color w:val="auto"/>
        </w:rPr>
      </w:pPr>
    </w:p>
    <w:p>
      <w:pPr>
        <w:ind w:left="40" w:right="59" w:firstLine="259"/>
        <w:spacing w:after="0" w:line="263" w:lineRule="auto"/>
        <w:rPr>
          <w:sz w:val="20"/>
          <w:szCs w:val="20"/>
          <w:color w:val="auto"/>
        </w:rPr>
      </w:pPr>
      <w:r>
        <w:rPr>
          <w:rFonts w:ascii="Arial" w:cs="Arial" w:eastAsia="Arial" w:hAnsi="Arial"/>
          <w:sz w:val="18"/>
          <w:szCs w:val="18"/>
          <w:color w:val="auto"/>
        </w:rPr>
        <w:t>We were not a party to any derivative instruments during the fiscal year. It is currently our practice not to use derivative instruments for speculative or trading purposes. Additionally, we do not use any hedging or forward contracts to offset market volatility.</w:t>
      </w:r>
    </w:p>
    <w:p>
      <w:pPr>
        <w:spacing w:after="0" w:line="184" w:lineRule="exact"/>
        <w:rPr>
          <w:sz w:val="20"/>
          <w:szCs w:val="20"/>
          <w:color w:val="auto"/>
        </w:rPr>
      </w:pPr>
    </w:p>
    <w:p>
      <w:pPr>
        <w:ind w:left="40" w:right="79" w:firstLine="259"/>
        <w:spacing w:after="0" w:line="273" w:lineRule="auto"/>
        <w:rPr>
          <w:sz w:val="20"/>
          <w:szCs w:val="20"/>
          <w:color w:val="auto"/>
        </w:rPr>
      </w:pPr>
      <w:r>
        <w:rPr>
          <w:rFonts w:ascii="Arial" w:cs="Arial" w:eastAsia="Arial" w:hAnsi="Arial"/>
          <w:sz w:val="17"/>
          <w:szCs w:val="17"/>
          <w:color w:val="auto"/>
        </w:rPr>
        <w:t>Our Mexican-based operations transact a significant portion of business in Mexican pesos. Funds are transferred by our corporate office to Mexico on a weekly basis to satisfy Mexican cash needs. We do not currently use derivative instruments to hedge fluctuations in the Mexican peso to U.S. dollar exchange rates. Management does, however, evaluate this opportunity from time to time. Total foreign currency remeasurement gains for the three and nine months ended July 31, 2023, net of losses, was $2.0 million and $4.4 million. Total foreign currency remeasurement losses for the three and nine months ended July 31, 2022, net of gains, was $0.4 million and $1.3 million.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188" w:lineRule="exact"/>
        <w:rPr>
          <w:sz w:val="20"/>
          <w:szCs w:val="20"/>
          <w:color w:val="auto"/>
        </w:rPr>
      </w:pPr>
    </w:p>
    <w:p>
      <w:pPr>
        <w:ind w:left="40" w:right="419" w:firstLine="259"/>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July 31, 2023 that have materially affected, or are reasonably likely to materially affect, the Company’s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40" w:right="499" w:firstLine="259"/>
        <w:spacing w:after="0" w:line="263" w:lineRule="auto"/>
        <w:rPr>
          <w:sz w:val="20"/>
          <w:szCs w:val="20"/>
          <w:color w:val="auto"/>
        </w:rPr>
      </w:pPr>
      <w:r>
        <w:rPr>
          <w:rFonts w:ascii="Arial" w:cs="Arial" w:eastAsia="Arial" w:hAnsi="Arial"/>
          <w:sz w:val="18"/>
          <w:szCs w:val="18"/>
          <w:color w:val="auto"/>
        </w:rPr>
        <w:t>From time to time, we may become involved in litigation arising in the ordinary course of our business. We have provided information about certain legal proceedings in which we are involved in Note 7 to the consolidated financial statements included in this Quarterly Report for further information.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19" w:firstLine="259"/>
        <w:spacing w:after="0" w:line="296" w:lineRule="auto"/>
        <w:rPr>
          <w:sz w:val="20"/>
          <w:szCs w:val="20"/>
          <w:color w:val="auto"/>
        </w:rPr>
      </w:pPr>
      <w:r>
        <w:rPr>
          <w:rFonts w:ascii="Arial" w:cs="Arial" w:eastAsia="Arial" w:hAnsi="Arial"/>
          <w:sz w:val="16"/>
          <w:szCs w:val="16"/>
          <w:color w:val="auto"/>
        </w:rPr>
        <w:t>For a discussion of our risk factors, see Part I, Item 1A “Risk Factors” of our Annual Report on Form 10-K for the year ended October 31, 2022. Except as set forth below, there have been no material changes from the risk factors set forth in such Annual Report on Form 10-K. However, the risks and uncertainties that we face are not limited to those set forth in such Annual Report on Form 10-K. Additional risks and uncertainties not presently known to us or that we currently believe to be immaterial may also adversely affect our business and the trading price of our common stock.</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Trading Plans</w:t>
      </w:r>
    </w:p>
    <w:p>
      <w:pPr>
        <w:spacing w:after="0" w:line="225" w:lineRule="exact"/>
        <w:rPr>
          <w:sz w:val="20"/>
          <w:szCs w:val="20"/>
          <w:color w:val="auto"/>
        </w:rPr>
      </w:pPr>
    </w:p>
    <w:p>
      <w:pPr>
        <w:ind w:left="40" w:right="159" w:firstLine="180"/>
        <w:spacing w:after="0" w:line="342" w:lineRule="auto"/>
        <w:rPr>
          <w:sz w:val="20"/>
          <w:szCs w:val="20"/>
          <w:color w:val="auto"/>
        </w:rPr>
      </w:pPr>
      <w:r>
        <w:rPr>
          <w:rFonts w:ascii="Arial" w:cs="Arial" w:eastAsia="Arial" w:hAnsi="Arial"/>
          <w:sz w:val="16"/>
          <w:szCs w:val="16"/>
          <w:color w:val="auto"/>
        </w:rPr>
        <w:t>During the quarter ended July 31, 2023, no director or Section 16 officer adopted or terminated any Rule 10b5-1 trading arrangements or non-Rule 10b5-1 trading arrangements (in each case, as definted in Item 408(a) of Regulation S-K).</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360" w:right="79" w:hanging="431"/>
        <w:spacing w:after="0" w:line="282" w:lineRule="auto"/>
        <w:rPr>
          <w:rFonts w:ascii="Arial" w:cs="Arial" w:eastAsia="Arial" w:hAnsi="Arial"/>
          <w:sz w:val="18"/>
          <w:szCs w:val="18"/>
          <w:color w:val="0000EE"/>
        </w:rPr>
      </w:pPr>
      <w:r>
        <w:rPr>
          <w:rFonts w:ascii="Arial" w:cs="Arial" w:eastAsia="Arial" w:hAnsi="Arial"/>
          <w:sz w:val="18"/>
          <w:szCs w:val="18"/>
          <w:color w:val="auto"/>
        </w:rPr>
        <w:t xml:space="preserve">10.1 </w:t>
      </w:r>
      <w:hyperlink r:id="rId47">
        <w:r>
          <w:rPr>
            <w:rFonts w:ascii="Arial" w:cs="Arial" w:eastAsia="Arial" w:hAnsi="Arial"/>
            <w:sz w:val="18"/>
            <w:szCs w:val="18"/>
            <w:u w:val="single" w:color="auto"/>
            <w:color w:val="0000EE"/>
          </w:rPr>
          <w:t>Credit Agreement, dated June 26, 2023, by and among the Company, certain of its subsidiaries as</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guarantors and Wells Fargo Bank, National Association, as agent and lender</w:t>
        </w:r>
        <w:r>
          <w:rPr>
            <w:rFonts w:ascii="Arial" w:cs="Arial" w:eastAsia="Arial" w:hAnsi="Arial"/>
            <w:sz w:val="26"/>
            <w:szCs w:val="26"/>
            <w:color w:val="000000"/>
            <w:vertAlign w:val="superscript"/>
          </w:rPr>
          <w:t>1</w:t>
        </w:r>
      </w:hyperlink>
    </w:p>
    <w:p>
      <w:pPr>
        <w:spacing w:after="0" w:line="5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0000EE"/>
        </w:rPr>
        <w:t>Certification of Chief Executive Officer Pursuant to 15 U.S.C. § 7241, as Adopted Pursuant to Section</w:t>
      </w:r>
    </w:p>
    <w:p>
      <w:pPr>
        <w:spacing w:after="0" w:line="46"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0000EE"/>
        </w:rPr>
        <w:t>302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0000EE"/>
        </w:rPr>
        <w:t>Certification of Chief Financial Officer Pursuant to 15 U.S.C. § 7241, as Adopted Pursuant to Section</w:t>
      </w:r>
    </w:p>
    <w:p>
      <w:pPr>
        <w:spacing w:after="0" w:line="35"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0000EE"/>
        </w:rPr>
        <w:t>302 of the Sarbanes-Oxley Act of 2002. *</w:t>
      </w:r>
    </w:p>
    <w:p>
      <w:pPr>
        <w:spacing w:after="0" w:line="211" w:lineRule="exact"/>
        <w:rPr>
          <w:sz w:val="20"/>
          <w:szCs w:val="20"/>
          <w:color w:val="auto"/>
        </w:rPr>
      </w:pPr>
    </w:p>
    <w:p>
      <w:pPr>
        <w:ind w:left="1360" w:right="279" w:hanging="431"/>
        <w:spacing w:after="0" w:line="27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EE"/>
        </w:rPr>
        <w:t>Certification by Chief Executive Officer and Chief Financial Officer of Periodic Report Pursuant to 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U.S.C. Section 1350.</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170" w:lineRule="exact"/>
        <w:rPr>
          <w:sz w:val="20"/>
          <w:szCs w:val="20"/>
          <w:color w:val="auto"/>
        </w:rPr>
      </w:pPr>
    </w:p>
    <w:p>
      <w:pPr>
        <w:ind w:left="1360" w:right="159" w:hanging="434"/>
        <w:spacing w:after="0" w:line="272" w:lineRule="auto"/>
        <w:tabs>
          <w:tab w:leader="none" w:pos="1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financial information from the Quarterly Report on Form 10-Q of Calavo Growers, Inc. for the quarter ended July 31, 2023, formatted in Inline XBRL (Extensible Business Reporting Language) includes: (1) Consolidated Balance Sheets as of July 31, 2023 and October 31, 2022; (2) Consolidated Statements of Operations for the three and nine months ended July 31, 2023 and 2022; (3) Consolidated Statements of Cash Flows for the nine months ended July 31, 2023 and 2022; (4) Consolidated Statements of Shareholders’ Equity for the three and nine months ended July 31, 2023 and 2022; and (5) Notes to Consolidated Financial Statements.</w:t>
      </w:r>
    </w:p>
    <w:p>
      <w:pPr>
        <w:spacing w:after="0" w:line="177" w:lineRule="exact"/>
        <w:rPr>
          <w:sz w:val="20"/>
          <w:szCs w:val="20"/>
          <w:color w:val="auto"/>
        </w:rPr>
      </w:pPr>
    </w:p>
    <w:p>
      <w:pPr>
        <w:ind w:left="40" w:right="1079" w:firstLine="886"/>
        <w:spacing w:after="0" w:line="495" w:lineRule="auto"/>
        <w:tabs>
          <w:tab w:leader="none" w:pos="13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contained in Exhibit 101). * </w:t>
      </w:r>
      <w:r>
        <w:rPr>
          <w:rFonts w:ascii="Arial" w:cs="Arial" w:eastAsia="Arial" w:hAnsi="Arial"/>
          <w:sz w:val="16"/>
          <w:szCs w:val="16"/>
          <w:color w:val="auto"/>
        </w:rPr>
        <w:t>Filed with this Form 10-Q.</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1- Previously filed on June 30, 2023 as an exhibit to the Registrant’s Report on Form 8-K, and incorporated herein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Calavo Growers, Inc.</w:t>
            </w:r>
          </w:p>
        </w:tc>
      </w:tr>
      <w:tr>
        <w:trPr>
          <w:trHeight w:val="230"/>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(Registrant)</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September 6, 2023</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50"/>
        </w:trPr>
        <w:tc>
          <w:tcPr>
            <w:tcW w:w="4760" w:type="dxa"/>
            <w:vAlign w:val="bottom"/>
          </w:tcPr>
          <w:p>
            <w:pPr>
              <w:spacing w:after="0"/>
              <w:rPr>
                <w:sz w:val="20"/>
                <w:szCs w:val="20"/>
                <w:color w:val="auto"/>
              </w:rPr>
            </w:pPr>
            <w:r>
              <w:rPr>
                <w:rFonts w:ascii="Arial" w:cs="Arial" w:eastAsia="Arial" w:hAnsi="Arial"/>
                <w:sz w:val="18"/>
                <w:szCs w:val="18"/>
                <w:color w:val="auto"/>
              </w:rPr>
              <w:t>Date: September 6, 2023</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Munsell</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Shawn Munsell</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1094"/>
        </w:trPr>
        <w:tc>
          <w:tcPr>
            <w:tcW w:w="4760" w:type="dxa"/>
            <w:vAlign w:val="bottom"/>
          </w:tcPr>
          <w:p>
            <w:pPr>
              <w:ind w:left="4380"/>
              <w:spacing w:after="0"/>
              <w:rPr>
                <w:sz w:val="20"/>
                <w:szCs w:val="20"/>
                <w:color w:val="auto"/>
              </w:rPr>
            </w:pPr>
            <w:r>
              <w:rPr>
                <w:rFonts w:ascii="Arial" w:cs="Arial" w:eastAsia="Arial" w:hAnsi="Arial"/>
                <w:sz w:val="18"/>
                <w:szCs w:val="18"/>
                <w:color w:val="auto"/>
              </w:rPr>
              <w:t>35</w:t>
            </w:r>
          </w:p>
        </w:tc>
        <w:tc>
          <w:tcPr>
            <w:tcW w:w="4160" w:type="dxa"/>
            <w:vAlign w:val="bottom"/>
          </w:tcPr>
          <w:p>
            <w:pPr>
              <w:spacing w:after="0"/>
              <w:rPr>
                <w:sz w:val="24"/>
                <w:szCs w:val="24"/>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Lecil E. Cole, certify that:</w:t>
      </w:r>
    </w:p>
    <w:p>
      <w:pPr>
        <w:spacing w:after="0" w:line="235" w:lineRule="exact"/>
        <w:rPr>
          <w:sz w:val="20"/>
          <w:szCs w:val="20"/>
          <w:color w:val="auto"/>
        </w:rPr>
      </w:pPr>
    </w:p>
    <w:p>
      <w:pPr>
        <w:ind w:left="700" w:hanging="656"/>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234" w:lineRule="exact"/>
        <w:rPr>
          <w:rFonts w:ascii="Arial" w:cs="Arial" w:eastAsia="Arial" w:hAnsi="Arial"/>
          <w:sz w:val="16"/>
          <w:szCs w:val="16"/>
          <w:color w:val="auto"/>
        </w:rPr>
      </w:pPr>
    </w:p>
    <w:p>
      <w:pPr>
        <w:ind w:left="700" w:right="179" w:hanging="656"/>
        <w:spacing w:after="0" w:line="278"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700" w:right="239" w:hanging="656"/>
        <w:spacing w:after="0" w:line="278"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ind w:left="700" w:right="539" w:hanging="656"/>
        <w:spacing w:after="0" w:line="305" w:lineRule="auto"/>
        <w:tabs>
          <w:tab w:leader="none" w:pos="7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5"/>
          <w:szCs w:val="15"/>
          <w:color w:val="auto"/>
        </w:rPr>
      </w:pPr>
    </w:p>
    <w:p>
      <w:pPr>
        <w:ind w:left="1340" w:right="79" w:hanging="648"/>
        <w:spacing w:after="0" w:line="273" w:lineRule="auto"/>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6"/>
          <w:szCs w:val="16"/>
          <w:color w:val="auto"/>
        </w:rPr>
      </w:pPr>
    </w:p>
    <w:p>
      <w:pPr>
        <w:ind w:left="1340" w:right="119" w:hanging="648"/>
        <w:spacing w:after="0" w:line="273" w:lineRule="auto"/>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8" w:lineRule="exact"/>
        <w:rPr>
          <w:rFonts w:ascii="Arial" w:cs="Arial" w:eastAsia="Arial" w:hAnsi="Arial"/>
          <w:sz w:val="16"/>
          <w:szCs w:val="16"/>
          <w:color w:val="auto"/>
        </w:rPr>
      </w:pPr>
    </w:p>
    <w:p>
      <w:pPr>
        <w:ind w:left="1340" w:right="159" w:hanging="648"/>
        <w:spacing w:after="0" w:line="278" w:lineRule="auto"/>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40" w:right="179" w:hanging="648"/>
        <w:spacing w:after="0" w:line="278" w:lineRule="auto"/>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700" w:right="479" w:hanging="656"/>
        <w:spacing w:after="0" w:line="328" w:lineRule="auto"/>
        <w:tabs>
          <w:tab w:leader="none" w:pos="7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40" w:right="279" w:hanging="648"/>
        <w:spacing w:after="0" w:line="278" w:lineRule="auto"/>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40" w:right="159" w:hanging="648"/>
        <w:spacing w:after="0" w:line="293" w:lineRule="auto"/>
        <w:tabs>
          <w:tab w:leader="none" w:pos="1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September 6</w:t>
      </w:r>
      <w:r>
        <w:rPr>
          <w:rFonts w:ascii="Arial" w:cs="Arial" w:eastAsia="Arial" w:hAnsi="Arial"/>
          <w:sz w:val="17"/>
          <w:szCs w:val="17"/>
          <w:color w:val="auto"/>
        </w:rPr>
        <w:t>, 2023</w:t>
      </w:r>
      <w:r>
        <w:rPr>
          <w:sz w:val="20"/>
          <w:szCs w:val="20"/>
          <w:color w:val="auto"/>
        </w:rPr>
        <w:tab/>
      </w:r>
      <w:r>
        <w:rPr>
          <w:rFonts w:ascii="Arial" w:cs="Arial" w:eastAsia="Arial" w:hAnsi="Arial"/>
          <w:sz w:val="15"/>
          <w:szCs w:val="15"/>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22225</wp:posOffset>
            </wp:positionV>
            <wp:extent cx="28289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Lecil E. Cole</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Shawn Munsell, certify that:</w:t>
      </w:r>
    </w:p>
    <w:p>
      <w:pPr>
        <w:spacing w:after="0" w:line="235" w:lineRule="exact"/>
        <w:rPr>
          <w:sz w:val="20"/>
          <w:szCs w:val="20"/>
          <w:color w:val="auto"/>
        </w:rPr>
      </w:pPr>
    </w:p>
    <w:p>
      <w:pPr>
        <w:ind w:left="700" w:hanging="656"/>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234" w:lineRule="exact"/>
        <w:rPr>
          <w:rFonts w:ascii="Arial" w:cs="Arial" w:eastAsia="Arial" w:hAnsi="Arial"/>
          <w:sz w:val="16"/>
          <w:szCs w:val="16"/>
          <w:color w:val="auto"/>
        </w:rPr>
      </w:pPr>
    </w:p>
    <w:p>
      <w:pPr>
        <w:ind w:left="700" w:right="179" w:hanging="656"/>
        <w:spacing w:after="0" w:line="278"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700" w:right="239" w:hanging="656"/>
        <w:spacing w:after="0" w:line="278"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ind w:left="700" w:right="539" w:hanging="656"/>
        <w:spacing w:after="0" w:line="305" w:lineRule="auto"/>
        <w:tabs>
          <w:tab w:leader="none" w:pos="7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5"/>
          <w:szCs w:val="15"/>
          <w:color w:val="auto"/>
        </w:rPr>
      </w:pPr>
    </w:p>
    <w:p>
      <w:pPr>
        <w:ind w:left="1340" w:right="79" w:hanging="648"/>
        <w:spacing w:after="0" w:line="273" w:lineRule="auto"/>
        <w:tabs>
          <w:tab w:leader="none" w:pos="13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6"/>
          <w:szCs w:val="16"/>
          <w:color w:val="auto"/>
        </w:rPr>
      </w:pPr>
    </w:p>
    <w:p>
      <w:pPr>
        <w:ind w:left="1340" w:right="119" w:hanging="648"/>
        <w:spacing w:after="0" w:line="273" w:lineRule="auto"/>
        <w:tabs>
          <w:tab w:leader="none" w:pos="13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8" w:lineRule="exact"/>
        <w:rPr>
          <w:rFonts w:ascii="Arial" w:cs="Arial" w:eastAsia="Arial" w:hAnsi="Arial"/>
          <w:sz w:val="16"/>
          <w:szCs w:val="16"/>
          <w:color w:val="auto"/>
        </w:rPr>
      </w:pPr>
    </w:p>
    <w:p>
      <w:pPr>
        <w:ind w:left="1340" w:right="159" w:hanging="648"/>
        <w:spacing w:after="0" w:line="278" w:lineRule="auto"/>
        <w:tabs>
          <w:tab w:leader="none" w:pos="13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340" w:right="179" w:hanging="648"/>
        <w:spacing w:after="0" w:line="278" w:lineRule="auto"/>
        <w:tabs>
          <w:tab w:leader="none" w:pos="13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700" w:right="479" w:hanging="656"/>
        <w:spacing w:after="0" w:line="328" w:lineRule="auto"/>
        <w:tabs>
          <w:tab w:leader="none" w:pos="7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40" w:right="279" w:hanging="648"/>
        <w:spacing w:after="0" w:line="278" w:lineRule="auto"/>
        <w:tabs>
          <w:tab w:leader="none" w:pos="13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340" w:right="159" w:hanging="648"/>
        <w:spacing w:after="0" w:line="293" w:lineRule="auto"/>
        <w:tabs>
          <w:tab w:leader="none" w:pos="13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September 6</w:t>
      </w:r>
      <w:r>
        <w:rPr>
          <w:rFonts w:ascii="Arial" w:cs="Arial" w:eastAsia="Arial" w:hAnsi="Arial"/>
          <w:sz w:val="17"/>
          <w:szCs w:val="17"/>
          <w:color w:val="auto"/>
        </w:rPr>
        <w:t>, 2023</w:t>
      </w:r>
      <w:r>
        <w:rPr>
          <w:sz w:val="20"/>
          <w:szCs w:val="20"/>
          <w:color w:val="auto"/>
        </w:rPr>
        <w:tab/>
      </w:r>
      <w:r>
        <w:rPr>
          <w:rFonts w:ascii="Arial" w:cs="Arial" w:eastAsia="Arial" w:hAnsi="Arial"/>
          <w:sz w:val="15"/>
          <w:szCs w:val="15"/>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22225</wp:posOffset>
            </wp:positionV>
            <wp:extent cx="2828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Shawn Munsell</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STATEMENT OF CHIEF EXECUTIVE OFFICER AND CHIEF FINANCIAL OFFICER</w:t>
      </w:r>
    </w:p>
    <w:p>
      <w:pPr>
        <w:spacing w:after="0" w:line="212" w:lineRule="exact"/>
        <w:rPr>
          <w:sz w:val="20"/>
          <w:szCs w:val="20"/>
          <w:color w:val="auto"/>
        </w:rPr>
      </w:pPr>
    </w:p>
    <w:p>
      <w:pPr>
        <w:ind w:left="40" w:right="239" w:firstLine="648"/>
        <w:spacing w:after="0" w:line="293" w:lineRule="auto"/>
        <w:rPr>
          <w:sz w:val="20"/>
          <w:szCs w:val="20"/>
          <w:color w:val="auto"/>
        </w:rPr>
      </w:pPr>
      <w:r>
        <w:rPr>
          <w:rFonts w:ascii="Arial" w:cs="Arial" w:eastAsia="Arial" w:hAnsi="Arial"/>
          <w:sz w:val="16"/>
          <w:szCs w:val="16"/>
          <w:color w:val="auto"/>
        </w:rPr>
        <w:t>The undersigned, the Chief Executive Officer, and our Interim Chief Financial Officer of Calavo Growers, Inc. (the Company), hereby certifies, pursuant to 18 U.S.C. Section 1350, as adopted pursuant to Section 906 of the Sarbanes-Oxley Act of 2002, that, to his knowledge, the Company’s Quarterly Report on Form 10-Q for the quarter ended July 31, 2023,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September 6, 2023</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828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Shawn Munsell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1."/>
      <w:numFmt w:val="decimal"/>
      <w:start w:val="7"/>
    </w:lvl>
  </w:abstractNum>
  <w:abstractNum w:abstractNumId="5">
    <w:nsid w:val="140E0F76"/>
    <w:multiLevelType w:val="hybridMultilevel"/>
    <w:lvl w:ilvl="0">
      <w:lvlJc w:val="left"/>
      <w:lvlText w:val="o"/>
      <w:numFmt w:val="bullet"/>
      <w:start w:val="1"/>
    </w:lvl>
  </w:abstractNum>
  <w:abstractNum w:abstractNumId="6">
    <w:nsid w:val="3352255A"/>
    <w:multiLevelType w:val="hybridMultilevel"/>
    <w:lvl w:ilvl="0">
      <w:lvlJc w:val="left"/>
      <w:lvlText w:val="%1"/>
      <w:numFmt w:val="decimal"/>
      <w:start w:val="1"/>
    </w:lvl>
    <w:lvl w:ilvl="1">
      <w:lvlJc w:val="left"/>
      <w:lvlText w:val="(%2)"/>
      <w:numFmt w:val="decimal"/>
      <w:start w:val="1"/>
    </w:lvl>
  </w:abstractNum>
  <w:abstractNum w:abstractNumId="7">
    <w:nsid w:val="109CF92E"/>
    <w:multiLevelType w:val="hybridMultilevel"/>
    <w:lvl w:ilvl="0">
      <w:lvlJc w:val="left"/>
      <w:lvlText w:val="%1."/>
      <w:numFmt w:val="decimal"/>
      <w:start w:val="10"/>
    </w:lvl>
    <w:lvl w:ilvl="1">
      <w:lvlJc w:val="left"/>
      <w:lvlText w:val="%2"/>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6"/>
    </w:lvl>
  </w:abstractNum>
  <w:abstractNum w:abstractNumId="12">
    <w:nsid w:val="6B68079A"/>
    <w:multiLevelType w:val="hybridMultilevel"/>
    <w:lvl w:ilvl="0">
      <w:lvlJc w:val="left"/>
      <w:lvlText w:val="(%1)"/>
      <w:numFmt w:val="lowerLetter"/>
      <w:start w:val="7"/>
    </w:lvl>
  </w:abstractNum>
  <w:abstractNum w:abstractNumId="13">
    <w:nsid w:val="4E6AFB66"/>
    <w:multiLevelType w:val="hybridMultilevel"/>
    <w:lvl w:ilvl="0">
      <w:lvlJc w:val="left"/>
      <w:lvlText w:val="(%1)"/>
      <w:numFmt w:val="lowerLetter"/>
      <w:start w:val="8"/>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1"/>
    </w:lvl>
  </w:abstractNum>
  <w:abstractNum w:abstractNumId="16">
    <w:nsid w:val="431BD7B7"/>
    <w:multiLevelType w:val="hybridMultilevel"/>
    <w:lvl w:ilvl="0">
      <w:lvlJc w:val="left"/>
      <w:lvlText w:val="*"/>
      <w:numFmt w:val="bullet"/>
      <w:start w:val="1"/>
    </w:lvl>
    <w:lvl w:ilvl="1">
      <w:lvlJc w:val="left"/>
      <w:lvlText w:val="%2"/>
      <w:numFmt w:val="decimal"/>
      <w:start w:val="10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47" Type="http://schemas.openxmlformats.org/officeDocument/2006/relationships/hyperlink" Target="https://www.sec.gov/Archives/edgar/data/1133470/000155837023011642/cvgw-20230626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2023-09-06T15:38:41Z</dcterms:created>
  <dcterms:modified xsi:type="dcterms:W3CDTF">2023-09-06T15:38:41Z</dcterms:modified>
</cp:coreProperties>
</file>