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January 31,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62"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654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8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c>
          <w:tcPr>
            <w:tcW w:w="0" w:type="dxa"/>
            <w:vAlign w:val="bottom"/>
          </w:tcPr>
          <w:p>
            <w:pPr>
              <w:spacing w:after="0"/>
              <w:rPr>
                <w:sz w:val="1"/>
                <w:szCs w:val="1"/>
                <w:color w:val="auto"/>
              </w:rPr>
            </w:pPr>
          </w:p>
        </w:tc>
      </w:tr>
      <w:tr>
        <w:trPr>
          <w:trHeight w:val="164"/>
        </w:trPr>
        <w:tc>
          <w:tcPr>
            <w:tcW w:w="6540" w:type="dxa"/>
            <w:vAlign w:val="bottom"/>
            <w:gridSpan w:val="5"/>
          </w:tcPr>
          <w:p>
            <w:pPr>
              <w:ind w:left="150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6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389"/>
        </w:trPr>
        <w:tc>
          <w:tcPr>
            <w:tcW w:w="2920" w:type="dxa"/>
            <w:vAlign w:val="bottom"/>
          </w:tcPr>
          <w:p>
            <w:pPr>
              <w:spacing w:after="0"/>
              <w:rPr>
                <w:sz w:val="24"/>
                <w:szCs w:val="24"/>
                <w:color w:val="auto"/>
              </w:rPr>
            </w:pPr>
          </w:p>
        </w:tc>
        <w:tc>
          <w:tcPr>
            <w:tcW w:w="3460" w:type="dxa"/>
            <w:vAlign w:val="bottom"/>
            <w:gridSpan w:val="3"/>
          </w:tcPr>
          <w:p>
            <w:pPr>
              <w:jc w:val="center"/>
              <w:ind w:left="848"/>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2"/>
          </w:tcPr>
          <w:p>
            <w:pPr>
              <w:jc w:val="center"/>
              <w:ind w:left="344"/>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jc w:val="center"/>
              <w:ind w:left="32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7300" w:type="dxa"/>
            <w:vAlign w:val="bottom"/>
            <w:gridSpan w:val="5"/>
          </w:tcPr>
          <w:p>
            <w:pPr>
              <w:jc w:val="center"/>
              <w:ind w:right="2864"/>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320"/>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4"/>
          </w:tcPr>
          <w:p>
            <w:pPr>
              <w:jc w:val="center"/>
              <w:ind w:right="306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30"/>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vMerge w:val="continue"/>
          </w:tcPr>
          <w:p>
            <w:pPr>
              <w:spacing w:after="0"/>
              <w:rPr>
                <w:sz w:val="17"/>
                <w:szCs w:val="17"/>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right="202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February 28, 2025 was 17,836,507.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73660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5" w:lineRule="exact"/>
        <w:rPr>
          <w:sz w:val="20"/>
          <w:szCs w:val="20"/>
          <w:color w:val="auto"/>
        </w:rPr>
      </w:pPr>
    </w:p>
    <w:p>
      <w:pPr>
        <w:ind w:left="40" w:right="79" w:firstLine="259"/>
        <w:spacing w:after="0" w:line="233" w:lineRule="auto"/>
        <w:rPr>
          <w:sz w:val="20"/>
          <w:szCs w:val="20"/>
          <w:color w:val="auto"/>
        </w:rPr>
      </w:pPr>
      <w:r>
        <w:rPr>
          <w:rFonts w:ascii="Times New Roman" w:cs="Times New Roman" w:eastAsia="Times New Roman" w:hAnsi="Times New Roman"/>
          <w:sz w:val="17"/>
          <w:szCs w:val="17"/>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 the impact of newly imposed U.S. tariffs on imports from Mexico, including the potential effects on supply chain costs, product pricing, and customer demand, risks related to increased working capital requirements and cash flow timing due to front-loaded tariff payments on imported goods, including potential impacts on liquidity management, ongoing efforts to recover additional VAT refunds from the Mexican Tax Administrative Service (SAT), including the risk that certain claims may not be approved, as well as potential changes in Mexico’s tax policies that could impact our financial position. The use of words such as "anticipates," "estimates," "expects," "projects," "intends," "plans" and "believes," among others, generally identify forward-looking statements.</w:t>
      </w:r>
    </w:p>
    <w:p>
      <w:pPr>
        <w:spacing w:after="0" w:line="102" w:lineRule="exact"/>
        <w:rPr>
          <w:sz w:val="20"/>
          <w:szCs w:val="20"/>
          <w:color w:val="auto"/>
        </w:rPr>
      </w:pPr>
    </w:p>
    <w:p>
      <w:pPr>
        <w:ind w:left="40" w:right="59" w:firstLine="259"/>
        <w:spacing w:after="0" w:line="234"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resolution of pending investigations, legal claims and tax disputes, including an assessment imposed by the Mexican Tax Administrative Service (the “SAT”) and our defenses against collection activities commenced by the SAT.</w:t>
      </w:r>
    </w:p>
    <w:p>
      <w:pPr>
        <w:spacing w:after="0" w:line="90" w:lineRule="exact"/>
        <w:rPr>
          <w:sz w:val="20"/>
          <w:szCs w:val="20"/>
          <w:color w:val="auto"/>
        </w:rPr>
      </w:pPr>
    </w:p>
    <w:p>
      <w:pPr>
        <w:ind w:left="40" w:right="59" w:firstLine="259"/>
        <w:spacing w:after="0" w:line="238" w:lineRule="auto"/>
        <w:rPr>
          <w:sz w:val="20"/>
          <w:szCs w:val="20"/>
          <w:color w:val="auto"/>
        </w:rPr>
      </w:pPr>
      <w:r>
        <w:rPr>
          <w:rFonts w:ascii="Times New Roman" w:cs="Times New Roman" w:eastAsia="Times New Roman" w:hAnsi="Times New Roman"/>
          <w:sz w:val="17"/>
          <w:szCs w:val="17"/>
          <w:color w:val="auto"/>
        </w:rPr>
        <w:t>For a further discussion of these risks and uncertainties and other risks and uncertainties that we face, please see the risk factors described in our most recent Annual Report on Form 10-K for the fiscal year ended October 31, 2024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We undertake no obligation to update or revise these statements, except as required by applicable securities laws.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3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518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Financial Statements:</w:t>
            </w:r>
          </w:p>
        </w:tc>
        <w:tc>
          <w:tcPr>
            <w:tcW w:w="66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Condensed Consolidated Balance Sheets –January 31, 2025 and October 31, 2024 (Unaudited)</w:t>
            </w:r>
          </w:p>
        </w:tc>
        <w:tc>
          <w:tcPr>
            <w:tcW w:w="144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Condensed Consolidated Statements of Operations –Three Months Ended January 31, 2025 and 2024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Condensed Consolidated Statements of Cash Flows – January 31, 2025 and 2024 (Unaudited)</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Condensed Consolidated Statements of Shareholders’ Equity – Three Months Ended January 31, 2025 and 2024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0000EE"/>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w w:val="98"/>
              </w:rPr>
              <w:t>(Unaudited)</w:t>
            </w:r>
          </w:p>
        </w:tc>
        <w:tc>
          <w:tcPr>
            <w:tcW w:w="6480" w:type="dxa"/>
            <w:vAlign w:val="bottom"/>
            <w:tcBorders>
              <w:top w:val="single" w:sz="8" w:color="0000EE"/>
            </w:tcBorders>
            <w:gridSpan w:val="12"/>
          </w:tcPr>
          <w:p>
            <w:pPr>
              <w:spacing w:after="0"/>
              <w:rPr>
                <w:sz w:val="15"/>
                <w:szCs w:val="15"/>
                <w:color w:val="auto"/>
              </w:rPr>
            </w:pPr>
          </w:p>
        </w:tc>
        <w:tc>
          <w:tcPr>
            <w:tcW w:w="3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Notes to Condensed Consolidated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76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0" w:type="dxa"/>
            <w:vAlign w:val="bottom"/>
            <w:tcBorders>
              <w:left w:val="single" w:sz="8" w:color="0000EE"/>
            </w:tcBorders>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40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6.</w:t>
            </w:r>
          </w:p>
        </w:tc>
        <w:tc>
          <w:tcPr>
            <w:tcW w:w="200" w:type="dxa"/>
            <w:vAlign w:val="bottom"/>
            <w:gridSpan w:val="2"/>
          </w:tcPr>
          <w:p>
            <w:pPr>
              <w:spacing w:after="0"/>
              <w:rPr>
                <w:sz w:val="24"/>
                <w:szCs w:val="24"/>
                <w:color w:val="auto"/>
              </w:rPr>
            </w:pPr>
          </w:p>
        </w:tc>
        <w:tc>
          <w:tcPr>
            <w:tcW w:w="75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0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690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67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48,490</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$3,324 (2025) and $3,624 (2024)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41,909</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34,157</w:t>
            </w: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w:t>
            </w:r>
          </w:p>
        </w:tc>
      </w:tr>
      <w:tr>
        <w:trPr>
          <w:trHeight w:val="20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19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158,176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158,579</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54,200</w:t>
            </w:r>
          </w:p>
        </w:tc>
      </w:tr>
      <w:tr>
        <w:trPr>
          <w:trHeight w:val="202"/>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49,791</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49,916</w:t>
            </w:r>
          </w:p>
        </w:tc>
      </w:tr>
      <w:tr>
        <w:trPr>
          <w:trHeight w:val="236"/>
        </w:trPr>
        <w:tc>
          <w:tcPr>
            <w:tcW w:w="67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298,927</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183"/>
        </w:trPr>
        <w:tc>
          <w:tcPr>
            <w:tcW w:w="67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15,397</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18,377</w:t>
            </w: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payable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196"/>
        </w:trPr>
        <w:tc>
          <w:tcPr>
            <w:tcW w:w="6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73,205</w:t>
            </w: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17,476</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finance leases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03"/>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w:t>
            </w:r>
          </w:p>
        </w:tc>
      </w:tr>
      <w:tr>
        <w:trPr>
          <w:trHeight w:val="196"/>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9"/>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17,837 (2025) and 17,802 (2024)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5"/>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178,198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177,973</w:t>
            </w: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w:t>
            </w: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22,341</w:t>
            </w:r>
          </w:p>
        </w:tc>
      </w:tr>
      <w:tr>
        <w:trPr>
          <w:trHeight w:val="196"/>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202,869</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201,776</w:t>
            </w:r>
          </w:p>
        </w:tc>
      </w:tr>
      <w:tr>
        <w:trPr>
          <w:trHeight w:val="196"/>
        </w:trPr>
        <w:tc>
          <w:tcPr>
            <w:tcW w:w="6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298,927</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301,119</w:t>
            </w: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640"/>
        <w:spacing w:after="0"/>
        <w:rPr>
          <w:sz w:val="20"/>
          <w:szCs w:val="20"/>
          <w:color w:val="auto"/>
        </w:rPr>
      </w:pPr>
      <w:r>
        <w:rPr>
          <w:rFonts w:ascii="Times New Roman" w:cs="Times New Roman" w:eastAsia="Times New Roman" w:hAnsi="Times New Roman"/>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6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127,606</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116,846</w:t>
            </w: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net income from unconsolidated entities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unconsolidated entities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(Note 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6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r>
      <w:tr>
        <w:trPr>
          <w:trHeight w:val="197"/>
        </w:trPr>
        <w:tc>
          <w:tcPr>
            <w:tcW w:w="6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6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6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56"/>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17,799</w:t>
            </w:r>
          </w:p>
        </w:tc>
      </w:tr>
      <w:tr>
        <w:trPr>
          <w:trHeight w:val="197"/>
        </w:trPr>
        <w:tc>
          <w:tcPr>
            <w:tcW w:w="6380" w:type="dxa"/>
            <w:vAlign w:val="bottom"/>
            <w:tcBorders>
              <w:bottom w:val="single" w:sz="8" w:color="CCEEFF"/>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17,901</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17,799</w:t>
            </w:r>
          </w:p>
        </w:tc>
      </w:tr>
      <w:tr>
        <w:trPr>
          <w:trHeight w:val="20"/>
        </w:trPr>
        <w:tc>
          <w:tcPr>
            <w:tcW w:w="6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4,435</w:t>
            </w:r>
          </w:p>
        </w:tc>
        <w:tc>
          <w:tcPr>
            <w:tcW w:w="340" w:type="dxa"/>
            <w:vAlign w:val="bottom"/>
          </w:tcPr>
          <w:p>
            <w:pPr>
              <w:spacing w:after="0"/>
              <w:rPr>
                <w:sz w:val="12"/>
                <w:szCs w:val="12"/>
                <w:color w:val="auto"/>
              </w:rPr>
            </w:pPr>
          </w:p>
        </w:tc>
        <w:tc>
          <w:tcPr>
            <w:tcW w:w="20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from unconsolidated entities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(5,179)</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8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(4,427)</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(3,832)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(8,541)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beginning of period</w:t>
            </w:r>
          </w:p>
        </w:tc>
        <w:tc>
          <w:tcPr>
            <w:tcW w:w="8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82"/>
        </w:trPr>
        <w:tc>
          <w:tcPr>
            <w:tcW w:w="5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end of period</w:t>
            </w:r>
          </w:p>
        </w:tc>
        <w:tc>
          <w:tcPr>
            <w:tcW w:w="8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48,490</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8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2024</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17,802</w:t>
            </w:r>
          </w:p>
        </w:tc>
        <w:tc>
          <w:tcPr>
            <w:tcW w:w="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177,973</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22,341</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1,444</w:t>
            </w:r>
          </w:p>
        </w:tc>
        <w:tc>
          <w:tcPr>
            <w:tcW w:w="320" w:type="dxa"/>
            <w:vAlign w:val="bottom"/>
            <w:gridSpan w:val="2"/>
            <w:shd w:val="clear" w:color="auto" w:fill="CCEEFF"/>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201,776</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(3,567)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(3,567)</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4,415</w:t>
            </w:r>
          </w:p>
        </w:tc>
      </w:tr>
      <w:tr>
        <w:trPr>
          <w:trHeight w:val="129"/>
        </w:trPr>
        <w:tc>
          <w:tcPr>
            <w:tcW w:w="3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2025</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17,837</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178,198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23,189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202,869</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5"/>
        </w:trPr>
        <w:tc>
          <w:tcPr>
            <w:tcW w:w="3520" w:type="dxa"/>
            <w:vAlign w:val="bottom"/>
          </w:tcPr>
          <w:p>
            <w:pPr>
              <w:spacing w:after="0"/>
              <w:rPr>
                <w:sz w:val="13"/>
                <w:szCs w:val="13"/>
                <w:color w:val="auto"/>
              </w:rPr>
            </w:pPr>
          </w:p>
        </w:tc>
        <w:tc>
          <w:tcPr>
            <w:tcW w:w="16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760" w:type="dxa"/>
            <w:vAlign w:val="bottom"/>
          </w:tcPr>
          <w:p>
            <w:pPr>
              <w:spacing w:after="0"/>
              <w:rPr>
                <w:sz w:val="13"/>
                <w:szCs w:val="13"/>
                <w:color w:val="auto"/>
              </w:rPr>
            </w:pPr>
          </w:p>
        </w:tc>
      </w:tr>
      <w:tr>
        <w:trPr>
          <w:trHeight w:val="129"/>
        </w:trPr>
        <w:tc>
          <w:tcPr>
            <w:tcW w:w="352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0" w:type="dxa"/>
            <w:vAlign w:val="bottom"/>
          </w:tcPr>
          <w:p>
            <w:pPr>
              <w:spacing w:after="0"/>
              <w:rPr>
                <w:sz w:val="11"/>
                <w:szCs w:val="11"/>
                <w:color w:val="auto"/>
              </w:rPr>
            </w:pPr>
          </w:p>
        </w:tc>
        <w:tc>
          <w:tcPr>
            <w:tcW w:w="9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6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17,761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176,481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32,338</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210,229</w:t>
            </w:r>
          </w:p>
        </w:tc>
      </w:tr>
      <w:tr>
        <w:trPr>
          <w:trHeight w:val="117"/>
        </w:trPr>
        <w:tc>
          <w:tcPr>
            <w:tcW w:w="35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53"/>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941</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(1,781)</w:t>
            </w:r>
          </w:p>
        </w:tc>
        <w:tc>
          <w:tcPr>
            <w:tcW w:w="20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(1,781)</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(6,267)</w:t>
            </w:r>
          </w:p>
        </w:tc>
        <w:tc>
          <w:tcPr>
            <w:tcW w:w="20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(6,267)</w:t>
            </w:r>
          </w:p>
        </w:tc>
      </w:tr>
      <w:tr>
        <w:trPr>
          <w:trHeight w:val="128"/>
        </w:trPr>
        <w:tc>
          <w:tcPr>
            <w:tcW w:w="3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2024</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176,823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24,290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202,533</w:t>
            </w:r>
          </w:p>
        </w:tc>
      </w:tr>
      <w:tr>
        <w:trPr>
          <w:trHeight w:val="20"/>
        </w:trPr>
        <w:tc>
          <w:tcPr>
            <w:tcW w:w="3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worldwide. We procure avocado products from California, Mexico and other growing regions around the world. Through our various operating facilities, we (i) sort, pack, and/or ripen avocados, tomatoes and/or Hawaiian grown papayas and (ii) process and package guacamole. We distribute our products both domestically and internationally. During the first quarter of fiscal 2025, we changed the name of our ‘Grown’ reportable segment to ‘Fresh’ to more accurately represent the segment’s business activities. This change in title only does not affect the segment’s composition, financial results, or how we assess performance internally. We report our operations in two different business segments: Fresh and Prepared.</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79" w:firstLine="2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“interim financial statements”) have been prepared by the Company in accordance with accounting principles generally accepted in the United States and with the instructions to Form 10-Q and Article 10 of Regulation S-X of the Securities and Exchange Commission (SEC). Accordingly, they do not include all the information and footnotes required by accounting principles generally accepted in the United States for complete financial statements. In the opinion of management, the accompanying interim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2024.</w:t>
      </w:r>
    </w:p>
    <w:p>
      <w:pPr>
        <w:spacing w:after="0" w:line="235" w:lineRule="exact"/>
        <w:rPr>
          <w:sz w:val="20"/>
          <w:szCs w:val="20"/>
          <w:color w:val="auto"/>
        </w:rPr>
      </w:pPr>
    </w:p>
    <w:p>
      <w:pPr>
        <w:ind w:left="40" w:right="119" w:firstLine="270"/>
        <w:spacing w:after="0" w:line="282" w:lineRule="auto"/>
        <w:rPr>
          <w:sz w:val="20"/>
          <w:szCs w:val="20"/>
          <w:color w:val="auto"/>
        </w:rPr>
      </w:pPr>
      <w:r>
        <w:rPr>
          <w:rFonts w:ascii="Times New Roman" w:cs="Times New Roman" w:eastAsia="Times New Roman" w:hAnsi="Times New Roman"/>
          <w:sz w:val="18"/>
          <w:szCs w:val="18"/>
          <w:color w:val="auto"/>
        </w:rPr>
        <w:t>Prior period amounts related to foreign currency remeasurement gains (losses) have been reclassified from cost of sales to foreign currency gain (loss) to conform to the current period presentation.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right="119" w:firstLine="315"/>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“Disaggregation of Income Statement Expenses” which expands interim and annual requirements to disclose about specific types of expenses included in the expense captions presented on the face of the income statement as well as disclosures about selling expenses. The guidance will be effective for annual periods beginning after December 15, 2026, with either retrospective or prospective application. The standard allows for early adoption of these requirements. The Company is currently evaluating the potential effect that the updated standard will have on its financial statement disclosures.</w:t>
      </w:r>
    </w:p>
    <w:p>
      <w:pPr>
        <w:spacing w:after="0" w:line="189"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This ASU amends ASC 740 to enhance the nature of disclosures for income taxes. Specifically, the ASU requires public business entities to disclose additional information in categories defined within the ASU within the reconciliation of the effective tax rate to the statutory rate for federal, state and foreign income taxes. Additionally, the ASU requires disclosure of taxes paid, net of refunds received, disaggregated by federal, state and foreign taxes. ASU 2023-09 is effective for years beginning after December 15, 2024 with early adoption permitted. The Company is currently evaluating the potential effect that the updated standard will have on its financial statement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after December 15, 2023, and interim periods within fiscal years beginning after December 15, 2024, with early adoption permitted. The Company is currently evaluating the potential effect that the updated standard will have on its financial statement disclosures.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During the first quarter of fiscal 2025, we changed the name of our ‘Grown’ reportable segment to ‘Fresh’ to more accurately represent the segment’s business activities. This change in title only does not affect the segment’s composition, financial results, or how we assess performance internally. We report our operations in two different business segments: Fresh and Prepared. The Fresh segment consists of fresh avocados, tomatoes and papayas. The Prepared segment comprises all our guacamole products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January 31, 2025</w:t>
            </w:r>
          </w:p>
        </w:tc>
        <w:tc>
          <w:tcPr>
            <w:tcW w:w="140" w:type="dxa"/>
            <w:vAlign w:val="bottom"/>
          </w:tcPr>
          <w:p>
            <w:pPr>
              <w:spacing w:after="0"/>
              <w:rPr>
                <w:sz w:val="15"/>
                <w:szCs w:val="15"/>
                <w:color w:val="auto"/>
              </w:rPr>
            </w:pPr>
          </w:p>
        </w:tc>
        <w:tc>
          <w:tcPr>
            <w:tcW w:w="2600" w:type="dxa"/>
            <w:vAlign w:val="bottom"/>
            <w:gridSpan w:val="1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January 31,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Fresh</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80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5"/>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Fresh</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6"/>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Avocados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123,839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$ 123,839</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99,631</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Tomatoes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10,839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Papayas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fresh income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Guacamole</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sales</w:t>
            </w:r>
          </w:p>
        </w:tc>
        <w:tc>
          <w:tcPr>
            <w:tcW w:w="2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28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156,051</w:t>
            </w:r>
          </w:p>
        </w:tc>
        <w:tc>
          <w:tcPr>
            <w:tcW w:w="140" w:type="dxa"/>
            <w:vAlign w:val="bottom"/>
          </w:tcPr>
          <w:p>
            <w:pPr>
              <w:spacing w:after="0"/>
              <w:rPr>
                <w:sz w:val="18"/>
                <w:szCs w:val="18"/>
                <w:color w:val="auto"/>
              </w:rPr>
            </w:pPr>
          </w:p>
        </w:tc>
        <w:tc>
          <w:tcPr>
            <w:tcW w:w="7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113,578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16,079</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allowances</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(552)</w:t>
            </w:r>
          </w:p>
        </w:tc>
        <w:tc>
          <w:tcPr>
            <w:tcW w:w="94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139,795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8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$ 154,385</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7"/>
              </w:rPr>
              <w:t>$ 113,026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$ 14,580</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Fresh</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940" w:type="dxa"/>
            <w:vAlign w:val="bottom"/>
            <w:gridSpan w:val="17"/>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$ 139,795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3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January 31, 2024</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$ 113,026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3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40" w:type="dxa"/>
            <w:vAlign w:val="bottom"/>
            <w:tcBorders>
              <w:top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For the three months ended January 31, 2025 and 2024, intercompany sales and cost of sales of $0.4 million between Fresh products and Prepared products were eliminated.</w:t>
      </w:r>
    </w:p>
    <w:p>
      <w:pPr>
        <w:spacing w:after="0" w:line="162"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Sales to customers outside the U.S. were approximately $11.7 million and $10.9 million for the three months ended January 31, 2025, and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The net carrying value of long-lived assets attributed to geographic areas as of January 31, 2025, and October 31, 2024,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23,622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24,531</w:t>
            </w:r>
          </w:p>
        </w:tc>
        <w:tc>
          <w:tcPr>
            <w:tcW w:w="180" w:type="dxa"/>
            <w:vAlign w:val="bottom"/>
          </w:tcPr>
          <w:p>
            <w:pPr>
              <w:spacing w:after="0"/>
              <w:rPr>
                <w:sz w:val="20"/>
                <w:szCs w:val="20"/>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40" w:type="dxa"/>
            <w:vAlign w:val="bottom"/>
          </w:tcPr>
          <w:p>
            <w:pPr>
              <w:spacing w:after="0"/>
              <w:rPr>
                <w:sz w:val="20"/>
                <w:szCs w:val="20"/>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0" w:type="dxa"/>
            <w:vAlign w:val="bottom"/>
          </w:tcPr>
          <w:p>
            <w:pPr>
              <w:spacing w:after="0"/>
              <w:rPr>
                <w:sz w:val="1"/>
                <w:szCs w:val="1"/>
                <w:color w:val="auto"/>
              </w:rPr>
            </w:pPr>
          </w:p>
        </w:tc>
      </w:tr>
      <w:tr>
        <w:trPr>
          <w:trHeight w:val="42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39,873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89"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We periodically review the value of items in inventory and record any necessary write downs of inventory based on our assessment of market conditions. Inventory includes reserves of $0.3 million in slow moving inventories as of January 31, 2025 and $0.4 million as of October 31, 2024.</w:t>
      </w:r>
    </w:p>
    <w:p>
      <w:pPr>
        <w:spacing w:after="0" w:line="154"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months ended January 31, 2025, we procured a total of $0.6 million in avocados from entities owned or controlled by members of our Board of Directors. For the three months ended January 31, 2024, we did not procure any avocados from entities owned or controlled by members of our Board of Directors. As of January 31, 2025, we had $0.6 million in outstanding payables to these Board members. We did not have any amounts payable to these Board members as of October 31, 2024. For the three months ended January 31, 2025, we procured $1.1 million of avocados from entities affiliated with our Chief Executive Officer. For the three months ended January 31, 2024, we have procured less than $0.1 million of avocados from entities affiliated with our Chief Executive Officer. As of January 31, 2025, we had $1.1 million in outstanding payables to entities affiliated with our Chief Executive Officer. There were no outstanding payables to entities affiliated with our Chief Executive Officer as of October 31, 2024.</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each have an equal one-half ownership interest in Don Memo. Pursuant to a management service agreement, Belher, through its officers and employees, has day-to-day power and authority to manage the operations of Don Memo.</w:t>
      </w:r>
    </w:p>
    <w:p>
      <w:pPr>
        <w:spacing w:after="0" w:line="176"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As of January 31, 2025, and October 31, 2024, we had an investment of $3.3 million and $2.4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January 31, 2025 and 2024, we advanced $0.2 million and $1.0 million of preseason advances to Don Memo. As of January 31, 2025 and October 31, 2024, we had outstanding advances of $4.0 million and $7.7 million to Don Memo. In October 2020, we entered into an infrastructure loan agreement with Don Memo for up to $2.4 million secured by certain property and equipment of Don Memo. This infrastructure loan accrues interest at 7.25%. The total outstanding infrastructure loan balance at January 31, 2025 and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66" w:lineRule="auto"/>
        <w:rPr>
          <w:sz w:val="20"/>
          <w:szCs w:val="20"/>
          <w:color w:val="auto"/>
        </w:rPr>
      </w:pPr>
      <w:r>
        <w:rPr>
          <w:rFonts w:ascii="Times New Roman" w:cs="Times New Roman" w:eastAsia="Times New Roman" w:hAnsi="Times New Roman"/>
          <w:sz w:val="18"/>
          <w:szCs w:val="18"/>
          <w:color w:val="auto"/>
        </w:rPr>
        <w:t>October 31, 2024, was $1.6 million which is included in prepaids and other current assets. During the three months ended January 31, 2025 and 2024, we incurred $8.0 million and $4.2 million of cost of sales to Don Memo pursuant to our purchase consignment agreement.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59" w:firstLine="259"/>
        <w:spacing w:after="0" w:line="253"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We made preseason advances for the three months ended January 31, 2025 totaling $0.2 million. There were no preseason advances made for the three months ended January 31, 2024. We had grower advances due from Belher totaling $4.6 million as of January 31, 2025 and $5.1 million as of October 31, 2024, which are recorded as advances to suppliers. In July 2021, we made a bridge loan of $3.5 million to Belher. This loan is secured by certain farmland in Mexico and accrues interest at 10%. As part of this loan agreement, we can withhold payments on both the infrastructure advances and the bridge loan through the netting against the grower payable due to Belher. As of January 31, 2025 and October 31, 2024, the remaining bridge loan of $1.1 million has been recorded as $0.6 million in prepaid expenses and other current assets and $0.5 million in other assets. During the three months ended January 31, 2025 and 2024, we incurred $2.7 million and $3.0 million of cost of sales to Belher pursuant to our purchase consignment agreement.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January 31, 2025, this entity was approximately 83% owned by Calavo and was consolidated in our interim financial statements. Avocados de Jalisco built a packinghouse located in Jalisco, Mexico, which began operations in June of 2017. During the three months ended January 31, 2025 and 2024 we purchased approximately $0.2 million and $2.5 million of avocados from the partners of Avocados de Jalisco.</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1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5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49,916</w:t>
            </w: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 events</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0" w:type="dxa"/>
            <w:vAlign w:val="bottom"/>
            <w:vMerge w:val="continue"/>
          </w:tcPr>
          <w:p>
            <w:pPr>
              <w:spacing w:after="0"/>
              <w:rPr>
                <w:sz w:val="24"/>
                <w:szCs w:val="24"/>
                <w:color w:val="auto"/>
              </w:rPr>
            </w:pPr>
          </w:p>
        </w:tc>
        <w:tc>
          <w:tcPr>
            <w:tcW w:w="58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On January 31, 2025, we paid a dividend of $0.20 per share, or an aggregate of $3.6 million, to shareholders of record on January 10, 2025. On March 7, 2025, the Board of Directors declared a quarterly cash dividend of $0.20 per share to be paid on April 29, 2025, to shareholders of record on April 1,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impact on our financial position, results of operations,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We continue to cooperate fully with the SEC and the Department of Justice (DOJ) investigations relating to the Foreign Corrupt Practices Act (FCPA). On February 5, 2025, Attorney General Bondi issued a memorandum stating, in regard to the FCPA, that the DOJ “shall prioritize investigations related to foreign bribery that facilitates the criminal operations of Cartels and Transnational Criminal Organizations, and shift focus away from investigations and cases that do not involve such a connection. Examples of such cases include bribery of foreign officials to facilitate human smuggling and the trafficking of narcotics and firearms.” While the DOJ’s policy may evolve, we are currently unaware of any facts suggesting conduct of any of our employee that would fall within the examples provided in the DOJ’s February 5, 2025, memoranda.</w:t>
      </w:r>
    </w:p>
    <w:p>
      <w:pPr>
        <w:spacing w:after="0" w:line="192" w:lineRule="exact"/>
        <w:rPr>
          <w:sz w:val="20"/>
          <w:szCs w:val="20"/>
          <w:color w:val="auto"/>
        </w:rPr>
      </w:pPr>
    </w:p>
    <w:p>
      <w:pPr>
        <w:ind w:left="40" w:right="359" w:firstLine="259"/>
        <w:spacing w:after="0" w:line="255" w:lineRule="auto"/>
        <w:rPr>
          <w:sz w:val="20"/>
          <w:szCs w:val="20"/>
          <w:color w:val="auto"/>
        </w:rPr>
      </w:pPr>
      <w:r>
        <w:rPr>
          <w:rFonts w:ascii="Times New Roman" w:cs="Times New Roman" w:eastAsia="Times New Roman" w:hAnsi="Times New Roman"/>
          <w:sz w:val="18"/>
          <w:szCs w:val="18"/>
          <w:color w:val="auto"/>
        </w:rPr>
        <w:t>Additionally, on February 10, 2025, President Trump issued an Executive Order “Pausing Foreign Corrupt Practices Act Enforcement to Further American Economic and National Security,” which stated that for a period of 180 days following the date of the order, “the Attorney General shall review guidelines and policies governing investigations and enforcement actions under the FCPA. During the review period, the Attorney General shall: . . . (ii) review in detail all existing FCPA investigations or enforcement actions and take appropriate action with respect to such matters to restore proper bounds on FCPA enforcement and preserve Presidential foreign policy prerogatives; and (iii) issue updated guidelines or policies, as appropriate…”</w:t>
      </w:r>
    </w:p>
    <w:p>
      <w:pPr>
        <w:spacing w:after="0" w:line="18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On February 18, 2025, President Trump issued Executive Order “Ensuring Accountability for All Agencies” that stated, “it shall be the policy of the executive branch to ensure Presidential supervision and control of the entire executive branch” and that “independent regulatory agency chairmen shall regularly consult with and coordinate policies and priorities with the directors of OMB, the White House Domestic Policy Council, and the White House National Economic Council.”  On February 18, 2025, the SEC notified us that activity in the investigation has been postponed, after President Trump issued Executive Orders on February 10 and February 18, 2025. Given the Attorney General’s February 5, 2025 Memo and the President’s Executive Orders, along with a potential shift in DOJ and SEC priorities, we do not currently anticipate any near-term action from the government’s FCPA inquiry that would likely have a material impact on our short-term financial outlook.</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In January 2017, Calavo de Mexico (“CDM”)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third fiscal quarter of 2017.</w:t>
      </w:r>
    </w:p>
    <w:p>
      <w:pPr>
        <w:spacing w:after="0" w:line="180"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In January 2018, the SAT’s local office in Uruapan issued to CDM a final tax assessment (the “2013 Assessment”) totaling approximately 2.6 billion Mexican pesos (which includes annual adjustments for inflation, and equals approximately $125.6 million USD at January 31, 2025) related to income tax, flat rate business tax, and value added tax, related to this fiscal 2013 tax audit. This amount has been adjusted for inflation as of January 31, 2025 to the amount of 3 billion Mexican pesos (approx. $144.9 million USD). Additionally, the tax authorities have determined that we owe our employees profit-sharing liability, totaling approximately 118 million Mexican pesos (approx. $5.7 million USD at January 31, 2025).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279" w:firstLine="259"/>
        <w:spacing w:after="0" w:line="289" w:lineRule="auto"/>
        <w:rPr>
          <w:sz w:val="20"/>
          <w:szCs w:val="20"/>
          <w:color w:val="auto"/>
        </w:rPr>
      </w:pPr>
      <w:r>
        <w:rPr>
          <w:rFonts w:ascii="Times New Roman" w:cs="Times New Roman" w:eastAsia="Times New Roman" w:hAnsi="Times New Roman"/>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19"/>
        <w:spacing w:after="0" w:line="266" w:lineRule="auto"/>
        <w:rPr>
          <w:sz w:val="20"/>
          <w:szCs w:val="20"/>
          <w:color w:val="auto"/>
        </w:rPr>
      </w:pPr>
      <w:r>
        <w:rPr>
          <w:rFonts w:ascii="Times New Roman" w:cs="Times New Roman" w:eastAsia="Times New Roman" w:hAnsi="Times New Roman"/>
          <w:sz w:val="18"/>
          <w:szCs w:val="18"/>
          <w:color w:val="auto"/>
        </w:rPr>
        <w:t>of CDM, with a net book value of approximately $26 million USD, and on bank accounts of CDM totaling approximately $1 million USD in order to guarantee the 2013 Assessment. Based on legal counsel from our tax advisory firm, we and our tax advisory firm have concluded that the March notification was not legally communicated.</w:t>
      </w:r>
    </w:p>
    <w:p>
      <w:pPr>
        <w:spacing w:after="0" w:line="176"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CDM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3"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Annulment Suit filed on August 20, 2021, as a result of the response to the lawsuit filed by the Tax Authority, pointing out that the Tax Authority’s resolution is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w:t>
      </w:r>
    </w:p>
    <w:p>
      <w:pPr>
        <w:spacing w:after="0" w:line="27" w:lineRule="exact"/>
        <w:rPr>
          <w:rFonts w:ascii="Times New Roman" w:cs="Times New Roman" w:eastAsia="Times New Roman" w:hAnsi="Times New Roman"/>
          <w:sz w:val="18"/>
          <w:szCs w:val="18"/>
          <w:color w:val="auto"/>
        </w:rPr>
      </w:pPr>
    </w:p>
    <w:p>
      <w:pPr>
        <w:ind w:left="660" w:right="239" w:hanging="333"/>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22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November 14, 2023, the Tax Court acknowledged the admission of the extension to the lawsuit. Additionally, in November 2024, the Administrative Reconsideration and related Injunction action were finalized. The tax authority determined that the filing of the Administrative Reconsideration was not legally viable, citing the existence of a concurrent legal remedy—the Nullity Petition. Furthermore, the SAT noted a presumption that the Nullity Petition was filed within the required timeframe, as evidenced by its admission by the Tax Court.</w:t>
      </w:r>
    </w:p>
    <w:p>
      <w:pPr>
        <w:spacing w:after="0" w:line="210"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These resolutions can be used as supervening evidence to support the arguments that the Nullity Petition should be admitted. The resolutions will contribute to demonstrate that SAT considers that the Nullity Petition was filed on time. This is a statement made within a formal procedure that contradicts what SAT had been arguing (within the reconsideration procedure).</w:t>
      </w:r>
    </w:p>
    <w:p>
      <w:pPr>
        <w:spacing w:after="0" w:line="180"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In accordance with our cumulative probability analysis on uncertain tax positions, settlements made by the SAT in other cases, the 2011 Assessment settlement reached by CDM with the Ministry of Finance and Administration of the government of the State of Michoacan, Mexico, and the value of CDM assets, we recorded a provision of $11 million, in the third quarter of fiscal 2021, as a discrete item in Income Tax Provision. The provision includes estimated penalties, interest and inflationary adjustments.</w:t>
      </w:r>
    </w:p>
    <w:p>
      <w:pPr>
        <w:spacing w:after="0" w:line="189" w:lineRule="exact"/>
        <w:rPr>
          <w:sz w:val="20"/>
          <w:szCs w:val="20"/>
          <w:color w:val="auto"/>
        </w:rPr>
      </w:pPr>
    </w:p>
    <w:p>
      <w:pPr>
        <w:jc w:val="both"/>
        <w:ind w:left="40" w:right="79" w:firstLine="259"/>
        <w:spacing w:after="0" w:line="289" w:lineRule="auto"/>
        <w:rPr>
          <w:sz w:val="20"/>
          <w:szCs w:val="20"/>
          <w:color w:val="auto"/>
        </w:rPr>
      </w:pPr>
      <w:r>
        <w:rPr>
          <w:rFonts w:ascii="Times New Roman" w:cs="Times New Roman" w:eastAsia="Times New Roman" w:hAnsi="Times New Roman"/>
          <w:sz w:val="17"/>
          <w:szCs w:val="17"/>
          <w:color w:val="auto"/>
        </w:rPr>
        <w:t>Additionally, while the 2013 Assessment and our ongoing VAT (IVA) refund efforts are separate matters, we believe the recent VAT refund secured directly from the SAT—rather than through the court system—provides positive momentum for our broader tax strategy and it is opening communication channels with the tax authorities to resolve the 2013 Assessment.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We believe that this provision remains appropriate as of January 31, 2025 based on our cumulative probability analysis. We incurred $0.4 million of related professional fees for the three months ended January 31, 2025 which have been recorded in Expenses related to Mexican Tax matters on the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 contingency</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In conjunction with the sale of the Fresh Cut business on August 15, 2024, the Company assigned certain leases to the buyer. As a result of these lease assignments, the buyer is the primary obligor under the leases, with the Company secondarily liable as a guarantor. If the buyer fails to perform under a lease, the Company could be responsible for fulfilling any remaining lease obligation. The leases had a remaining average term of 5.3 years as of October 31, 2024, with a maximum exposure of $32.0 million in undiscounted future minimum lease payments, plus $13.3 million in potential additional payments related to common area maintenance, taxes, insurance, and other obligations.</w:t>
      </w:r>
    </w:p>
    <w:p>
      <w:pPr>
        <w:spacing w:after="0" w:line="187"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As of January 31, 2025, we have not experienced any changes related to this contingency, and there are no new developments affecting its likelihood or potential financial impact. We continue to assess this obligation, but do not believe it is probable that it will be required to fulfill any obligations under these leases</w:t>
      </w:r>
    </w:p>
    <w:p>
      <w:pPr>
        <w:spacing w:after="0" w:line="38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(loss) per share is calculated as follows (data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Calavo Growers, Inc.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 (1)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(refer to Note 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59" w:firstLine="4"/>
        <w:spacing w:after="0" w:line="266" w:lineRule="auto"/>
        <w:tabs>
          <w:tab w:leader="none" w:pos="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January 31, 2024, approximately 34,000 shares of common stock equivalents were excluded in the computation of diluted net loss per share as the effect would be anti-dilutive given the Company’s net loss for that period.</w:t>
      </w:r>
    </w:p>
    <w:p>
      <w:pPr>
        <w:spacing w:after="0" w:line="1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color w:val="auto"/>
        </w:rPr>
        <w:t>As of January 31, 2025, and October 31, 2024, CDM IVA receivables, net of our estimated provision for uncollectable amounts, totaled $48.7 million (1.0 billion Mexican pesos) and $48.7 million (976.0 million Mexican pesos). Historically, CDM received IVA refund payments from the Mexican tax authorities on a timely basis. Beginning in fiscal 2014 and continuing into fiscal 2025, the tax authorities began objecting to refund requests and supporting documentation that had previously been deemed acceptable to process a refund. 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88" w:lineRule="exact"/>
        <w:rPr>
          <w:sz w:val="20"/>
          <w:szCs w:val="20"/>
          <w:color w:val="auto"/>
        </w:rPr>
      </w:pPr>
    </w:p>
    <w:p>
      <w:pPr>
        <w:ind w:left="40" w:right="379" w:firstLine="259"/>
        <w:spacing w:after="0" w:line="312" w:lineRule="auto"/>
        <w:rPr>
          <w:sz w:val="20"/>
          <w:szCs w:val="20"/>
          <w:color w:val="auto"/>
        </w:rPr>
      </w:pPr>
      <w:r>
        <w:rPr>
          <w:rFonts w:ascii="Times New Roman" w:cs="Times New Roman" w:eastAsia="Times New Roman" w:hAnsi="Times New Roman"/>
          <w:sz w:val="17"/>
          <w:szCs w:val="17"/>
          <w:color w:val="auto"/>
        </w:rPr>
        <w:t>During the first quarter of fiscal 2017, the tax authorities informed us that their internal opinion, based on the information provided by the local SAT office, considers that CDM was not properly documented relative to its declared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tax structure and therefore CDM could 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w:t>
      </w:r>
    </w:p>
    <w:p>
      <w:pPr>
        <w:spacing w:after="0" w:line="188"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7" w:lineRule="exact"/>
        <w:rPr>
          <w:rFonts w:ascii="Times New Roman" w:cs="Times New Roman" w:eastAsia="Times New Roman" w:hAnsi="Times New Roman"/>
          <w:sz w:val="18"/>
          <w:szCs w:val="18"/>
          <w:color w:val="auto"/>
        </w:rPr>
      </w:pPr>
    </w:p>
    <w:p>
      <w:pPr>
        <w:ind w:left="660" w:right="239" w:hanging="333"/>
        <w:spacing w:after="0" w:line="265"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recognized that all bank deposits corresponding to the purchase of avocados on behalf of Calavo, are subject to the maquila program and it is not accruable income for purposes of Income Tax nor activities subject to VAT.</w:t>
      </w:r>
    </w:p>
    <w:p>
      <w:pPr>
        <w:ind w:left="660" w:right="399" w:hanging="333"/>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IVA is recoverable, since CDM demonstrated the existence of operations carried under the maquila services.</w:t>
      </w:r>
    </w:p>
    <w:p>
      <w:pPr>
        <w:ind w:left="660" w:right="319" w:hanging="333"/>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IVA amounts attributed to the purchase of certain packing materials are not recoverable as CDM was not the buyer on record and therefore did not pay for the materials, which approximated 6.9 million Mexican pesos (approximately $0.4 million USD).</w:t>
      </w:r>
    </w:p>
    <w:p>
      <w:pPr>
        <w:spacing w:after="0" w:line="186" w:lineRule="exact"/>
        <w:rPr>
          <w:sz w:val="20"/>
          <w:szCs w:val="20"/>
          <w:color w:val="auto"/>
        </w:rPr>
      </w:pPr>
    </w:p>
    <w:p>
      <w:pPr>
        <w:ind w:left="40" w:right="2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January 31, 2025, CDM filed Administrative Appeals for months for which IVA refunds have been denied by the SAT, and will continue filing such appeals for any months for which refunds are denied in the future. Therefore, we believe it is probable that the Mexican tax authorities will ultimately authorize the refund of the remaining IVA amounts.</w:t>
      </w:r>
    </w:p>
    <w:p>
      <w:pPr>
        <w:spacing w:after="0" w:line="187" w:lineRule="exact"/>
        <w:rPr>
          <w:sz w:val="20"/>
          <w:szCs w:val="20"/>
          <w:color w:val="auto"/>
        </w:rPr>
      </w:pPr>
    </w:p>
    <w:p>
      <w:pPr>
        <w:ind w:left="40" w:right="359" w:firstLine="259"/>
        <w:spacing w:after="0" w:line="282" w:lineRule="auto"/>
        <w:rPr>
          <w:sz w:val="20"/>
          <w:szCs w:val="20"/>
          <w:color w:val="auto"/>
        </w:rPr>
      </w:pPr>
      <w:r>
        <w:rPr>
          <w:rFonts w:ascii="Times New Roman" w:cs="Times New Roman" w:eastAsia="Times New Roman" w:hAnsi="Times New Roman"/>
          <w:sz w:val="18"/>
          <w:szCs w:val="18"/>
          <w:color w:val="auto"/>
        </w:rPr>
        <w:t>Subsequent to quarter end, we achieved a significant milestone in our tax strategy, as the SAT refunded 13.7 million Mexican pesos in VAT (approximately $0.7 million USD), including inflationary adjustments, for March 2019.</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Assets Held for Sale and Discontinued Operations</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In August 2024, we completed the sale of our Fresh Cut business and related real estate for $83 million. The Fresh Cut business represented substantially all the Prepared segment, excluding the retained guacamole business.</w:t>
      </w:r>
    </w:p>
    <w:p>
      <w:pPr>
        <w:spacing w:after="0" w:line="162" w:lineRule="exact"/>
        <w:rPr>
          <w:sz w:val="20"/>
          <w:szCs w:val="20"/>
          <w:color w:val="auto"/>
        </w:rPr>
      </w:pPr>
    </w:p>
    <w:p>
      <w:pPr>
        <w:jc w:val="both"/>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As previously disclosed, the Fresh Cut business was classified as held for sale and discontinued operations in the first quarter of fiscal 2024. In connection with the sale, we recorded a $9.3 million goodwill impairment charge in the quarter ended July 31, 2024, based on the transaction’s sale price.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89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results of operations of the Fresh Cut business that are being reported as discontinued operations (in thousands):</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 before income taxes and gain on sale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Select cash flow information related to the Fresh Cut business follows (in thousands):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Sale of Fresh Cut Business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Asset Purchase Agreement and Purchase and Sale Agreement</w:t>
      </w:r>
    </w:p>
    <w:p>
      <w:pPr>
        <w:spacing w:after="0" w:line="227"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August 15, 2024, we completed the sale of our Fresh Cut business and related real estate for a total transaction value of $83 million. The sale included certain assets, leasehold interests, and specified liabilities related to the Fresh Cut business, while the guacamole business was retained.</w:t>
      </w:r>
    </w:p>
    <w:p>
      <w:pPr>
        <w:spacing w:after="0" w:line="176" w:lineRule="exact"/>
        <w:rPr>
          <w:sz w:val="20"/>
          <w:szCs w:val="20"/>
          <w:color w:val="auto"/>
        </w:rPr>
      </w:pPr>
    </w:p>
    <w:p>
      <w:pPr>
        <w:ind w:left="40" w:right="179" w:firstLine="259"/>
        <w:spacing w:after="0" w:line="282" w:lineRule="auto"/>
        <w:rPr>
          <w:sz w:val="20"/>
          <w:szCs w:val="20"/>
          <w:color w:val="auto"/>
        </w:rPr>
      </w:pPr>
      <w:r>
        <w:rPr>
          <w:rFonts w:ascii="Times New Roman" w:cs="Times New Roman" w:eastAsia="Times New Roman" w:hAnsi="Times New Roman"/>
          <w:sz w:val="18"/>
          <w:szCs w:val="18"/>
          <w:color w:val="auto"/>
        </w:rPr>
        <w:t>The purchase price for the business assets was $52.0 million, subject to customary adjustments, and the real estate was sold separately for $31.0 million. See Note 6.</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212529"/>
        </w:rPr>
        <w:t>Amendment to Credit Agreement</w:t>
      </w:r>
    </w:p>
    <w:p>
      <w:pPr>
        <w:spacing w:after="0" w:line="227"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212529"/>
        </w:rPr>
        <w:t>On August 15, 2024, we entered into a First Amendment to Credit Agreement and Consent (as amended, the “Credit Agreement”) with Wells Fargo Bank, National Association, as agent and lender (“Agent”), whereby (i) the Credit Agreement was amended to reduce the revolving commitments thereunder from $90,000,000 to $75,000,000, among other minor adjustments to align the borrowing base with our current asset base excluding the Fresh Cut business, and (ii) we obtained consent from Agent for entry into the Asset Purchase Agreement and Purchase and Sale Agreement.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evaluated subsequent events through March 12, 2025, the date these interim financial statements were issued.</w:t>
      </w:r>
    </w:p>
    <w:p>
      <w:pPr>
        <w:spacing w:after="0" w:line="225"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On February 6, 2025, we entered into Amendment No. 4 to our existing lease agreement with Limoneira Company for its office space located at 1141 Cummings Road, Santa Paula, California. The amendment extends the lease term for an additional 36 months, from February 15, 2025, to February 14, 2028. Under the terms of the amendment, we will continue to pay rent in accordance with the original lease terms through February 14, 2025, after which annual rent adjustments will follow the same formula as in the original lease.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839" w:firstLine="324"/>
        <w:spacing w:after="0" w:line="282" w:lineRule="auto"/>
        <w:rPr>
          <w:sz w:val="20"/>
          <w:szCs w:val="20"/>
          <w:color w:val="auto"/>
        </w:rPr>
      </w:pPr>
      <w:r>
        <w:rPr>
          <w:rFonts w:ascii="Times New Roman" w:cs="Times New Roman" w:eastAsia="Times New Roman" w:hAnsi="Times New Roman"/>
          <w:sz w:val="18"/>
          <w:szCs w:val="18"/>
          <w:color w:val="auto"/>
        </w:rPr>
        <w:t>We have determined that no other material subsequent events have occurred that would require disclosure or adjustment to the interim financial statements.</w:t>
      </w:r>
    </w:p>
    <w:p>
      <w:pPr>
        <w:spacing w:after="0" w:line="200" w:lineRule="exact"/>
        <w:rPr>
          <w:sz w:val="20"/>
          <w:szCs w:val="20"/>
          <w:color w:val="auto"/>
        </w:rPr>
      </w:pPr>
    </w:p>
    <w:p>
      <w:pPr>
        <w:spacing w:after="0" w:line="390"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the notes thereto (the “interim financial statements”) included in this Quarterly Report, and the audited consolidated financial statements and notes thereto and Management's Discussion and Analysis of Financial Condition and Results of Operations contained in the Annual Report on Form 10-K for the fiscal year ended October 31, 2024 of Calavo Growers, Inc. (“we”, “Calavo”, or the “Company”).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On January 31, 2025, we paid a dividend of $0.20 per share, or an aggregate of $3.6 million, to shareholders of record on January 10, 2025. On March 7, 2025, the Board of Directors declared a quarterly cash dividend of $0.20 per share to be paid on April 29, 2025, to shareholders of record on April 1, 2025.</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color w:val="auto"/>
        </w:rPr>
        <w:t>We continue to cooperate fully with the Securities and Exchange Commission (SEC) and the Department of Justice (DOJ) investigations relating to the Foreign Corrupt Practices Act. On February 5, 2025, Attorney General Bondi issued a memorandum stating, in regard to the FCPA, that the DOJ “shall prioritize investigations related to foreign bribery that facilitates the criminal operations of Cartels and Transnational Criminal Organizations, and shift focus away from investigations and cases that do not involve such a connection. Examples of such cases include bribery of foreign officials to facilitate human smuggling and the trafficking of narcotics and firearms.” While the DOJ’s policy may evolve, we are currently unaware of any facts suggesting conduct of any of our employee that would fall within the examples provided in the DOJ’s February 5, 2025, memoranda.</w:t>
      </w:r>
    </w:p>
    <w:p>
      <w:pPr>
        <w:spacing w:after="0" w:line="192" w:lineRule="exact"/>
        <w:rPr>
          <w:sz w:val="20"/>
          <w:szCs w:val="20"/>
          <w:color w:val="auto"/>
        </w:rPr>
      </w:pPr>
    </w:p>
    <w:p>
      <w:pPr>
        <w:ind w:left="40" w:right="359" w:firstLine="259"/>
        <w:spacing w:after="0" w:line="255" w:lineRule="auto"/>
        <w:rPr>
          <w:sz w:val="20"/>
          <w:szCs w:val="20"/>
          <w:color w:val="auto"/>
        </w:rPr>
      </w:pPr>
      <w:r>
        <w:rPr>
          <w:rFonts w:ascii="Times New Roman" w:cs="Times New Roman" w:eastAsia="Times New Roman" w:hAnsi="Times New Roman"/>
          <w:sz w:val="18"/>
          <w:szCs w:val="18"/>
          <w:color w:val="auto"/>
        </w:rPr>
        <w:t>Additionally, on February 10, 2025, President Trump issued an Executive Order “Pausing Foreign Corrupt Practices Act Enforcement to Further American Economic and National Security,” which stated that for a period of 180 days following the date of the order, “the Attorney General shall review guidelines and policies governing investigations and enforcement actions under the FCPA. During the review period, the Attorney General shall: . . . (ii) review in detail all existing FCPA investigations or enforcement actions and take appropriate action with respect to such matters to restore proper bounds on FCPA enforcement and preserve Presidential foreign policy prerogatives; and (iii) issue updated guidelines or policies, as appropriate…”</w:t>
      </w:r>
    </w:p>
    <w:p>
      <w:pPr>
        <w:spacing w:after="0" w:line="18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On February 18, 2025, President Trump issued Executive Order “Ensuring Accountability for All Agencies” that stated, “it shall be the policy of the executive branch to ensure Presidential supervision and control of the entire executive branch” and that “independent regulatory agency chairmen shall regularly consult with and coordinate policies and priorities with the directors of OMB, the White House Domestic Policy Council, and the White House National Economic Council.”  On February 18, 2025, the SEC notified us that activity in the investigation has been postponed, after President Trump issued Executive Orders on February 10 and February 18, 2025. Given the Attorney General’s February 5, 2025 Memo and the President’s Executive Orders, along with a potential shift in DOJ and SEC priorities, we do not currently anticipate any near-term action from the government’s FCPA inquiry that would likely have a material impact on our short-term financial outlook.</w:t>
      </w:r>
    </w:p>
    <w:p>
      <w:pPr>
        <w:spacing w:after="0" w:line="188"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impact on our financial position, results of operations,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After quarter end, we achieved a significant milestone in our tax strategy, as the Mexican tax authorities (SAT) refunded 13.7 million Mexican pesos in VAT (approximately $0.7 million USD), including inflationary adjustments, for March 2019. We believe this favorable resolution—secured directly from the tax authority rather than through the court system— reinforces the strength of our approach and provides positive momentum as we continue working to recover additional outstanding refunds. For further discussion on our VAT recovery efforts, please see Note 9 to our interim financial statements for our first quarter Form 10-Q.</w:t>
      </w:r>
    </w:p>
    <w:p>
      <w:pPr>
        <w:spacing w:after="0" w:line="187" w:lineRule="exact"/>
        <w:rPr>
          <w:sz w:val="20"/>
          <w:szCs w:val="20"/>
          <w:color w:val="auto"/>
        </w:rPr>
      </w:pPr>
    </w:p>
    <w:p>
      <w:pPr>
        <w:jc w:val="both"/>
        <w:ind w:left="40" w:right="79" w:firstLine="259"/>
        <w:spacing w:after="0" w:line="289" w:lineRule="auto"/>
        <w:rPr>
          <w:sz w:val="20"/>
          <w:szCs w:val="20"/>
          <w:color w:val="auto"/>
        </w:rPr>
      </w:pPr>
      <w:r>
        <w:rPr>
          <w:rFonts w:ascii="Times New Roman" w:cs="Times New Roman" w:eastAsia="Times New Roman" w:hAnsi="Times New Roman"/>
          <w:sz w:val="17"/>
          <w:szCs w:val="17"/>
          <w:color w:val="auto"/>
        </w:rPr>
        <w:t>Additionally, while the 2013 Assessment and our ongoing VAT (IVA) refund efforts are separate matters, we believe the recent VAT refund secured directly from the SAT—rather than through the court system—provides positive momentum for our broader tax strategy and it is opening communication channels with the tax authorities to resolve the 2013 Assessment.</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Market Trends and Uncertainties</w:t>
      </w:r>
    </w:p>
    <w:p>
      <w:pPr>
        <w:spacing w:after="0" w:line="268"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We continue to be impacted by macroeconomic challenges, including inflationary pressures and shifts in trade policies, which have affected our operations in the past and may continue to do so in the future. These challenges drive cost fluctuations in key areas such as fruit procurement, labor, corrugated and plastic packaging, and overall operating expenses. To manage these pressures, we implement various strategies, including adjusting selling prices and optimizing global sourcing strategies. We anticipate that inflationary and other cost pressures will persist in fiscal 2025 and there is no assurance that we will be able to fully offset these cost increases.</w:t>
      </w:r>
    </w:p>
    <w:p>
      <w:pPr>
        <w:spacing w:after="0" w:line="214"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In addition, ongoing uncertainty regarding potential tariff increases on imported products, particularly from Mexico, as well as possible retaliatory measures by other countries, could negatively impact our business. On February 2, 2025, the U.S. government proposed tariffs of up to 25% on imports from certain countries, including Mexico and Canada, and implemented additional tariffs on imports from China. These tariffs were subsequently paused. From March 4 to March 6, 2025, however, a 25% tariff on goods from Mexico was briefly enacted before being halted. As of the date of this report, another round of potential reciprocal tariffs could take effect on April 2, 2025, impacting multiple countries. In response, certain countries have indicated they may impose retaliatory tariffs on U.S. exports.</w:t>
      </w:r>
    </w:p>
    <w:p>
      <w:pPr>
        <w:spacing w:after="0" w:line="229"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At this time, the extent to which these tariffs will apply to our imports of fresh fruit and prepared food products from Mexico remains uncertain. Since a significant portion of our fruit is sourced from Mexico, any new or increased tariffs, trade sanctions, or changes in U.S. trade policy could result in higher fruit costs. If we are unable to pass on these additional costs to our customers, effectively manage grower payments, and/or implement other mitigation strategies, our financial performance could be negatively affected.</w:t>
      </w:r>
    </w:p>
    <w:p>
      <w:pPr>
        <w:spacing w:after="0" w:line="224"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Although tariffs on imports from Mexico introduce additional costs, we do not currently expect them to have a material impact on our long-term profitability. Given the evolving nature of trade policies and recent short-term financial impacts, we will continue to assess the situation, adjust our sourcing and pricing strategies as needed, and take proactive measures to mitigate potential challenges.</w:t>
      </w:r>
    </w:p>
    <w:p>
      <w:pPr>
        <w:spacing w:after="0" w:line="207" w:lineRule="exact"/>
        <w:rPr>
          <w:sz w:val="20"/>
          <w:szCs w:val="20"/>
          <w:color w:val="auto"/>
        </w:rPr>
      </w:pPr>
    </w:p>
    <w:p>
      <w:pPr>
        <w:ind w:left="40" w:right="659" w:firstLine="259"/>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risk factor entitled “Tariffs on Imported Goods Could Materially Impact Our Business, Financial Condition, and Results of Operations” in Part II, Item 1A. Risk Factors.</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68"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During our first fiscal quarter of 2025, one of our Mexican packinghouses temporarily paused its operations due to the detection of a small number of avocado weevils in a pre-production area. After completing remedial measures, including those described below, the affected packinghouse was re-certified by the relevant authorities and resumed normal operations. A severe outbreak of the avocado weevil in the future, however, could result in reduced avocado supply and higher procurement costs, impacting our ability to meet consumer demand and maintain product quality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standards. Any sustained disruption caused by this pest could materially and adversely affect our business, financial condition, and results of operations.</w:t>
      </w:r>
    </w:p>
    <w:p>
      <w:pPr>
        <w:spacing w:after="0" w:line="202" w:lineRule="exact"/>
        <w:rPr>
          <w:sz w:val="20"/>
          <w:szCs w:val="20"/>
          <w:color w:val="auto"/>
        </w:rPr>
      </w:pPr>
    </w:p>
    <w:p>
      <w:pPr>
        <w:jc w:val="both"/>
        <w:ind w:left="40" w:right="419" w:firstLine="259"/>
        <w:spacing w:after="0" w:line="261" w:lineRule="auto"/>
        <w:rPr>
          <w:sz w:val="20"/>
          <w:szCs w:val="20"/>
          <w:color w:val="auto"/>
        </w:rPr>
      </w:pPr>
      <w:r>
        <w:rPr>
          <w:rFonts w:ascii="Times New Roman" w:cs="Times New Roman" w:eastAsia="Times New Roman" w:hAnsi="Times New Roman"/>
          <w:sz w:val="18"/>
          <w:szCs w:val="18"/>
          <w:color w:val="auto"/>
        </w:rPr>
        <w:t>Regulatory responses, such as quarantine measures or restrictions on avocado imports from affected regions, could further disrupt our supply chain, limit our sourcing options, and reduce the volume of avocados available for sale. The implementation of such measures may also increase logistical complexities, delay shipments, and introduce additional compliance costs.</w:t>
      </w:r>
    </w:p>
    <w:p>
      <w:pPr>
        <w:spacing w:after="0" w:line="207"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risk factor entitled “The Spread of the Avocado Weevils Could Disrupt Our Supply Chain and Adversely Impact Our Business” in Part II, Item 1A. Risk Factors.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70"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months ended January 31, 2025, as compared to those disclosed in the “Management’s Discussion and Analysis of Financial Condition and Results of Operations—Critical Accounting Estimates” in our Annual Report on Form 10-K for our fiscal year ended October 31,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3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the three months ended January 31,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8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612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8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$ 139,795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$ 113,026</w:t>
            </w:r>
          </w:p>
        </w:tc>
        <w:tc>
          <w:tcPr>
            <w:tcW w:w="28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280" w:type="dxa"/>
            <w:vAlign w:val="bottom"/>
            <w:shd w:val="clear" w:color="auto" w:fill="CCEEFF"/>
          </w:tcPr>
          <w:p>
            <w:pPr>
              <w:spacing w:after="0"/>
              <w:rPr>
                <w:sz w:val="18"/>
                <w:szCs w:val="18"/>
                <w:color w:val="auto"/>
              </w:rPr>
            </w:pPr>
          </w:p>
        </w:tc>
      </w:tr>
      <w:tr>
        <w:trPr>
          <w:trHeight w:val="249"/>
        </w:trPr>
        <w:tc>
          <w:tcPr>
            <w:tcW w:w="6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$ 154,385</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$ 127,606</w:t>
            </w:r>
          </w:p>
        </w:tc>
        <w:tc>
          <w:tcPr>
            <w:tcW w:w="280" w:type="dxa"/>
            <w:vAlign w:val="bottom"/>
            <w:tcBorders>
              <w:bottom w:val="single" w:sz="8" w:color="CCEEFF"/>
            </w:tcBorders>
          </w:tcPr>
          <w:p>
            <w:pPr>
              <w:spacing w:after="0"/>
              <w:rPr>
                <w:sz w:val="21"/>
                <w:szCs w:val="21"/>
                <w:color w:val="auto"/>
              </w:rPr>
            </w:pPr>
          </w:p>
        </w:tc>
      </w:tr>
      <w:tr>
        <w:trPr>
          <w:trHeight w:val="197"/>
        </w:trPr>
        <w:tc>
          <w:tcPr>
            <w:tcW w:w="6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90.5 %</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88.6 %</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9.5 %</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11.4 %</w:t>
            </w:r>
          </w:p>
        </w:tc>
      </w:tr>
      <w:tr>
        <w:trPr>
          <w:trHeight w:val="209"/>
        </w:trPr>
        <w:tc>
          <w:tcPr>
            <w:tcW w:w="6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37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January 31, 2025, increased by $26.8 million, or 21.0%, compared to the same period in fiscal 2024, reaching $154.4 million. This growth was driven by a 23.7% increase in Fresh segment sales, primarily due to higher avocado pricing, while Prepared segment sales remained stable year-over-year.</w:t>
      </w:r>
    </w:p>
    <w:p>
      <w:pPr>
        <w:spacing w:after="0" w:line="176" w:lineRule="exact"/>
        <w:rPr>
          <w:sz w:val="20"/>
          <w:szCs w:val="20"/>
          <w:color w:val="auto"/>
        </w:rPr>
      </w:pPr>
    </w:p>
    <w:p>
      <w:pPr>
        <w:ind w:left="40" w:right="279" w:firstLine="259"/>
        <w:spacing w:after="0" w:line="257" w:lineRule="auto"/>
        <w:rPr>
          <w:sz w:val="20"/>
          <w:szCs w:val="20"/>
          <w:color w:val="auto"/>
        </w:rPr>
      </w:pPr>
      <w:r>
        <w:rPr>
          <w:rFonts w:ascii="Times New Roman" w:cs="Times New Roman" w:eastAsia="Times New Roman" w:hAnsi="Times New Roman"/>
          <w:sz w:val="18"/>
          <w:szCs w:val="18"/>
          <w:color w:val="auto"/>
        </w:rPr>
        <w:t>We remain focused on expanding grower partnerships and strengthening relationships with retail and foodservice customers to support long-term net sales growth across both segments. Our Fresh and Prepared businesses are subject to seasonal trends, which may impact the volume and quality of raw materials sourced in any given quarter.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Quarter 2025 vs. First Quarter 2024</w:t>
      </w:r>
    </w:p>
    <w:p>
      <w:pPr>
        <w:spacing w:after="0" w:line="225"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Fresh segment increased by approximately $26.8 million, or 23.7%, for the first quarter of fiscal 2025 compared to the corresponding period in fiscal 2024. The increase was primarily driven by higher avocado and tomato sales.</w:t>
      </w:r>
    </w:p>
    <w:p>
      <w:pPr>
        <w:spacing w:after="0" w:line="176" w:lineRule="exact"/>
        <w:rPr>
          <w:sz w:val="20"/>
          <w:szCs w:val="20"/>
          <w:color w:val="auto"/>
        </w:rPr>
      </w:pPr>
    </w:p>
    <w:p>
      <w:pPr>
        <w:ind w:left="720" w:right="99" w:hanging="325"/>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sales increased by $24.3 million, or 24.5%, compared to the prior-year period. This was primarily due to a 30.5% increase in the average sales price per carton, reflecting strong demand, partially offset by a 4.6% decline in carton volume. The decline in volume is primarily attributable to smaller sizes harvested in Mexico, resulting in a smaller overall crop during the period.</w:t>
      </w:r>
    </w:p>
    <w:p>
      <w:pPr>
        <w:spacing w:after="0" w:line="2" w:lineRule="exact"/>
        <w:rPr>
          <w:rFonts w:ascii="Times New Roman" w:cs="Times New Roman" w:eastAsia="Times New Roman" w:hAnsi="Times New Roman"/>
          <w:sz w:val="18"/>
          <w:szCs w:val="18"/>
          <w:color w:val="auto"/>
        </w:rPr>
      </w:pPr>
    </w:p>
    <w:p>
      <w:pPr>
        <w:ind w:left="720" w:right="119" w:hanging="325"/>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sales increased by $2.4 million, or 22.4%, compared to the prior-year period. This increase was driven by a 7.7% increase in carton volume, coupled with a 13.7% rise in the average sales price per carton.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Quarter 2025 vs. First Quarter 2024</w:t>
      </w:r>
    </w:p>
    <w:p>
      <w:pPr>
        <w:spacing w:after="0" w:line="225" w:lineRule="exact"/>
        <w:rPr>
          <w:sz w:val="20"/>
          <w:szCs w:val="20"/>
          <w:color w:val="auto"/>
        </w:rPr>
      </w:pPr>
    </w:p>
    <w:p>
      <w:pPr>
        <w:ind w:left="40" w:right="159" w:firstLine="259"/>
        <w:spacing w:after="0" w:line="256" w:lineRule="auto"/>
        <w:rPr>
          <w:sz w:val="20"/>
          <w:szCs w:val="20"/>
          <w:color w:val="auto"/>
        </w:rPr>
      </w:pPr>
      <w:r>
        <w:rPr>
          <w:rFonts w:ascii="Times New Roman" w:cs="Times New Roman" w:eastAsia="Times New Roman" w:hAnsi="Times New Roman"/>
          <w:sz w:val="18"/>
          <w:szCs w:val="18"/>
          <w:color w:val="auto"/>
        </w:rPr>
        <w:t>Net sales for the Prepared segment increased by less than $0.1 million for the three months ended January 31, 2025, compared to the corresponding period in fiscal 2024. While volume increased by 7.3%, the impact was offset by a change in sales mix, resulting in a 6.8% decline in the average sales price per pound. The introduction of our new line of avocado squeeze pouches has contributed approximately 2% to Prepared segment sales during the first quarter of 2025. While the impact on overall sales was not significant during this period, we anticipate that this product will become a meaningful driver of revenue growth in future quarters.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months ended January 31, 2025, and 2024:</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6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626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r>
      <w:tr>
        <w:trPr>
          <w:trHeight w:val="291"/>
        </w:trPr>
        <w:tc>
          <w:tcPr>
            <w:tcW w:w="62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$ 12,137</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300" w:type="dxa"/>
            <w:vAlign w:val="bottom"/>
          </w:tcPr>
          <w:p>
            <w:pPr>
              <w:spacing w:after="0"/>
              <w:rPr>
                <w:sz w:val="18"/>
                <w:szCs w:val="18"/>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300" w:type="dxa"/>
            <w:vAlign w:val="bottom"/>
            <w:shd w:val="clear" w:color="auto" w:fill="CCEEFF"/>
          </w:tcPr>
          <w:p>
            <w:pPr>
              <w:spacing w:after="0"/>
              <w:rPr>
                <w:sz w:val="18"/>
                <w:szCs w:val="18"/>
                <w:color w:val="auto"/>
              </w:rPr>
            </w:pPr>
          </w:p>
        </w:tc>
      </w:tr>
      <w:tr>
        <w:trPr>
          <w:trHeight w:val="250"/>
        </w:trPr>
        <w:tc>
          <w:tcPr>
            <w:tcW w:w="6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$ 15,728</w:t>
            </w:r>
          </w:p>
        </w:tc>
        <w:tc>
          <w:tcPr>
            <w:tcW w:w="9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300" w:type="dxa"/>
            <w:vAlign w:val="bottom"/>
            <w:tcBorders>
              <w:bottom w:val="single" w:sz="8" w:color="CCEEFF"/>
            </w:tcBorders>
          </w:tcPr>
          <w:p>
            <w:pPr>
              <w:spacing w:after="0"/>
              <w:rPr>
                <w:sz w:val="21"/>
                <w:szCs w:val="21"/>
                <w:color w:val="auto"/>
              </w:rPr>
            </w:pPr>
          </w:p>
        </w:tc>
      </w:tr>
      <w:tr>
        <w:trPr>
          <w:trHeight w:val="196"/>
        </w:trPr>
        <w:tc>
          <w:tcPr>
            <w:tcW w:w="6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3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Fresh</w:t>
            </w:r>
          </w:p>
        </w:tc>
        <w:tc>
          <w:tcPr>
            <w:tcW w:w="34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8.7 %</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3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24.6 %</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29.7 %</w:t>
            </w: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34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10.2 %</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primarily of ingredient costs (including fruit and other food products), packing materials, freight and handling, labor, and overhead (including depreciation) associated with packing, distributing, and/or preparing food products, as well as other direct expenses related to products sold.</w:t>
      </w:r>
    </w:p>
    <w:p>
      <w:pPr>
        <w:spacing w:after="0" w:line="176" w:lineRule="exact"/>
        <w:rPr>
          <w:sz w:val="20"/>
          <w:szCs w:val="20"/>
          <w:color w:val="auto"/>
        </w:rPr>
      </w:pPr>
    </w:p>
    <w:p>
      <w:pPr>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Gross profit increased by approximately $5.0 million, or 46.2%, for the first quarter of fiscal 2025 compared to the corresponding period in fiscal 2024. This increase was primarily driven by strong margin expansion in the Fresh segment, where gross profit rose by 88.8% year-over-year.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auto"/>
        </w:rPr>
        <w:t>The increase in our Fresh products gross profit for the three months ended January 31, 2025, was primarily driven by higher gross profit for avocados and tomatoes.</w:t>
      </w:r>
    </w:p>
    <w:p>
      <w:pPr>
        <w:spacing w:after="0" w:line="162" w:lineRule="exact"/>
        <w:rPr>
          <w:sz w:val="20"/>
          <w:szCs w:val="20"/>
          <w:color w:val="auto"/>
        </w:rPr>
      </w:pPr>
    </w:p>
    <w:p>
      <w:pPr>
        <w:ind w:left="720" w:right="139" w:hanging="325"/>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fiscal 2025, avocado gross profit increased by approximately $5.1 million, or 82.0%. This was driven by a 30.5% increase in the average sales price per carton, coupled with lower fruit costs, resulting in a significant improvement in gross margins. These pricing and sourcing strategies more than offset a 4.6% decline in volume.</w:t>
      </w:r>
    </w:p>
    <w:p>
      <w:pPr>
        <w:spacing w:after="0" w:line="2" w:lineRule="exact"/>
        <w:rPr>
          <w:rFonts w:ascii="Times New Roman" w:cs="Times New Roman" w:eastAsia="Times New Roman" w:hAnsi="Times New Roman"/>
          <w:sz w:val="18"/>
          <w:szCs w:val="18"/>
          <w:color w:val="auto"/>
        </w:rPr>
      </w:pPr>
    </w:p>
    <w:p>
      <w:pPr>
        <w:ind w:left="720" w:right="259" w:hanging="325"/>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Tomato gross profit increased by approximately $0.8 million, or 522.9%. This was driven by a 7.7% increase in volume and a 13.7% increase in the average sales price per carton.</w:t>
      </w:r>
    </w:p>
    <w:p>
      <w:pPr>
        <w:ind w:left="720" w:right="299" w:hanging="325"/>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fiscal 2025, the gross profit percentage for avocados was 9.1%, compared to 6.2% in the first quarter of 2024, reflecting a favorable combination of higher sales prices and lower fruit costs.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Guacamole products gross profit percentage for the three months ended January 31, 2025, was 24.6%, compared to 29.7% in the prior-year period. The decrease in gross profit percentage was primarily due to higher raw fruit costs, which impacted overall margins.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3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5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r>
      <w:tr>
        <w:trPr>
          <w:trHeight w:val="128"/>
        </w:trPr>
        <w:tc>
          <w:tcPr>
            <w:tcW w:w="5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20" w:type="dxa"/>
            <w:vAlign w:val="bottom"/>
            <w:gridSpan w:val="4"/>
          </w:tcPr>
          <w:p>
            <w:pPr>
              <w:jc w:val="right"/>
              <w:ind w:right="43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1"/>
                <w:szCs w:val="1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$ 10,287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$ 13,463</w:t>
            </w:r>
          </w:p>
        </w:tc>
        <w:tc>
          <w:tcPr>
            <w:tcW w:w="580" w:type="dxa"/>
            <w:vAlign w:val="bottom"/>
            <w:shd w:val="clear" w:color="auto" w:fill="CCEEFF"/>
          </w:tcPr>
          <w:p>
            <w:pPr>
              <w:spacing w:after="0"/>
              <w:rPr>
                <w:sz w:val="18"/>
                <w:szCs w:val="18"/>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6.7 %</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17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totaled $10.3 million for the three months ended January 31, 2025. These expenses include marketing and advertising costs, sales expenses (including broker commissions), and other general and administrative costs.</w:t>
      </w:r>
    </w:p>
    <w:p>
      <w:pPr>
        <w:spacing w:after="0" w:line="176" w:lineRule="exact"/>
        <w:rPr>
          <w:sz w:val="20"/>
          <w:szCs w:val="20"/>
          <w:color w:val="auto"/>
        </w:rPr>
      </w:pPr>
    </w:p>
    <w:p>
      <w:pPr>
        <w:ind w:left="40" w:right="359" w:firstLine="259"/>
        <w:spacing w:after="0" w:line="261" w:lineRule="auto"/>
        <w:rPr>
          <w:sz w:val="20"/>
          <w:szCs w:val="20"/>
          <w:color w:val="auto"/>
        </w:rPr>
      </w:pPr>
      <w:r>
        <w:rPr>
          <w:rFonts w:ascii="Times New Roman" w:cs="Times New Roman" w:eastAsia="Times New Roman" w:hAnsi="Times New Roman"/>
          <w:sz w:val="18"/>
          <w:szCs w:val="18"/>
          <w:color w:val="auto"/>
        </w:rPr>
        <w:t>SG&amp;A expenses decreased by $3.2 million, or 23.6%, compared to the prior year period. This decline was primarily due to the following:</w:t>
      </w: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reduction in compensation expenses, driven by lower headcount.</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decrease in professional and consulting fees, primarily related to lower legal costs.</w:t>
      </w:r>
    </w:p>
    <w:p>
      <w:pPr>
        <w:spacing w:after="0" w:line="9"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reduction in stock-based compensation, mainly related to the CEO's compensation structure.</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4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4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5"/>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780" w:type="dxa"/>
            <w:vAlign w:val="bottom"/>
          </w:tcPr>
          <w:p>
            <w:pPr>
              <w:spacing w:after="0"/>
              <w:rPr>
                <w:sz w:val="11"/>
                <w:szCs w:val="1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(962)</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8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$ 1,708</w:t>
            </w:r>
          </w:p>
        </w:tc>
      </w:tr>
    </w:tbl>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remeasured into U.S. dollars at exchange rates as of the balance sheet date and non-monetary assets, liabilities and equity are remeasured at historical rates. Sales and expenses are remeasured using a weighted-average exchange rate for the period.</w:t>
      </w:r>
    </w:p>
    <w:p>
      <w:pPr>
        <w:spacing w:after="0" w:line="183"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Due to the change in the Mexican peso to the U.S. dollar exchange rates, foreign currency remeasurement losses, net of gains, for the three months ended January 31, 2025, were $1.0 million. Foreign currency remeasurement gains, net of losses, for the three months ended January 31, 2024, were $1.7 million.</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720" w:type="dxa"/>
            <w:vAlign w:val="bottom"/>
            <w:tcBorders>
              <w:bottom w:val="single" w:sz="8" w:color="auto"/>
            </w:tcBorders>
            <w:gridSpan w:val="6"/>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r>
      <w:tr>
        <w:trPr>
          <w:trHeight w:val="142"/>
        </w:trPr>
        <w:tc>
          <w:tcPr>
            <w:tcW w:w="6200" w:type="dxa"/>
            <w:vAlign w:val="bottom"/>
          </w:tcPr>
          <w:p>
            <w:pPr>
              <w:spacing w:after="0"/>
              <w:rPr>
                <w:sz w:val="12"/>
                <w:szCs w:val="12"/>
                <w:color w:val="auto"/>
              </w:rPr>
            </w:pPr>
          </w:p>
        </w:tc>
        <w:tc>
          <w:tcPr>
            <w:tcW w:w="6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8"/>
        </w:trPr>
        <w:tc>
          <w:tcPr>
            <w:tcW w:w="6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780" w:type="dxa"/>
            <w:vAlign w:val="bottom"/>
          </w:tcPr>
          <w:p>
            <w:pPr>
              <w:spacing w:after="0"/>
              <w:rPr>
                <w:sz w:val="11"/>
                <w:szCs w:val="1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unconsolidated entities</w:t>
            </w:r>
          </w:p>
        </w:tc>
        <w:tc>
          <w:tcPr>
            <w:tcW w:w="6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98"/>
              </w:rPr>
              <w:t>$ 862</w:t>
            </w:r>
          </w:p>
        </w:tc>
        <w:tc>
          <w:tcPr>
            <w:tcW w:w="134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86,100 %</w:t>
            </w:r>
          </w:p>
        </w:tc>
        <w:tc>
          <w:tcPr>
            <w:tcW w:w="7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97"/>
              </w:rPr>
              <w:t>$ 1</w:t>
            </w:r>
          </w:p>
        </w:tc>
      </w:tr>
    </w:tbl>
    <w:p>
      <w:pPr>
        <w:spacing w:after="0" w:line="198" w:lineRule="exact"/>
        <w:rPr>
          <w:sz w:val="20"/>
          <w:szCs w:val="20"/>
          <w:color w:val="auto"/>
        </w:rPr>
      </w:pPr>
    </w:p>
    <w:p>
      <w:pPr>
        <w:jc w:val="both"/>
        <w:ind w:left="40" w:right="559" w:firstLine="259"/>
        <w:spacing w:after="0" w:line="266" w:lineRule="auto"/>
        <w:rPr>
          <w:sz w:val="20"/>
          <w:szCs w:val="20"/>
          <w:color w:val="auto"/>
        </w:rPr>
      </w:pPr>
      <w:r>
        <w:rPr>
          <w:rFonts w:ascii="Times New Roman" w:cs="Times New Roman" w:eastAsia="Times New Roman" w:hAnsi="Times New Roman"/>
          <w:sz w:val="18"/>
          <w:szCs w:val="18"/>
          <w:color w:val="auto"/>
        </w:rPr>
        <w:t>Income from unconsolidated entities includes our participation in earnings or losses from our investments in Don Memo. For the three months ended January 31, 2025 and 2024 we realized income of $0.9 million and less than $0.1 million from Agricola Don Memo.</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4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7620</wp:posOffset>
            </wp:positionV>
            <wp:extent cx="14916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ind w:left="6500"/>
        <w:spacing w:after="0"/>
        <w:tabs>
          <w:tab w:leader="none" w:pos="7260" w:val="left"/>
          <w:tab w:leader="none" w:pos="81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u w:val="single" w:color="auto"/>
          <w:color w:val="auto"/>
        </w:rPr>
        <w:t>Change</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-3175</wp:posOffset>
            </wp:positionV>
            <wp:extent cx="411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-3175</wp:posOffset>
            </wp:positionV>
            <wp:extent cx="428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(1,255)</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119 %  $  (573)</w:t>
            </w: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3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26.0 %</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270"/>
        <w:spacing w:after="0" w:line="258" w:lineRule="auto"/>
        <w:rPr>
          <w:sz w:val="20"/>
          <w:szCs w:val="20"/>
          <w:color w:val="auto"/>
        </w:rPr>
      </w:pPr>
      <w:r>
        <w:rPr>
          <w:rFonts w:ascii="Times New Roman" w:cs="Times New Roman" w:eastAsia="Times New Roman" w:hAnsi="Times New Roman"/>
          <w:sz w:val="18"/>
          <w:szCs w:val="18"/>
          <w:color w:val="auto"/>
        </w:rPr>
        <w:t>The effective tax rates for the three months ended January 31, 2025 and January 31, 2024 were 26.0% and (28.6)%. The Company’s effective tax rate for the three months ended January 31, 2025 differs from the U.S. federal statutory rate of 21% due to the US state tax and foreign tax rate differential in Mexico. The Company’s effective tax rate for the three months ended January 31, 2024 differs from the U.S. federal statutory rate of 21% due to valuation allowances on domestic deferred tax assets that are not more likely than not to be realized, and foreign exchange losses in Mexico.</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$4.4 million for the three months ended January 31, 2025, compared to cash provided by operating activities of less than $0.1 million for the corresponding period in fiscal 2024. Cash used in operating activities for the three months ended January 31, 2025 reflects primarily our net income of $4.4 million, non-cash activities (depreciation and amortization, non-cash operating lease expense, stock-based compensation expense, income from unconsolidated entities, and loss on disposal of property, plant and equipment) of $1.3 million and a net effect of changes in operating assets and liabilities of $10.1 million.</w:t>
      </w:r>
    </w:p>
    <w:p>
      <w:pPr>
        <w:spacing w:after="0" w:line="187" w:lineRule="exact"/>
        <w:rPr>
          <w:sz w:val="20"/>
          <w:szCs w:val="20"/>
          <w:color w:val="auto"/>
        </w:rPr>
      </w:pPr>
    </w:p>
    <w:p>
      <w:pPr>
        <w:ind w:left="40" w:right="339" w:firstLine="259"/>
        <w:spacing w:after="0" w:line="258" w:lineRule="auto"/>
        <w:rPr>
          <w:sz w:val="20"/>
          <w:szCs w:val="20"/>
          <w:color w:val="auto"/>
        </w:rPr>
      </w:pPr>
      <w:r>
        <w:rPr>
          <w:rFonts w:ascii="Times New Roman" w:cs="Times New Roman" w:eastAsia="Times New Roman" w:hAnsi="Times New Roman"/>
          <w:sz w:val="18"/>
          <w:szCs w:val="18"/>
          <w:color w:val="auto"/>
        </w:rPr>
        <w:t>Changes in operating assets and liabilities included an increase in accounts receivable of $5.2 million, an increase in inventories of $5.7 million, an increase in prepaid expenses and other current assets of $1.5 million, a net decrease in accounts payable, accrued expenses and other liabilities of $0.5 million, and a decrease in payable to growers of $3.0 million offset by a decrease in other assets of $0.1 million, a decrease in advances to suppliers of $4.3 million, and a decrease in income tax payable of $1.4 million.</w:t>
      </w:r>
    </w:p>
    <w:p>
      <w:pPr>
        <w:spacing w:after="0" w:line="183"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The increase in our inventory as of January 31, 2025, compared to October 31, 2024, was primarily due to higher average fruit costs in inventory related to Mexican avocados. The increase in our accounts receivable is due to an increase in sales for the month of January 2025 compared to October 2024. The increase in payable to growers is mostly due to an increase in both average selling price and volume of tomatoes in January 2025 compared to October 2024. The increase in our prepaid and other current assets is primarily due increase in prepaid insurance premiums. The decrease in advances to suppliers is mainly due to pre-season advances being repaid through settlement to our tomato consignment growers.</w:t>
      </w:r>
    </w:p>
    <w:p>
      <w:pPr>
        <w:spacing w:after="0" w:line="187"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$0.3 million for the three months ended January 31, 2025, which related to purchases of property, plant, and equipment.</w:t>
      </w:r>
    </w:p>
    <w:p>
      <w:pPr>
        <w:spacing w:after="0" w:line="162"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$3.8 million for the three months ended January 31, 2025, which related principally to payments of $3.6 million in dividends, payments on long-term obligations of $0.2 million and the payment of minimum withholding of taxes on the net settling of shares of less than $0.1 million.</w:t>
      </w:r>
    </w:p>
    <w:p>
      <w:pPr>
        <w:spacing w:after="0" w:line="176"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credit facility. Cash and cash equivalents as of January 31, 2025, and October 31, 2024, totaled $48.5 million and $57.0 million. Our working capital at January 31, 2025 was $87.4 million, compared to $85.4 million at October 31, 2024.</w:t>
      </w:r>
    </w:p>
    <w:p>
      <w:pPr>
        <w:spacing w:after="0" w:line="180"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We believe that our cash balance, cash flows from operations, availability under our credit facility, and other sources will be sufficient to satisfy our future capital expenditures, grower recruitment efforts, working capital and other financing requirements for the foreseeable future.</w:t>
      </w:r>
    </w:p>
    <w:p>
      <w:pPr>
        <w:spacing w:after="0" w:line="176" w:lineRule="exact"/>
        <w:rPr>
          <w:sz w:val="20"/>
          <w:szCs w:val="20"/>
          <w:color w:val="auto"/>
        </w:rPr>
      </w:pPr>
    </w:p>
    <w:p>
      <w:pPr>
        <w:ind w:left="40" w:right="79" w:firstLine="259"/>
        <w:spacing w:after="0" w:line="289" w:lineRule="auto"/>
        <w:rPr>
          <w:sz w:val="20"/>
          <w:szCs w:val="20"/>
          <w:color w:val="auto"/>
        </w:rPr>
      </w:pPr>
      <w:r>
        <w:rPr>
          <w:rFonts w:ascii="Times New Roman" w:cs="Times New Roman" w:eastAsia="Times New Roman" w:hAnsi="Times New Roman"/>
          <w:sz w:val="17"/>
          <w:szCs w:val="17"/>
          <w:color w:val="auto"/>
        </w:rPr>
        <w:t>On June 26, 2023, we entered into a credit agreement (the “Credit Agreement”) with Wells Fargo Bank, National Association, as agent and lender (“Agent” or “Wells Fargo”). The Credit Agreement provided for a revolving credit facility (the “Revolving Loans”) of up to $90.0 million, along with a capex credit facility of up to $10.0 million (the “Term Loan”).</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August 15, 2024, we entered into a First Amendment to Credit Agreement and Consent with Wells Fargo whereby</w:t>
      </w:r>
    </w:p>
    <w:p>
      <w:pPr>
        <w:spacing w:after="0" w:line="27" w:lineRule="exact"/>
        <w:rPr>
          <w:sz w:val="20"/>
          <w:szCs w:val="20"/>
          <w:color w:val="auto"/>
        </w:rPr>
      </w:pPr>
    </w:p>
    <w:p>
      <w:pPr>
        <w:ind w:left="40" w:right="599" w:firstLine="4"/>
        <w:spacing w:after="0" w:line="290" w:lineRule="auto"/>
        <w:tabs>
          <w:tab w:leader="none" w:pos="2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Agreement was amended to reduce the revolving commitments thereunder from $90.0 million to $75.0 million, among other minor adjustments to align the borrowing base with our asset base excluding the Fresh Cut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spacing w:after="0" w:line="282" w:lineRule="auto"/>
        <w:rPr>
          <w:sz w:val="20"/>
          <w:szCs w:val="20"/>
          <w:color w:val="auto"/>
        </w:rPr>
      </w:pPr>
      <w:r>
        <w:rPr>
          <w:rFonts w:ascii="Times New Roman" w:cs="Times New Roman" w:eastAsia="Times New Roman" w:hAnsi="Times New Roman"/>
          <w:sz w:val="18"/>
          <w:szCs w:val="18"/>
          <w:color w:val="auto"/>
        </w:rPr>
        <w:t>segment; and (ii) we obtained consent from Agent for entry into the Asset Purchase Agreement and Purchase and Sale Agreement.</w:t>
      </w:r>
    </w:p>
    <w:p>
      <w:pPr>
        <w:spacing w:after="0" w:line="162" w:lineRule="exact"/>
        <w:rPr>
          <w:sz w:val="20"/>
          <w:szCs w:val="20"/>
          <w:color w:val="auto"/>
        </w:rPr>
      </w:pPr>
    </w:p>
    <w:p>
      <w:pPr>
        <w:ind w:left="40" w:right="31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are subject to a borrowing base calculation that includes a certain percentage of eligible accounts receivable, inventory and equipment, less any reserves implemented by Agent in its permitted discretion; provided that the equipment-based portion of such borrowing base calculation reduces monthly according to scheduled amortization.</w:t>
      </w:r>
    </w:p>
    <w:p>
      <w:pPr>
        <w:spacing w:after="0" w:line="180" w:lineRule="exact"/>
        <w:rPr>
          <w:sz w:val="20"/>
          <w:szCs w:val="20"/>
          <w:color w:val="auto"/>
        </w:rPr>
      </w:pPr>
    </w:p>
    <w:p>
      <w:pPr>
        <w:ind w:left="40" w:right="159" w:firstLine="259"/>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our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w:t>
      </w:r>
    </w:p>
    <w:p>
      <w:pPr>
        <w:spacing w:after="0" w:line="183"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As of January 31, 2025, we were in compliance with the financial covenants. As of January 31, 2025, approximately $48.3 million was available for borrowing, based on our borrowing base calculation discussed above.</w:t>
      </w:r>
    </w:p>
    <w:p>
      <w:pPr>
        <w:spacing w:after="0" w:line="162"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8.2% at January 31, 2025. Under the credit facility, there were no amounts outstanding related to the Revolving Loans and Term Loan as of January 31, 2025.</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2024.</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left="40" w:right="519" w:firstLine="25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in market risk from the information provided in </w:t>
      </w:r>
      <w:r>
        <w:rPr>
          <w:rFonts w:ascii="Times New Roman" w:cs="Times New Roman" w:eastAsia="Times New Roman" w:hAnsi="Times New Roman"/>
          <w:sz w:val="18"/>
          <w:szCs w:val="18"/>
          <w:i w:val="1"/>
          <w:iCs w:val="1"/>
          <w:color w:val="auto"/>
        </w:rPr>
        <w:t>Item 7A. 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of our Annual Report on Form 10-K for the year ended October 31, 2024.</w:t>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0" w:lineRule="exact"/>
        <w:rPr>
          <w:sz w:val="20"/>
          <w:szCs w:val="20"/>
          <w:color w:val="auto"/>
        </w:rPr>
      </w:pPr>
    </w:p>
    <w:p>
      <w:pPr>
        <w:ind w:left="40" w:right="179" w:firstLine="259"/>
        <w:spacing w:after="0" w:line="25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the Chief Executive Officer and Chief Financial Officer, of the effectiveness of the design and operation of our disclosure controls and procedures as of January 31, 2025. Based upon this evaluation, our Chief Executive Officer and Chief Financial Officer concluded that our disclosure controls and procedures were effective as of such date to ensure that information required to be disclosed in the reports we file or submit under the Securities Exchange Act of 1934 is recorded, processed, summarized, and reported within the time periods specified in the Securities and Exchange Commission rules and forms.</w:t>
      </w:r>
    </w:p>
    <w:p>
      <w:pPr>
        <w:spacing w:after="0" w:line="214"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Except as set forth below, there were no changes in the Company’s internal control over financial reporting during the quarter ended January 31, 2025 that have materially affected, or are reasonably likely to materially affect, the Company’s internal control over financial reporting. During the first quarter of fiscal 2025, we had changes in our management structure, including the departure of our Chief Financial Officer. These changes resulted in material changes in our internal control over financial reporting as their responsibilities shifted to other personnel. Considering these changes, as noted above, our principal executive officer and principal financial officer concluded that our disclosure controls and procedures were effective.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Please refer to Note 6 to the unaudited condensed consolidated financial statements included in this Quarterly Report for further information.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The risk factors, set forth below, update the risk factors in Part I, Item 1A “Risk Factors” of our Annual Report on Form 10-K for the year ended October 31, 2024. In addition to the risk factors below, you should carefully consider the risk factors discussed in our most recent Form 10-K report, which could materially affect our business, financial position, results of operations, and the trading price of our common stock. The risks and uncertainties that we face are not limited to those set forth below and/or in the 2024 Form 10-K. Additional risks and uncertainties not presently known to us or that we currently believe to be immaterial may also adversely affect our business and the trading price of our common stock.</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Tariffs on Imported Goods Could Materially Impact Our Business, Financial Condition, and Results of Operations</w:t>
      </w:r>
    </w:p>
    <w:p>
      <w:pPr>
        <w:spacing w:after="0" w:line="189" w:lineRule="exact"/>
        <w:rPr>
          <w:sz w:val="20"/>
          <w:szCs w:val="20"/>
          <w:color w:val="auto"/>
        </w:rPr>
      </w:pPr>
    </w:p>
    <w:p>
      <w:pPr>
        <w:ind w:left="40" w:right="159" w:firstLine="324"/>
        <w:spacing w:after="0" w:line="297" w:lineRule="auto"/>
        <w:rPr>
          <w:sz w:val="20"/>
          <w:szCs w:val="20"/>
          <w:color w:val="auto"/>
        </w:rPr>
      </w:pPr>
      <w:r>
        <w:rPr>
          <w:rFonts w:ascii="Times New Roman" w:cs="Times New Roman" w:eastAsia="Times New Roman" w:hAnsi="Times New Roman"/>
          <w:sz w:val="18"/>
          <w:szCs w:val="18"/>
          <w:color w:val="auto"/>
        </w:rPr>
        <w:t>The U.S. government has in the past imposed, and may in the future impose, tariffs on imported agricultural products, including avocados, tomatoes and guacamole, which could significantly impact our costs and profitability. If tariffs or other trade restrictions are enacted, reimposed, or increased on produce imported from Mexico or other key sourcing regions, the price we pay for raw materials could rise sharply, increasing our cost of goods sold and reducing our margins.</w:t>
      </w:r>
    </w:p>
    <w:p>
      <w:pPr>
        <w:spacing w:after="0" w:line="109" w:lineRule="exact"/>
        <w:rPr>
          <w:sz w:val="20"/>
          <w:szCs w:val="20"/>
          <w:color w:val="auto"/>
        </w:rPr>
      </w:pPr>
    </w:p>
    <w:p>
      <w:pPr>
        <w:ind w:left="40" w:right="439" w:firstLine="324"/>
        <w:spacing w:after="0" w:line="293" w:lineRule="auto"/>
        <w:rPr>
          <w:sz w:val="20"/>
          <w:szCs w:val="20"/>
          <w:color w:val="auto"/>
        </w:rPr>
      </w:pPr>
      <w:r>
        <w:rPr>
          <w:rFonts w:ascii="Times New Roman" w:cs="Times New Roman" w:eastAsia="Times New Roman" w:hAnsi="Times New Roman"/>
          <w:sz w:val="18"/>
          <w:szCs w:val="18"/>
          <w:color w:val="auto"/>
        </w:rPr>
        <w:t>Additionally, tariffs could impact supply chain reliability, disrupt established sourcing strategies, and result in increased operational complexity. Higher costs due to tariffs will generally lead to price increases for our products, potentially reducing consumer demand and impacting our competitive position in the market. Furthermore, retaliatory tariffs or trade restrictions from foreign governments could adversely affect our ability to export products and expand internationally.</w:t>
      </w:r>
    </w:p>
    <w:p>
      <w:pPr>
        <w:spacing w:after="0" w:line="87"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The uncertainty surrounding trade policies and international relations may lead to volatility in the pricing and availability of fresh produce, which could have a material adverse effect on our business, financial condition, and results of operations.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Spread of the Avocado Seed Weevil Could Disrupt Our Supply Chain and Adversely Impact Our Business</w:t>
      </w:r>
    </w:p>
    <w:p>
      <w:pPr>
        <w:spacing w:after="0" w:line="189" w:lineRule="exact"/>
        <w:rPr>
          <w:sz w:val="20"/>
          <w:szCs w:val="20"/>
          <w:color w:val="auto"/>
        </w:rPr>
      </w:pPr>
    </w:p>
    <w:p>
      <w:pPr>
        <w:ind w:left="40" w:right="59" w:firstLine="324"/>
        <w:spacing w:after="0" w:line="293" w:lineRule="auto"/>
        <w:rPr>
          <w:sz w:val="20"/>
          <w:szCs w:val="20"/>
          <w:color w:val="auto"/>
        </w:rPr>
      </w:pPr>
      <w:r>
        <w:rPr>
          <w:rFonts w:ascii="Times New Roman" w:cs="Times New Roman" w:eastAsia="Times New Roman" w:hAnsi="Times New Roman"/>
          <w:sz w:val="18"/>
          <w:szCs w:val="18"/>
          <w:color w:val="auto"/>
        </w:rPr>
        <w:t>The avocado seed weevil, an invasive pest, has been reported in Mexican avocado-producing regions, posing a significant threat to fruit quality and overall yield. During our first fiscal quarter of 2025, one of our packinghouses temporarily paused its operations due to the detection of a small number of avocado weevils in a pre-production area. After completing remedial measures, including those described below, the affected packinghouse was re-certified by the relevant authorities and resumed normal operations.</w:t>
      </w:r>
    </w:p>
    <w:p>
      <w:pPr>
        <w:spacing w:after="0" w:line="114" w:lineRule="exact"/>
        <w:rPr>
          <w:sz w:val="20"/>
          <w:szCs w:val="20"/>
          <w:color w:val="auto"/>
        </w:rPr>
      </w:pPr>
    </w:p>
    <w:p>
      <w:pPr>
        <w:ind w:left="40" w:right="319" w:firstLine="324"/>
        <w:spacing w:after="0" w:line="329" w:lineRule="auto"/>
        <w:rPr>
          <w:sz w:val="20"/>
          <w:szCs w:val="20"/>
          <w:color w:val="auto"/>
        </w:rPr>
      </w:pPr>
      <w:r>
        <w:rPr>
          <w:rFonts w:ascii="Times New Roman" w:cs="Times New Roman" w:eastAsia="Times New Roman" w:hAnsi="Times New Roman"/>
          <w:sz w:val="18"/>
          <w:szCs w:val="18"/>
          <w:color w:val="auto"/>
        </w:rPr>
        <w:t>In the future, an infestation of avocado weevils in key growing regions, could lead to increased crop losses, reduced availability of high-quality avocados, and higher costs associated with pest management and mitigation efforts.</w:t>
      </w:r>
    </w:p>
    <w:p>
      <w:pPr>
        <w:spacing w:after="0" w:line="67" w:lineRule="exact"/>
        <w:rPr>
          <w:sz w:val="20"/>
          <w:szCs w:val="20"/>
          <w:color w:val="auto"/>
        </w:rPr>
      </w:pPr>
    </w:p>
    <w:p>
      <w:pPr>
        <w:ind w:left="40" w:right="399" w:firstLine="324"/>
        <w:spacing w:after="0" w:line="297" w:lineRule="auto"/>
        <w:rPr>
          <w:sz w:val="20"/>
          <w:szCs w:val="20"/>
          <w:color w:val="auto"/>
        </w:rPr>
      </w:pPr>
      <w:r>
        <w:rPr>
          <w:rFonts w:ascii="Times New Roman" w:cs="Times New Roman" w:eastAsia="Times New Roman" w:hAnsi="Times New Roman"/>
          <w:sz w:val="18"/>
          <w:szCs w:val="18"/>
          <w:color w:val="auto"/>
        </w:rPr>
        <w:t>Regulatory responses, such as quarantine measures or restrictions on avocado imports from affected regions, could disrupt our supply chain, limit our sourcing options, and reduce the volume of avocados available for sale. The implementation of such measures may also increase logistical complexities, delay shipments, and introduce additional compliance costs.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A severe outbreak of the avocado seed weevil could result in reduced supply and higher procurement costs, ultimately impacting our ability to meet consumer demand and maintain product quality standards. Any sustained disruption caused by this pest could materially and adversely affect our business, financial condition, and results of operations.</w:t>
      </w:r>
    </w:p>
    <w:p>
      <w:pPr>
        <w:spacing w:after="0" w:line="176" w:lineRule="exact"/>
        <w:rPr>
          <w:sz w:val="20"/>
          <w:szCs w:val="20"/>
          <w:color w:val="auto"/>
        </w:rPr>
      </w:pPr>
    </w:p>
    <w:p>
      <w:pPr>
        <w:ind w:left="40" w:right="299" w:firstLine="324"/>
        <w:spacing w:after="0" w:line="261" w:lineRule="auto"/>
        <w:rPr>
          <w:sz w:val="20"/>
          <w:szCs w:val="20"/>
          <w:color w:val="auto"/>
        </w:rPr>
      </w:pPr>
      <w:r>
        <w:rPr>
          <w:rFonts w:ascii="Times New Roman" w:cs="Times New Roman" w:eastAsia="Times New Roman" w:hAnsi="Times New Roman"/>
          <w:sz w:val="18"/>
          <w:szCs w:val="18"/>
          <w:color w:val="auto"/>
        </w:rPr>
        <w:t>Further, Mexican avocado packinghouses must adhere to stringent regulations to prevent the contamination of avocados by pests such as the avocado seed weevil. These regulations are enforced by both Mexican authorities and the U.S. Department of Agriculture's Animal and Plant Health Inspection Service (APHIS) to ensure that exported avocados meet safety standards and do not introduce pests into the United States.​</w:t>
      </w:r>
    </w:p>
    <w:p>
      <w:pPr>
        <w:spacing w:after="0" w:line="193" w:lineRule="exact"/>
        <w:rPr>
          <w:sz w:val="20"/>
          <w:szCs w:val="20"/>
          <w:color w:val="auto"/>
        </w:rPr>
      </w:pPr>
    </w:p>
    <w:p>
      <w:pPr>
        <w:ind w:left="40" w:right="99" w:firstLine="324"/>
        <w:spacing w:after="0" w:line="293" w:lineRule="auto"/>
        <w:rPr>
          <w:sz w:val="20"/>
          <w:szCs w:val="20"/>
          <w:color w:val="auto"/>
        </w:rPr>
      </w:pPr>
      <w:r>
        <w:rPr>
          <w:rFonts w:ascii="Times New Roman" w:cs="Times New Roman" w:eastAsia="Times New Roman" w:hAnsi="Times New Roman"/>
          <w:sz w:val="18"/>
          <w:szCs w:val="18"/>
          <w:color w:val="auto"/>
        </w:rPr>
        <w:t>Among other requirements, orchards and packinghouses are subject to certification and registration by Mexican plant health authorities. Failure to comply with these regulatory requirements may result in immediate suspension of the orchard or packinghouse from the export program to the United States until such requirements are satisfied. Additionally, repeated failures to satisfy such requirements may result in Mexican authorities or APHIS reevaluating the effectiveness of existing pest management and inspection protocols, potentially leading to more stringent measures or restrictions.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29" w:lineRule="exact"/>
        <w:rPr>
          <w:sz w:val="20"/>
          <w:szCs w:val="20"/>
          <w:color w:val="auto"/>
        </w:rPr>
      </w:pPr>
    </w:p>
    <w:p>
      <w:pPr>
        <w:jc w:val="both"/>
        <w:ind w:left="40" w:right="79" w:firstLine="259"/>
        <w:spacing w:after="0" w:line="312" w:lineRule="auto"/>
        <w:rPr>
          <w:sz w:val="20"/>
          <w:szCs w:val="20"/>
          <w:color w:val="auto"/>
        </w:rPr>
      </w:pPr>
      <w:r>
        <w:rPr>
          <w:rFonts w:ascii="Times New Roman" w:cs="Times New Roman" w:eastAsia="Times New Roman" w:hAnsi="Times New Roman"/>
          <w:sz w:val="17"/>
          <w:szCs w:val="17"/>
          <w:color w:val="auto"/>
        </w:rPr>
        <w:t>During the quarter ended January 31, 2025, no director or officer of the Company adopted or terminated a “Rule 10b5-1 trading arrangement” or “non-Rule 10b5-1 trading arrangement,” as each term is defined in Item 408(a) of Regulation S-K.</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p>
      <w:pPr>
        <w:ind w:left="920"/>
        <w:spacing w:after="0"/>
        <w:tabs>
          <w:tab w:leader="none" w:pos="14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Offer Letter, dated June 2, 2023, between the Company and Michael Browne</w:t>
      </w:r>
    </w:p>
    <w:p>
      <w:pPr>
        <w:spacing w:after="0" w:line="225" w:lineRule="exact"/>
        <w:rPr>
          <w:sz w:val="20"/>
          <w:szCs w:val="20"/>
          <w:color w:val="auto"/>
        </w:rPr>
      </w:pPr>
    </w:p>
    <w:p>
      <w:pPr>
        <w:ind w:left="920"/>
        <w:spacing w:after="0"/>
        <w:tabs>
          <w:tab w:leader="none" w:pos="14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Offer Letter, dated May 16, 2023, between the Company and Ronald Araiza</w:t>
      </w:r>
    </w:p>
    <w:p>
      <w:pPr>
        <w:spacing w:after="0" w:line="225" w:lineRule="exact"/>
        <w:rPr>
          <w:sz w:val="20"/>
          <w:szCs w:val="20"/>
          <w:color w:val="auto"/>
        </w:rPr>
      </w:pPr>
    </w:p>
    <w:p>
      <w:pPr>
        <w:ind w:left="920"/>
        <w:spacing w:after="0"/>
        <w:tabs>
          <w:tab w:leader="none" w:pos="14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Addendum to Offer Letter, dated January 29, 2025, between the Company and Michael Browne</w:t>
      </w:r>
    </w:p>
    <w:p>
      <w:pPr>
        <w:spacing w:after="0" w:line="225" w:lineRule="exact"/>
        <w:rPr>
          <w:sz w:val="20"/>
          <w:szCs w:val="20"/>
          <w:color w:val="auto"/>
        </w:rPr>
      </w:pPr>
    </w:p>
    <w:p>
      <w:pPr>
        <w:ind w:left="1420" w:right="339" w:hanging="499"/>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10.16 </w:t>
      </w:r>
      <w:hyperlink r:id="rId43">
        <w:r>
          <w:rPr>
            <w:rFonts w:ascii="Times New Roman" w:cs="Times New Roman" w:eastAsia="Times New Roman" w:hAnsi="Times New Roman"/>
            <w:sz w:val="18"/>
            <w:szCs w:val="18"/>
            <w:u w:val="single" w:color="auto"/>
            <w:color w:val="0000EE"/>
          </w:rPr>
          <w:t>Offer Letter, dated November 22, 2024, between the Company and James Snyder (incorporated by</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reference to Exhibit 10.16 to the Annual Report on Form 10-K filed by the Registrant on January 14,</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2025).</w:t>
        </w:r>
      </w:hyperlink>
    </w:p>
    <w:p>
      <w:pPr>
        <w:spacing w:after="0" w:line="176" w:lineRule="exact"/>
        <w:rPr>
          <w:rFonts w:ascii="Times New Roman" w:cs="Times New Roman" w:eastAsia="Times New Roman" w:hAnsi="Times New Roman"/>
          <w:sz w:val="18"/>
          <w:szCs w:val="18"/>
          <w:color w:val="auto"/>
        </w:rPr>
      </w:pPr>
    </w:p>
    <w:p>
      <w:pPr>
        <w:ind w:left="1420" w:right="259" w:hanging="49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 2002.</w:t>
      </w:r>
    </w:p>
    <w:p>
      <w:pPr>
        <w:spacing w:after="0" w:line="162" w:lineRule="exact"/>
        <w:rPr>
          <w:rFonts w:ascii="Times New Roman" w:cs="Times New Roman" w:eastAsia="Times New Roman" w:hAnsi="Times New Roman"/>
          <w:sz w:val="18"/>
          <w:szCs w:val="18"/>
          <w:color w:val="auto"/>
        </w:rPr>
      </w:pPr>
    </w:p>
    <w:p>
      <w:pPr>
        <w:ind w:left="1420" w:right="319" w:hanging="49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 2002.</w:t>
      </w:r>
    </w:p>
    <w:p>
      <w:pPr>
        <w:spacing w:after="0" w:line="162" w:lineRule="exact"/>
        <w:rPr>
          <w:rFonts w:ascii="Times New Roman" w:cs="Times New Roman" w:eastAsia="Times New Roman" w:hAnsi="Times New Roman"/>
          <w:sz w:val="18"/>
          <w:szCs w:val="18"/>
          <w:color w:val="auto"/>
        </w:rPr>
      </w:pPr>
    </w:p>
    <w:p>
      <w:pPr>
        <w:ind w:left="1420" w:right="199" w:hanging="49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by Chief Executive Officer and Chief Financial Officer of Periodic Report Pursuant to 18 U.S.C. Section 1350, as adopted pursuant to Section 906 of the Sarbanes-Oxley Act of 2002. *</w:t>
      </w:r>
    </w:p>
    <w:p>
      <w:pPr>
        <w:spacing w:after="0" w:line="162" w:lineRule="exact"/>
        <w:rPr>
          <w:rFonts w:ascii="Times New Roman" w:cs="Times New Roman" w:eastAsia="Times New Roman" w:hAnsi="Times New Roman"/>
          <w:sz w:val="18"/>
          <w:szCs w:val="18"/>
          <w:color w:val="auto"/>
        </w:rPr>
      </w:pPr>
    </w:p>
    <w:p>
      <w:pPr>
        <w:ind w:left="1420" w:right="159" w:hanging="494"/>
        <w:spacing w:after="0" w:line="255"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January 31, 2025, formatted in Inline XBRL (Extensible Business Reporting Language) includes: (1) Consolidated Balance Sheets as of January 31, 2025 and October 31, 2024; (2) Consolidated Statements of Operations for the three months ended January 31, 2025 and 2024; (3) Consolidated Statements of Cash Flows for the three months ended January 31, 2025 and 2024; (4) Consolidated Statements of Shareholders’ Equity for the three months ended January 31, 2025 and 2024; and (5) Notes to Consolidated Financial Statements.</w:t>
      </w:r>
    </w:p>
    <w:p>
      <w:pPr>
        <w:spacing w:after="0" w:line="189" w:lineRule="exact"/>
        <w:rPr>
          <w:rFonts w:ascii="Times New Roman" w:cs="Times New Roman" w:eastAsia="Times New Roman" w:hAnsi="Times New Roman"/>
          <w:sz w:val="18"/>
          <w:szCs w:val="18"/>
          <w:color w:val="auto"/>
        </w:rPr>
      </w:pPr>
    </w:p>
    <w:p>
      <w:pPr>
        <w:ind w:left="1420" w:hanging="494"/>
        <w:spacing w:after="0"/>
        <w:tabs>
          <w:tab w:leader="none" w:pos="14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0" w:lineRule="exact"/>
        <w:rPr>
          <w:rFonts w:ascii="Times New Roman" w:cs="Times New Roman" w:eastAsia="Times New Roman" w:hAnsi="Times New Roman"/>
          <w:sz w:val="18"/>
          <w:szCs w:val="18"/>
          <w:color w:val="auto"/>
        </w:rPr>
      </w:pPr>
    </w:p>
    <w:p>
      <w:pPr>
        <w:ind w:left="360" w:right="1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-275590</wp:posOffset>
            </wp:positionV>
            <wp:extent cx="141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Snyder</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Snyder</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94"/>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29</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168275</wp:posOffset>
            </wp:positionV>
            <wp:extent cx="6172200" cy="796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1722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Browne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Michael,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CONGRATULATIONS!</w:t>
      </w:r>
    </w:p>
    <w:p>
      <w:pPr>
        <w:spacing w:after="0" w:line="16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We are pleased to extend you an offer of employment with Calavo Growers Inc. (CGI). This letter establishes the terms of the employment offer.</w:t>
      </w:r>
    </w:p>
    <w:p>
      <w:pPr>
        <w:spacing w:after="0" w:line="13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Calavo believes Quality, Teamwork, Good Citizenship, embodying a Will to Win and displaying a Respect for Our People is the foundation for fulfilling our mission.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Position</w:t>
      </w:r>
    </w:p>
    <w:p>
      <w:pPr>
        <w:spacing w:after="0" w:line="17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Your title will be Executive Vice President Sales &amp; Operations, a full-time Exempt Status position, based out of Calavo Corporate Office. Your direct supervisor will be Lecil Cole.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17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Base Pay: $430,000.00 USD</w:t>
      </w:r>
    </w:p>
    <w:p>
      <w:pPr>
        <w:spacing w:after="0" w:line="14" w:lineRule="exact"/>
        <w:rPr>
          <w:rFonts w:ascii="Times New Roman" w:cs="Times New Roman" w:eastAsia="Times New Roman" w:hAnsi="Times New Roman"/>
          <w:sz w:val="22"/>
          <w:szCs w:val="22"/>
          <w:color w:val="auto"/>
        </w:rPr>
      </w:pPr>
    </w:p>
    <w:p>
      <w:pPr>
        <w:ind w:left="640" w:hanging="308"/>
        <w:spacing w:after="0" w:line="230" w:lineRule="auto"/>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Monthly Car Allowance: $933.00 USD</w:t>
      </w:r>
    </w:p>
    <w:p>
      <w:pPr>
        <w:ind w:left="640" w:hanging="308"/>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Monthly Cell Phone/Internet Allowance: $110.00 USD</w:t>
      </w:r>
    </w:p>
    <w:p>
      <w:pPr>
        <w:spacing w:after="0" w:line="14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You are eligible to participate in a Formula Based Incentive Program. You must be an active employee on the current payroll and in good standing, on the date the bonus is paid, to receive your achieved bonus pay- out. Your specific target and the bonus criteria will be outlined in a separate bonus letter provided to you by Lecil Cole within 90 days of your start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Start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 anticipated start date will be on or about 6/7/2023.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Conditions of Employment</w:t>
      </w:r>
    </w:p>
    <w:p>
      <w:pPr>
        <w:spacing w:after="0" w:line="18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Your employment with CGI is contingent upon you providing proof of your eligibility to work in the United States, passing a background check to the company’s satisfaction, and continuing approval from our corporate compliance department as to your ability to lawfully work for CGI.</w:t>
      </w:r>
    </w:p>
    <w:p>
      <w:pPr>
        <w:spacing w:after="0" w:line="133"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Prior to beginning employment, we will require that you enter into certain agreements regarding proprietary information and arbitration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Benefits</w:t>
      </w:r>
    </w:p>
    <w:p>
      <w:pPr>
        <w:spacing w:after="0" w:line="18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You will be eligible for four weeks of Vacation Time, which you will accrue as stated in our Employee Handbook. You will also be eligible to receive 80 hours of Sick Time in accordance with CGI’s policy and any related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0" w:name="page31"/>
    <w:bookmarkEnd w:id="30"/>
    <w:p>
      <w:pPr>
        <w:ind w:right="140"/>
        <w:spacing w:after="0"/>
        <w:rPr>
          <w:sz w:val="20"/>
          <w:szCs w:val="20"/>
          <w:color w:val="auto"/>
        </w:rPr>
      </w:pPr>
      <w:r>
        <w:rPr>
          <w:rFonts w:ascii="Times New Roman" w:cs="Times New Roman" w:eastAsia="Times New Roman" w:hAnsi="Times New Roman"/>
          <w:sz w:val="22"/>
          <w:szCs w:val="22"/>
          <w:color w:val="auto"/>
        </w:rPr>
        <w:t>You and your eligible dependents have the opportunity to elect coverage under CGI’s current health benefit plans on the first of the month following 30 days of continuous employment. CGI current health benefit plans include medical, dental, and vision insurance. Additionally, you will be covered under CGI’s Life Insurance Plan and Long-Term Disability Plans. You are also eligible to participate in the company’s 401K Plan.</w:t>
      </w:r>
    </w:p>
    <w:p>
      <w:pPr>
        <w:spacing w:after="0" w:line="13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This letter provides general information about the company’s benefit plans. The plans are subject to the terms set forth in official plan documents. The company reserves the right to amend or terminate any benefit plan at any time.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Terms of Employment</w:t>
      </w:r>
    </w:p>
    <w:p>
      <w:pPr>
        <w:spacing w:after="0" w:line="17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While we hope your employment relationship with CGI will be a long and mutually beneficial one. It should be recognized that neither you, nor CGI have entered any contract of employment, expressed or implied. Your employment relationship with CGI will always be “at-will”, therefore terminable by CGI without cause or notice. This provision can only be changed or revoked in a formal written contract signed by the CEO and cannot be changed by any expressed or implied agreement based on statements or actions by any employee or supervisor.</w:t>
      </w:r>
    </w:p>
    <w:p>
      <w:pPr>
        <w:spacing w:after="0" w:line="128"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To acknowledge your acceptance of the above stated terms and conditions of employment, please sign this letter in the space provided below, and return a signed copy via email to hr@calavo.com Our offer requires your response by 6/6/2023.</w:t>
      </w:r>
    </w:p>
    <w:p>
      <w:pPr>
        <w:spacing w:after="0" w:line="14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We feel strongly that you will have a positive impact on our organization, and we look forward to you joining the CGI team as you assume your new responsibilities. Should you have any questions or concerns regarding this offer, please feel free to contact 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anticipation of your acceptance, welcome!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Human Resources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HR@calavo.com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accept the terms and conditions of CGI’s offer of employment as outlined above: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Michael Browne</w:t>
            </w:r>
          </w:p>
        </w:tc>
        <w:tc>
          <w:tcPr>
            <w:tcW w:w="30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276"/>
        </w:trPr>
        <w:tc>
          <w:tcPr>
            <w:tcW w:w="20" w:type="dxa"/>
            <w:vAlign w:val="bottom"/>
          </w:tcPr>
          <w:p>
            <w:pPr>
              <w:spacing w:after="0"/>
              <w:rPr>
                <w:sz w:val="23"/>
                <w:szCs w:val="23"/>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Michael Browne</w:t>
            </w:r>
          </w:p>
        </w:tc>
        <w:tc>
          <w:tcPr>
            <w:tcW w:w="300" w:type="dxa"/>
            <w:vAlign w:val="bottom"/>
          </w:tcPr>
          <w:p>
            <w:pPr>
              <w:spacing w:after="0"/>
              <w:rPr>
                <w:sz w:val="23"/>
                <w:szCs w:val="23"/>
                <w:color w:val="auto"/>
              </w:rPr>
            </w:pPr>
          </w:p>
        </w:tc>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r>
      <w:tr>
        <w:trPr>
          <w:trHeight w:val="432"/>
        </w:trPr>
        <w:tc>
          <w:tcPr>
            <w:tcW w:w="4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Electronically Signed By:</w:t>
            </w:r>
          </w:p>
        </w:tc>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886"/>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u w:val="single" w:color="auto"/>
          <w:color w:val="auto"/>
        </w:rPr>
        <w:t>Mike Browne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Signed on 06/05/2023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08"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156845</wp:posOffset>
            </wp:positionV>
            <wp:extent cx="6172200" cy="788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1722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5/16/2023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Ronald Araiza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Dear Ronald,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CONGRATULATIONS!</w:t>
      </w:r>
    </w:p>
    <w:p>
      <w:pPr>
        <w:spacing w:after="0" w:line="198"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262626"/>
        </w:rPr>
        <w:t>We are pleased to extend you an offer of employment with Calavo Growers Inc. (CGI). This letter establishes the terms of the employment offer.</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62626"/>
        </w:rPr>
        <w:t>Calavo believes Quality, Teamwork, Good Citizenship, embodying a Will to Win and displaying a Respect for Our People is the foundation for fulfilling our 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Position</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262626"/>
        </w:rPr>
        <w:t>Your title will be Executive Vice President Fresh Foods, a full-time Exempt Status position based out of Calavo Corporate Office in Santa Paula, California. Your direct supervisor will be Lecil Cole.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Your Total Compensation (in USO $) is as follows:</w:t>
      </w:r>
    </w:p>
    <w:p>
      <w:pPr>
        <w:spacing w:after="0" w:line="19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6"/>
        </w:rPr>
        <w:t>Annual Base Pay: $430,000.00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6"/>
        </w:rPr>
        <w:t>STIP%: 40% (detailed below)</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6"/>
        </w:rPr>
        <w:t>LTIP%: 40% (detailed below)</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62626"/>
        </w:rPr>
        <w:t>Car Allowance: $933 per month</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262626"/>
        </w:rPr>
        <w:t>Cell Phone/Internet Allowance: $40 per month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STIP:</w:t>
      </w:r>
    </w:p>
    <w:p>
      <w:pPr>
        <w:spacing w:after="0" w:line="1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62626"/>
        </w:rPr>
        <w:t>The STIP is 100% cash bonus paid in December of each plan year - pro-rated for service. Must be hired August 1 of each plan year or before to be eligible.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STIP has 3 performance components each with a different weight:</w:t>
      </w:r>
    </w:p>
    <w:p>
      <w:pPr>
        <w:spacing w:after="0" w:line="185" w:lineRule="exact"/>
        <w:rPr>
          <w:sz w:val="20"/>
          <w:szCs w:val="20"/>
          <w:color w:val="auto"/>
        </w:rPr>
      </w:pPr>
    </w:p>
    <w:p>
      <w:pPr>
        <w:ind w:left="340" w:hanging="332"/>
        <w:spacing w:after="0"/>
        <w:tabs>
          <w:tab w:leader="none" w:pos="340" w:val="left"/>
        </w:tabs>
        <w:numPr>
          <w:ilvl w:val="0"/>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62626"/>
        </w:rPr>
        <w:t>Company Performance (EBITDA): 20%</w:t>
      </w:r>
    </w:p>
    <w:p>
      <w:pPr>
        <w:spacing w:after="0" w:line="13" w:lineRule="exact"/>
        <w:rPr>
          <w:rFonts w:ascii="Courier New" w:cs="Courier New" w:eastAsia="Courier New" w:hAnsi="Courier New"/>
          <w:sz w:val="18"/>
          <w:szCs w:val="18"/>
          <w:color w:val="auto"/>
        </w:rPr>
      </w:pPr>
    </w:p>
    <w:p>
      <w:pPr>
        <w:ind w:left="340" w:hanging="332"/>
        <w:spacing w:after="0" w:line="231" w:lineRule="auto"/>
        <w:tabs>
          <w:tab w:leader="none" w:pos="340" w:val="left"/>
        </w:tabs>
        <w:numPr>
          <w:ilvl w:val="0"/>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62626"/>
        </w:rPr>
        <w:t>Business Unit Performance (Sales Volume, Net Sales, Gross Margin, etc.): 60%</w:t>
      </w:r>
    </w:p>
    <w:p>
      <w:pPr>
        <w:spacing w:after="0" w:line="2" w:lineRule="exact"/>
        <w:rPr>
          <w:rFonts w:ascii="Courier New" w:cs="Courier New" w:eastAsia="Courier New" w:hAnsi="Courier New"/>
          <w:sz w:val="18"/>
          <w:szCs w:val="18"/>
          <w:color w:val="auto"/>
        </w:rPr>
      </w:pPr>
    </w:p>
    <w:p>
      <w:pPr>
        <w:ind w:left="340" w:hanging="332"/>
        <w:spacing w:after="0" w:line="231" w:lineRule="auto"/>
        <w:tabs>
          <w:tab w:leader="none" w:pos="340" w:val="left"/>
        </w:tabs>
        <w:numPr>
          <w:ilvl w:val="0"/>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62626"/>
        </w:rPr>
        <w:t>Individual Performance {SMART Goals): 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LTIP: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The plan is both performance based, and time based with a 50/50 weighting. The components of the LTIP Targets are:</w:t>
      </w:r>
    </w:p>
    <w:p>
      <w:pPr>
        <w:spacing w:after="0" w:line="185" w:lineRule="exact"/>
        <w:rPr>
          <w:sz w:val="20"/>
          <w:szCs w:val="20"/>
          <w:color w:val="auto"/>
        </w:rPr>
      </w:pPr>
    </w:p>
    <w:p>
      <w:pPr>
        <w:ind w:right="300" w:firstLine="8"/>
        <w:spacing w:after="0" w:line="251" w:lineRule="auto"/>
        <w:tabs>
          <w:tab w:leader="none" w:pos="324" w:val="left"/>
        </w:tabs>
        <w:numPr>
          <w:ilvl w:val="0"/>
          <w:numId w:val="1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62626"/>
        </w:rPr>
        <w:t>50% of target are performance based RSUs that vest at end of the 3- year cycle: 17% Net Sales Growth, 17% Adjusted EBITDA, and 16% ROIC</w:t>
      </w:r>
    </w:p>
    <w:p>
      <w:pPr>
        <w:spacing w:after="0" w:line="1" w:lineRule="exact"/>
        <w:rPr>
          <w:rFonts w:ascii="Courier New" w:cs="Courier New" w:eastAsia="Courier New" w:hAnsi="Courier New"/>
          <w:sz w:val="18"/>
          <w:szCs w:val="18"/>
          <w:color w:val="auto"/>
        </w:rPr>
      </w:pPr>
    </w:p>
    <w:p>
      <w:pPr>
        <w:ind w:left="340" w:hanging="332"/>
        <w:spacing w:after="0" w:line="233" w:lineRule="auto"/>
        <w:tabs>
          <w:tab w:leader="none" w:pos="340" w:val="left"/>
        </w:tabs>
        <w:numPr>
          <w:ilvl w:val="0"/>
          <w:numId w:val="1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62626"/>
        </w:rPr>
        <w:t>50% of target are time-based RSUs vested annually in equal amounts over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282828"/>
        </w:rPr>
        <w:t xml:space="preserve">Annualized total target is 40% of </w:t>
      </w:r>
      <w:r>
        <w:rPr>
          <w:rFonts w:ascii="Times New Roman" w:cs="Times New Roman" w:eastAsia="Times New Roman" w:hAnsi="Times New Roman"/>
          <w:sz w:val="18"/>
          <w:szCs w:val="18"/>
          <w:color w:val="262626"/>
        </w:rPr>
        <w:t>base</w:t>
      </w:r>
      <w:r>
        <w:rPr>
          <w:rFonts w:ascii="Times New Roman" w:cs="Times New Roman" w:eastAsia="Times New Roman" w:hAnsi="Times New Roman"/>
          <w:sz w:val="18"/>
          <w:szCs w:val="18"/>
          <w:color w:val="282828"/>
        </w:rPr>
        <w:t xml:space="preserve"> salary:</w:t>
      </w:r>
    </w:p>
    <w:p>
      <w:pPr>
        <w:spacing w:after="0" w:line="185" w:lineRule="exact"/>
        <w:rPr>
          <w:sz w:val="20"/>
          <w:szCs w:val="20"/>
          <w:color w:val="auto"/>
        </w:rPr>
      </w:pPr>
    </w:p>
    <w:p>
      <w:pPr>
        <w:ind w:left="340" w:hanging="332"/>
        <w:spacing w:after="0"/>
        <w:tabs>
          <w:tab w:leader="none" w:pos="340" w:val="left"/>
        </w:tabs>
        <w:numPr>
          <w:ilvl w:val="0"/>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82828"/>
        </w:rPr>
        <w:t>Performance Threshold: 50%</w:t>
      </w:r>
    </w:p>
    <w:p>
      <w:pPr>
        <w:spacing w:after="0" w:line="13" w:lineRule="exact"/>
        <w:rPr>
          <w:rFonts w:ascii="Courier New" w:cs="Courier New" w:eastAsia="Courier New" w:hAnsi="Courier New"/>
          <w:sz w:val="18"/>
          <w:szCs w:val="18"/>
          <w:color w:val="auto"/>
        </w:rPr>
      </w:pPr>
    </w:p>
    <w:p>
      <w:pPr>
        <w:ind w:left="340" w:hanging="332"/>
        <w:spacing w:after="0" w:line="231" w:lineRule="auto"/>
        <w:tabs>
          <w:tab w:leader="none" w:pos="340" w:val="left"/>
        </w:tabs>
        <w:numPr>
          <w:ilvl w:val="0"/>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82828"/>
        </w:rPr>
        <w:t>Performance Target: 100%</w:t>
      </w:r>
    </w:p>
    <w:p>
      <w:pPr>
        <w:spacing w:after="0" w:line="2" w:lineRule="exact"/>
        <w:rPr>
          <w:rFonts w:ascii="Courier New" w:cs="Courier New" w:eastAsia="Courier New" w:hAnsi="Courier New"/>
          <w:sz w:val="18"/>
          <w:szCs w:val="18"/>
          <w:color w:val="auto"/>
        </w:rPr>
      </w:pPr>
    </w:p>
    <w:p>
      <w:pPr>
        <w:ind w:left="340" w:hanging="332"/>
        <w:spacing w:after="0" w:line="231" w:lineRule="auto"/>
        <w:tabs>
          <w:tab w:leader="none" w:pos="340" w:val="left"/>
        </w:tabs>
        <w:numPr>
          <w:ilvl w:val="0"/>
          <w:numId w:val="17"/>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282828"/>
        </w:rPr>
        <w:t>Performance Maximum: 200%</w:t>
      </w:r>
    </w:p>
    <w:p>
      <w:pPr>
        <w:spacing w:after="0" w:line="17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282828"/>
        </w:rPr>
        <w:t>You must be an active employee on the current payroll and in good standing, on the date the bonus is paid, to receive your achieved bonus pay-out.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8"/>
        </w:rPr>
        <w:t>Start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Your anticipated start date will be on or about 5/22/2023.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8"/>
        </w:rPr>
        <w:t>Conditions of Employment</w:t>
      </w:r>
    </w:p>
    <w:p>
      <w:pPr>
        <w:spacing w:after="0" w:line="189" w:lineRule="exact"/>
        <w:rPr>
          <w:sz w:val="20"/>
          <w:szCs w:val="20"/>
          <w:color w:val="auto"/>
        </w:rPr>
      </w:pPr>
    </w:p>
    <w:p>
      <w:pPr>
        <w:ind w:firstLine="4"/>
        <w:spacing w:after="0" w:line="266" w:lineRule="auto"/>
        <w:rPr>
          <w:sz w:val="20"/>
          <w:szCs w:val="20"/>
          <w:color w:val="auto"/>
        </w:rPr>
      </w:pPr>
      <w:r>
        <w:rPr>
          <w:rFonts w:ascii="Times New Roman" w:cs="Times New Roman" w:eastAsia="Times New Roman" w:hAnsi="Times New Roman"/>
          <w:sz w:val="18"/>
          <w:szCs w:val="18"/>
          <w:color w:val="282828"/>
        </w:rPr>
        <w:t>Your employment with CGI is contingent upon you providing proof of your eligibility to work in the United States, passing a background check to the company’s satisfaction, and continuing approval from our corporate compliance department as to your ability to lawfully work for CGI.</w:t>
      </w:r>
    </w:p>
    <w:p>
      <w:pPr>
        <w:spacing w:after="0" w:line="135" w:lineRule="exact"/>
        <w:rPr>
          <w:sz w:val="20"/>
          <w:szCs w:val="20"/>
          <w:color w:val="auto"/>
        </w:rPr>
      </w:pPr>
    </w:p>
    <w:p>
      <w:pPr>
        <w:ind w:right="160" w:hanging="1"/>
        <w:spacing w:after="0" w:line="282" w:lineRule="auto"/>
        <w:rPr>
          <w:sz w:val="20"/>
          <w:szCs w:val="20"/>
          <w:color w:val="auto"/>
        </w:rPr>
      </w:pPr>
      <w:r>
        <w:rPr>
          <w:rFonts w:ascii="Times New Roman" w:cs="Times New Roman" w:eastAsia="Times New Roman" w:hAnsi="Times New Roman"/>
          <w:sz w:val="18"/>
          <w:szCs w:val="18"/>
          <w:color w:val="282828"/>
        </w:rPr>
        <w:t>Prior to beginning employment, we will require that you enter into certain agreements regarding proprietary information and arbitration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8"/>
        </w:rPr>
        <w:t>Benefits</w:t>
      </w:r>
    </w:p>
    <w:p>
      <w:pPr>
        <w:spacing w:after="0" w:line="189" w:lineRule="exact"/>
        <w:rPr>
          <w:sz w:val="20"/>
          <w:szCs w:val="20"/>
          <w:color w:val="auto"/>
        </w:rPr>
      </w:pPr>
    </w:p>
    <w:p>
      <w:pPr>
        <w:ind w:right="60" w:firstLine="1"/>
        <w:spacing w:after="0" w:line="282" w:lineRule="auto"/>
        <w:rPr>
          <w:sz w:val="20"/>
          <w:szCs w:val="20"/>
          <w:color w:val="auto"/>
        </w:rPr>
      </w:pPr>
      <w:r>
        <w:rPr>
          <w:rFonts w:ascii="Times New Roman" w:cs="Times New Roman" w:eastAsia="Times New Roman" w:hAnsi="Times New Roman"/>
          <w:sz w:val="18"/>
          <w:szCs w:val="18"/>
          <w:color w:val="282828"/>
        </w:rPr>
        <w:t>You will be eligible for four weeks of vacation, which you will accrue as stated in our Employee Handbook. You wi11 also be eligible to receive Sick Time accrued at a rate of 6.67 hours per month.</w:t>
      </w:r>
    </w:p>
    <w:p>
      <w:pPr>
        <w:spacing w:after="0" w:line="121" w:lineRule="exact"/>
        <w:rPr>
          <w:sz w:val="20"/>
          <w:szCs w:val="20"/>
          <w:color w:val="auto"/>
        </w:rPr>
      </w:pPr>
    </w:p>
    <w:p>
      <w:pPr>
        <w:ind w:right="20" w:hanging="1"/>
        <w:spacing w:after="0" w:line="261" w:lineRule="auto"/>
        <w:rPr>
          <w:sz w:val="20"/>
          <w:szCs w:val="20"/>
          <w:color w:val="auto"/>
        </w:rPr>
      </w:pPr>
      <w:r>
        <w:rPr>
          <w:rFonts w:ascii="Times New Roman" w:cs="Times New Roman" w:eastAsia="Times New Roman" w:hAnsi="Times New Roman"/>
          <w:sz w:val="18"/>
          <w:szCs w:val="18"/>
          <w:color w:val="282828"/>
        </w:rPr>
        <w:t>You and your eligible dependents have the opportunity to elect coverage under CGI’s current health benefit plans on the first of the month following 30 days of continuous employment. CGI current health benefit plans include medical, dental, and vision insurance. Additionally, you will be covered under CGI’s Life Insurance Plan and Long-Term Disability Plans. You are also eligible to participate in the company’s 401K Plan.</w:t>
      </w:r>
    </w:p>
    <w:p>
      <w:pPr>
        <w:spacing w:after="0" w:line="153" w:lineRule="exact"/>
        <w:rPr>
          <w:sz w:val="20"/>
          <w:szCs w:val="20"/>
          <w:color w:val="auto"/>
        </w:rPr>
      </w:pPr>
    </w:p>
    <w:p>
      <w:pPr>
        <w:ind w:right="280" w:firstLine="2"/>
        <w:spacing w:after="0" w:line="282" w:lineRule="auto"/>
        <w:rPr>
          <w:sz w:val="20"/>
          <w:szCs w:val="20"/>
          <w:color w:val="auto"/>
        </w:rPr>
      </w:pPr>
      <w:r>
        <w:rPr>
          <w:rFonts w:ascii="Times New Roman" w:cs="Times New Roman" w:eastAsia="Times New Roman" w:hAnsi="Times New Roman"/>
          <w:sz w:val="18"/>
          <w:szCs w:val="18"/>
          <w:color w:val="282828"/>
        </w:rPr>
        <w:t>This letter provides general information about the company’s benefit plans. The plans are subject to the terms set forth in official plan documents. The company reserves the right to amend or terminate any benefit plan at any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82828"/>
        </w:rPr>
        <w:t>Additional Terms of Employment</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282828"/>
        </w:rPr>
        <w:t>While we hope your employment relationship with CGI will be a long and mutually beneficial one. It should be recognized that neither you, nor CGI have entered any contract of employment, expressed or implied. Your employment relationship with CGI will always be “at-will”, therefore terminable by CGI without cause or notice. This provision can only be changed or revoked in a formal written contract signed by the CEO and cannot be changed by any expressed or implied agreement based on statements or actions by any employee or supervisor.</w:t>
      </w:r>
    </w:p>
    <w:p>
      <w:pPr>
        <w:spacing w:after="0" w:line="156" w:lineRule="exact"/>
        <w:rPr>
          <w:sz w:val="20"/>
          <w:szCs w:val="20"/>
          <w:color w:val="auto"/>
        </w:rPr>
      </w:pPr>
    </w:p>
    <w:p>
      <w:pPr>
        <w:ind w:hanging="3"/>
        <w:spacing w:after="0" w:line="282" w:lineRule="auto"/>
        <w:rPr>
          <w:sz w:val="20"/>
          <w:szCs w:val="20"/>
          <w:color w:val="auto"/>
        </w:rPr>
      </w:pPr>
      <w:r>
        <w:rPr>
          <w:rFonts w:ascii="Times New Roman" w:cs="Times New Roman" w:eastAsia="Times New Roman" w:hAnsi="Times New Roman"/>
          <w:sz w:val="18"/>
          <w:szCs w:val="18"/>
          <w:color w:val="282828"/>
        </w:rPr>
        <w:t xml:space="preserve">To acknowledge your acceptance of the above stated terms and conditions of employment, please sign this letter in the space provided below, and return a signed copy via email to </w:t>
      </w:r>
      <w:r>
        <w:rPr>
          <w:rFonts w:ascii="Times New Roman" w:cs="Times New Roman" w:eastAsia="Times New Roman" w:hAnsi="Times New Roman"/>
          <w:sz w:val="18"/>
          <w:szCs w:val="18"/>
          <w:color w:val="000000"/>
        </w:rPr>
        <w:t>hr@calavo.com</w:t>
      </w:r>
      <w:r>
        <w:rPr>
          <w:rFonts w:ascii="Times New Roman" w:cs="Times New Roman" w:eastAsia="Times New Roman" w:hAnsi="Times New Roman"/>
          <w:sz w:val="18"/>
          <w:szCs w:val="18"/>
          <w:color w:val="282828"/>
        </w:rPr>
        <w:t xml:space="preserve"> Our offer requires your response by 5/22/2023.</w:t>
      </w:r>
    </w:p>
    <w:p>
      <w:pPr>
        <w:spacing w:after="0" w:line="121"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282828"/>
        </w:rPr>
        <w:t xml:space="preserve">We feel strongly that you will have a positive impact on our organization, and we look forward to you joining the CGI team as you assume your new responsibilities. Should you have </w:t>
      </w:r>
      <w:r>
        <w:rPr>
          <w:rFonts w:ascii="Times New Roman" w:cs="Times New Roman" w:eastAsia="Times New Roman" w:hAnsi="Times New Roman"/>
          <w:sz w:val="17"/>
          <w:szCs w:val="17"/>
          <w:color w:val="3D3D3D"/>
        </w:rPr>
        <w:t>any</w:t>
      </w:r>
      <w:r>
        <w:rPr>
          <w:rFonts w:ascii="Times New Roman" w:cs="Times New Roman" w:eastAsia="Times New Roman" w:hAnsi="Times New Roman"/>
          <w:sz w:val="17"/>
          <w:szCs w:val="17"/>
          <w:color w:val="282828"/>
        </w:rPr>
        <w:t xml:space="preserve"> questions or concerns regarding this offer, please feel free to contact 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In anticipation of your acceptance, Welcome Aboard!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282828"/>
        </w:rPr>
        <w:t>Sincerely,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Calavo Growers,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HR@calavo.com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82828"/>
        </w:rPr>
        <w:t>I accept the terms and conditions of CGI’s offer of employment as outlined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color w:val="282828"/>
              </w:rPr>
              <w:t>/s/ Ronald Araiza</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5/22/2023</w:t>
            </w:r>
          </w:p>
        </w:tc>
      </w:tr>
      <w:tr>
        <w:trPr>
          <w:trHeight w:val="228"/>
        </w:trPr>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282828"/>
              </w:rPr>
              <w:t>Ronald Araiza</w:t>
            </w:r>
          </w:p>
        </w:tc>
        <w:tc>
          <w:tcPr>
            <w:tcW w:w="300" w:type="dxa"/>
            <w:vAlign w:val="bottom"/>
          </w:tcPr>
          <w:p>
            <w:pPr>
              <w:spacing w:after="0"/>
              <w:rPr>
                <w:sz w:val="19"/>
                <w:szCs w:val="19"/>
                <w:color w:val="auto"/>
              </w:rPr>
            </w:pPr>
          </w:p>
        </w:tc>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282828"/>
              </w:rPr>
              <w:t>Date</w:t>
            </w:r>
          </w:p>
        </w:tc>
      </w:tr>
      <w:tr>
        <w:trPr>
          <w:trHeight w:val="745"/>
        </w:trPr>
        <w:tc>
          <w:tcPr>
            <w:tcW w:w="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OFFER LETTER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January 29,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Browne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715 Avocet Way</w:t>
      </w:r>
    </w:p>
    <w:p>
      <w:pPr>
        <w:spacing w:after="0" w:line="230" w:lineRule="auto"/>
        <w:rPr>
          <w:sz w:val="20"/>
          <w:szCs w:val="20"/>
          <w:color w:val="auto"/>
        </w:rPr>
      </w:pPr>
      <w:r>
        <w:rPr>
          <w:rFonts w:ascii="Times New Roman" w:cs="Times New Roman" w:eastAsia="Times New Roman" w:hAnsi="Times New Roman"/>
          <w:sz w:val="22"/>
          <w:szCs w:val="22"/>
          <w:color w:val="auto"/>
        </w:rPr>
        <w:t>Arroyo Grande, CA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93420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Michael,</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offer letter entered into by you (“Executive”) and Calavo Growers, Inc. (the “Company”) on June 2, 2023 (the “Offer Letter”) is hereby amended and supplemented as set forth below.</w:t>
      </w:r>
    </w:p>
    <w:p>
      <w:pPr>
        <w:spacing w:after="0" w:line="91"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138" w:lineRule="exact"/>
        <w:rPr>
          <w:rFonts w:ascii="Times New Roman" w:cs="Times New Roman" w:eastAsia="Times New Roman" w:hAnsi="Times New Roman"/>
          <w:sz w:val="22"/>
          <w:szCs w:val="22"/>
          <w:color w:val="auto"/>
        </w:rPr>
      </w:pPr>
    </w:p>
    <w:p>
      <w:pPr>
        <w:ind w:left="660" w:right="180" w:hanging="328"/>
        <w:spacing w:after="0" w:line="258"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Cost-of-Living Adjustment</w:t>
      </w:r>
      <w:r>
        <w:rPr>
          <w:rFonts w:ascii="Times New Roman" w:cs="Times New Roman" w:eastAsia="Times New Roman" w:hAnsi="Times New Roman"/>
          <w:sz w:val="22"/>
          <w:szCs w:val="22"/>
          <w:color w:val="auto"/>
        </w:rPr>
        <w:t>: Effective February 1, 2025, the parties agree to a one-time 8% adjustment to Executive’s annual base salary.</w:t>
      </w:r>
    </w:p>
    <w:p>
      <w:pPr>
        <w:spacing w:after="0" w:line="77"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Notwithstanding anything to the contrary in the Offer Letter, Executive shall receive a total bonus of $215,000 for 2025 (the “Bonus”).</w:t>
      </w:r>
    </w:p>
    <w:p>
      <w:pPr>
        <w:spacing w:after="0" w:line="91" w:lineRule="exact"/>
        <w:rPr>
          <w:sz w:val="20"/>
          <w:szCs w:val="20"/>
          <w:color w:val="auto"/>
        </w:rPr>
      </w:pPr>
    </w:p>
    <w:p>
      <w:pPr>
        <w:ind w:left="1300" w:hanging="320"/>
        <w:spacing w:after="0"/>
        <w:tabs>
          <w:tab w:leader="none" w:pos="1300" w:val="left"/>
        </w:tabs>
        <w:numPr>
          <w:ilvl w:val="2"/>
          <w:numId w:val="1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Bonus will be paid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xml:space="preserve"> of each month in equal monthly installments through October 2025.</w:t>
      </w:r>
    </w:p>
    <w:p>
      <w:pPr>
        <w:spacing w:after="0" w:line="120" w:lineRule="exact"/>
        <w:rPr>
          <w:rFonts w:ascii="Courier New" w:cs="Courier New" w:eastAsia="Courier New" w:hAnsi="Courier New"/>
          <w:sz w:val="22"/>
          <w:szCs w:val="22"/>
          <w:color w:val="auto"/>
        </w:rPr>
      </w:pPr>
    </w:p>
    <w:p>
      <w:pPr>
        <w:ind w:left="1300" w:right="20" w:hanging="320"/>
        <w:spacing w:after="0" w:line="208" w:lineRule="auto"/>
        <w:tabs>
          <w:tab w:leader="none" w:pos="1300" w:val="left"/>
        </w:tabs>
        <w:numPr>
          <w:ilvl w:val="2"/>
          <w:numId w:val="19"/>
        </w:numPr>
        <w:rPr>
          <w:rFonts w:ascii="Courier New" w:cs="Courier New" w:eastAsia="Courier New" w:hAnsi="Courier New"/>
          <w:sz w:val="36"/>
          <w:szCs w:val="36"/>
          <w:color w:val="auto"/>
          <w:vertAlign w:val="superscript"/>
        </w:rPr>
      </w:pPr>
      <w:r>
        <w:rPr>
          <w:rFonts w:ascii="Times New Roman" w:cs="Times New Roman" w:eastAsia="Times New Roman" w:hAnsi="Times New Roman"/>
          <w:sz w:val="22"/>
          <w:szCs w:val="22"/>
          <w:color w:val="auto"/>
        </w:rPr>
        <w:t>In the event of (i) a Change in Control or (ii) termination of Executive’s at will employment without Cause, any remaining unpaid Bonus shall be paid in full to Executive. “Change in Control” and “Cause” shall have the meanings ascribed to them as set forth in the Company’s 2020 Equity Incentive Plan.</w:t>
      </w:r>
    </w:p>
    <w:p>
      <w:pPr>
        <w:spacing w:after="0" w:line="95" w:lineRule="exact"/>
        <w:rPr>
          <w:rFonts w:ascii="Courier New" w:cs="Courier New" w:eastAsia="Courier New" w:hAnsi="Courier New"/>
          <w:sz w:val="36"/>
          <w:szCs w:val="36"/>
          <w:color w:val="auto"/>
          <w:vertAlign w:val="superscript"/>
        </w:rPr>
      </w:pPr>
    </w:p>
    <w:p>
      <w:pPr>
        <w:ind w:left="660" w:right="40" w:hanging="328"/>
        <w:spacing w:after="0" w:line="23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2025 Management Incentive Plan (“MIP”)</w:t>
      </w:r>
      <w:r>
        <w:rPr>
          <w:rFonts w:ascii="Times New Roman" w:cs="Times New Roman" w:eastAsia="Times New Roman" w:hAnsi="Times New Roman"/>
          <w:sz w:val="22"/>
          <w:szCs w:val="22"/>
          <w:color w:val="auto"/>
        </w:rPr>
        <w:t>: In addition to the Bonus, Executive shall participate in the MIP and, subject to qualifications under the terms of the MIP, receive the full amount of Executive’s award under the MIP. If qualified, Executive will receive such award no later than February 28, 2026, and shall receive such award even if Executive’s employment is terminated prior to payment of the award. Notwithstanding the foregoing, Executive shall not receive the MIP award if his employment is terminated for Cause.</w:t>
      </w:r>
    </w:p>
    <w:p>
      <w:pPr>
        <w:spacing w:after="0" w:line="11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and Insurance</w:t>
      </w:r>
    </w:p>
    <w:p>
      <w:pPr>
        <w:spacing w:after="0" w:line="138" w:lineRule="exact"/>
        <w:rPr>
          <w:rFonts w:ascii="Times New Roman" w:cs="Times New Roman" w:eastAsia="Times New Roman" w:hAnsi="Times New Roman"/>
          <w:sz w:val="22"/>
          <w:szCs w:val="22"/>
          <w:color w:val="auto"/>
        </w:rPr>
      </w:pPr>
    </w:p>
    <w:p>
      <w:pPr>
        <w:ind w:left="660" w:right="280" w:hanging="328"/>
        <w:spacing w:after="0" w:line="258"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Executive shall continue to participate in all Company benefit plans and programs available to similarly situated executives, subject to the terms and conditions of those plans.</w:t>
      </w:r>
    </w:p>
    <w:p>
      <w:pPr>
        <w:spacing w:after="0" w:line="77" w:lineRule="exact"/>
        <w:rPr>
          <w:rFonts w:ascii="Times New Roman" w:cs="Times New Roman" w:eastAsia="Times New Roman" w:hAnsi="Times New Roman"/>
          <w:sz w:val="18"/>
          <w:szCs w:val="18"/>
          <w:color w:val="auto"/>
        </w:rPr>
      </w:pPr>
    </w:p>
    <w:p>
      <w:pPr>
        <w:ind w:left="660" w:right="700" w:hanging="328"/>
        <w:spacing w:after="0" w:line="258" w:lineRule="auto"/>
        <w:tabs>
          <w:tab w:leader="none" w:pos="6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provide continued insurance coverage at company’s expense for Executive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554990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6" w:name="page37"/>
    <w:bookmarkEnd w:id="36"/>
    <w:p>
      <w:pPr>
        <w:ind w:firstLine="8"/>
        <w:spacing w:after="0" w:line="244" w:lineRule="auto"/>
        <w:tabs>
          <w:tab w:leader="none" w:pos="2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Addendum to Offer Letter (this “Addendum”), the Offer Letter shall remain in full force and effect. Nothing herein shall affect either party’s rights under the Offer Letter to terminate the at will employment relationship.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Addendum as of the date first above written.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1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By:</w:t>
        <w:tab/>
        <w:t>/s/ Lee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10795</wp:posOffset>
            </wp:positionV>
            <wp:extent cx="29317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Lee Cole</w:t>
      </w: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By:</w:t>
        <w:tab/>
        <w:t>/s/ Mike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10795</wp:posOffset>
            </wp:positionV>
            <wp:extent cx="29317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Mike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111" w:right="1319"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12,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Lecil E. Cole</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Lecil E. Cole</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James Snyder, certify that:</w:t>
      </w:r>
    </w:p>
    <w:p>
      <w:pPr>
        <w:spacing w:after="0" w:line="235" w:lineRule="exact"/>
        <w:rPr>
          <w:sz w:val="20"/>
          <w:szCs w:val="20"/>
          <w:color w:val="auto"/>
        </w:rPr>
      </w:pPr>
    </w:p>
    <w:p>
      <w:pPr>
        <w:ind w:left="700" w:hanging="656"/>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March 12, 2025</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James Snyder</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James Snyder</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The undersigned Chief Executive Officer and Chief Financial Officer of Calavo Growers, Inc. (the “Company”), each hereby certifies, pursuant to 18 U.S.C. Section 1350, as adopted pursuant to Section 906 of the Sarbanes-Oxley Act of 2002, that, to his knowledge, the Company’s Quarterly Report on Form 10-Q for the quarter ended January 31, 2025,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March 12, 2025</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Snyder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o"/>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1"/>
      <w:numFmt w:val="decimal"/>
      <w:start w:val="101"/>
    </w:lvl>
  </w:abstractNum>
  <w:abstractNum w:abstractNumId="11">
    <w:nsid w:val="25E45D32"/>
    <w:multiLevelType w:val="hybridMultilevel"/>
    <w:lvl w:ilvl="0">
      <w:lvlJc w:val="left"/>
      <w:lvlText w:val="*"/>
      <w:numFmt w:val="bullet"/>
      <w:start w:val="1"/>
    </w:lvl>
    <w:lvl w:ilvl="1">
      <w:lvlJc w:val="left"/>
      <w:lvlText w:val="%2"/>
      <w:numFmt w:val="decimal"/>
      <w:start w:val="104"/>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o"/>
      <w:numFmt w:val="bullet"/>
      <w:start w:val="1"/>
    </w:lvl>
  </w:abstractNum>
  <w:abstractNum w:abstractNumId="15">
    <w:nsid w:val="7C83E458"/>
    <w:multiLevelType w:val="hybridMultilevel"/>
    <w:lvl w:ilvl="0">
      <w:lvlJc w:val="left"/>
      <w:lvlText w:val="o"/>
      <w:numFmt w:val="bullet"/>
      <w:start w:val="1"/>
    </w:lvl>
  </w:abstractNum>
  <w:abstractNum w:abstractNumId="16">
    <w:nsid w:val="257130A3"/>
    <w:multiLevelType w:val="hybridMultilevel"/>
    <w:lvl w:ilvl="0">
      <w:lvlJc w:val="left"/>
      <w:lvlText w:val="o"/>
      <w:numFmt w:val="bullet"/>
      <w:start w:val="1"/>
    </w:lvl>
  </w:abstractNum>
  <w:abstractNum w:abstractNumId="17">
    <w:nsid w:val="62BBD95A"/>
    <w:multiLevelType w:val="hybridMultilevel"/>
    <w:lvl w:ilvl="0">
      <w:lvlJc w:val="left"/>
      <w:lvlText w:val="%1."/>
      <w:numFmt w:val="decimal"/>
      <w:start w:val="1"/>
    </w:lvl>
    <w:lvl w:ilvl="1">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
      <w:numFmt w:val="bullet"/>
      <w:start w:val="1"/>
    </w:lvl>
    <w:lvl w:ilvl="2">
      <w:lvlJc w:val="left"/>
      <w:lvlText w:val="o"/>
      <w:numFmt w:val="bullet"/>
      <w:start w:val="1"/>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43" Type="http://schemas.openxmlformats.org/officeDocument/2006/relationships/hyperlink" Target="https://www.sec.gov/Archives/edgar/data/1133470/000155837025000209/cvgw-20241031xex10d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2025-03-12T15:52:45Z</dcterms:created>
  <dcterms:modified xsi:type="dcterms:W3CDTF">2025-03-12T15:52:45Z</dcterms:modified>
</cp:coreProperties>
</file>