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58420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59" w:lineRule="exact"/>
        <w:rPr>
          <w:sz w:val="24"/>
          <w:szCs w:val="24"/>
          <w:color w:val="auto"/>
        </w:rPr>
      </w:pPr>
    </w:p>
    <w:p>
      <w:pPr>
        <w:ind w:left="1480" w:hanging="518"/>
        <w:spacing w:after="0"/>
        <w:tabs>
          <w:tab w:leader="none" w:pos="1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April 30, 2025</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4" w:lineRule="exact"/>
        <w:rPr>
          <w:sz w:val="24"/>
          <w:szCs w:val="24"/>
          <w:color w:val="auto"/>
        </w:rPr>
      </w:pPr>
    </w:p>
    <w:p>
      <w:pPr>
        <w:ind w:left="1480" w:hanging="518"/>
        <w:spacing w:after="0"/>
        <w:tabs>
          <w:tab w:leader="none" w:pos="14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21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6"/>
          <w:szCs w:val="16"/>
          <w:b w:val="1"/>
          <w:bCs w:val="1"/>
          <w:color w:val="auto"/>
        </w:rPr>
        <w:t xml:space="preserve">For the transition period from </w:t>
      </w:r>
      <w:r>
        <w:rPr>
          <w:rFonts w:ascii="Times New Roman" w:cs="Times New Roman" w:eastAsia="Times New Roman" w:hAnsi="Times New Roman"/>
          <w:sz w:val="16"/>
          <w:szCs w:val="16"/>
          <w:b w:val="1"/>
          <w:bCs w:val="1"/>
          <w:u w:val="single" w:color="auto"/>
          <w:color w:val="auto"/>
        </w:rPr>
        <w:t>______________________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b w:val="1"/>
          <w:bCs w:val="1"/>
          <w:u w:val="single" w:color="auto"/>
          <w:color w:val="auto"/>
        </w:rPr>
        <w:t>______________________</w:t>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000-33385</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CALAVO GROWERS, INC.</w:t>
      </w:r>
    </w:p>
    <w:p>
      <w:pPr>
        <w:sectPr>
          <w:pgSz w:w="11900" w:h="16838" w:orient="portrait"/>
          <w:cols w:equalWidth="0" w:num="1">
            <w:col w:w="10220"/>
          </w:cols>
          <w:pgMar w:left="840" w:top="661" w:right="839" w:bottom="1440" w:gutter="0" w:footer="0" w:header="0"/>
        </w:sectPr>
      </w:pPr>
    </w:p>
    <w:p>
      <w:pPr>
        <w:spacing w:after="0" w:line="362" w:lineRule="exact"/>
        <w:rPr>
          <w:sz w:val="24"/>
          <w:szCs w:val="24"/>
          <w:color w:val="auto"/>
        </w:rPr>
      </w:pPr>
    </w:p>
    <w:p>
      <w:pPr>
        <w:jc w:val="center"/>
        <w:ind w:left="1800"/>
        <w:spacing w:after="0"/>
        <w:rPr>
          <w:sz w:val="20"/>
          <w:szCs w:val="20"/>
          <w:color w:val="auto"/>
        </w:rPr>
      </w:pPr>
      <w:r>
        <w:rPr>
          <w:rFonts w:ascii="Times New Roman" w:cs="Times New Roman" w:eastAsia="Times New Roman" w:hAnsi="Times New Roman"/>
          <w:sz w:val="16"/>
          <w:szCs w:val="16"/>
          <w:b w:val="1"/>
          <w:bCs w:val="1"/>
          <w:color w:val="auto"/>
        </w:rPr>
        <w:t>California</w:t>
      </w:r>
    </w:p>
    <w:p>
      <w:pPr>
        <w:spacing w:after="0" w:line="43"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5"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90" w:lineRule="exact"/>
        <w:rPr>
          <w:sz w:val="24"/>
          <w:szCs w:val="24"/>
          <w:color w:val="auto"/>
        </w:rPr>
      </w:pPr>
    </w:p>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33-0945304</w:t>
      </w:r>
    </w:p>
    <w:p>
      <w:pPr>
        <w:spacing w:after="0" w:line="111" w:lineRule="exact"/>
        <w:rPr>
          <w:sz w:val="24"/>
          <w:szCs w:val="24"/>
          <w:color w:val="auto"/>
        </w:rPr>
      </w:pPr>
    </w:p>
    <w:p>
      <w:pPr>
        <w:jc w:val="right"/>
        <w:ind w:right="1640"/>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17" w:lineRule="exact"/>
        <w:rPr>
          <w:sz w:val="24"/>
          <w:szCs w:val="24"/>
          <w:color w:val="auto"/>
        </w:rPr>
      </w:pPr>
    </w:p>
    <w:p>
      <w:pPr>
        <w:sectPr>
          <w:pgSz w:w="11900" w:h="16838" w:orient="portrait"/>
          <w:cols w:equalWidth="0" w:num="2">
            <w:col w:w="3300" w:space="420"/>
            <w:col w:w="6500"/>
          </w:cols>
          <w:pgMar w:left="840" w:top="661" w:right="8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52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1141-A Cummings Road, Santa Paula, California</w:t>
            </w:r>
          </w:p>
        </w:tc>
        <w:tc>
          <w:tcPr>
            <w:tcW w:w="3680" w:type="dxa"/>
            <w:vAlign w:val="bottom"/>
          </w:tcPr>
          <w:p>
            <w:pPr>
              <w:jc w:val="right"/>
              <w:ind w:right="2224"/>
              <w:spacing w:after="0"/>
              <w:rPr>
                <w:sz w:val="20"/>
                <w:szCs w:val="20"/>
                <w:color w:val="auto"/>
              </w:rPr>
            </w:pPr>
            <w:r>
              <w:rPr>
                <w:rFonts w:ascii="Times New Roman" w:cs="Times New Roman" w:eastAsia="Times New Roman" w:hAnsi="Times New Roman"/>
                <w:sz w:val="16"/>
                <w:szCs w:val="16"/>
                <w:b w:val="1"/>
                <w:bCs w:val="1"/>
                <w:color w:val="auto"/>
              </w:rPr>
              <w:t>93060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40" w:type="dxa"/>
            <w:vAlign w:val="bottom"/>
            <w:gridSpan w:val="3"/>
          </w:tcPr>
          <w:p>
            <w:pPr>
              <w:ind w:left="148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(Zip Code)</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20" w:type="dxa"/>
            <w:vAlign w:val="bottom"/>
          </w:tcPr>
          <w:p>
            <w:pPr>
              <w:jc w:val="center"/>
              <w:ind w:left="3"/>
              <w:spacing w:after="0"/>
              <w:rPr>
                <w:sz w:val="20"/>
                <w:szCs w:val="20"/>
                <w:color w:val="auto"/>
              </w:rPr>
            </w:pPr>
            <w:r>
              <w:rPr>
                <w:rFonts w:ascii="Times New Roman" w:cs="Times New Roman" w:eastAsia="Times New Roman" w:hAnsi="Times New Roman"/>
                <w:sz w:val="16"/>
                <w:szCs w:val="16"/>
                <w:b w:val="1"/>
                <w:bCs w:val="1"/>
                <w:color w:val="auto"/>
              </w:rPr>
              <w:t>(805) 525-1245</w:t>
            </w: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0" w:type="dxa"/>
            <w:vAlign w:val="bottom"/>
            <w:gridSpan w:val="6"/>
          </w:tcPr>
          <w:p>
            <w:pPr>
              <w:jc w:val="center"/>
              <w:spacing w:after="0"/>
              <w:rPr>
                <w:sz w:val="20"/>
                <w:szCs w:val="20"/>
                <w:color w:val="auto"/>
              </w:rPr>
            </w:pPr>
            <w:r>
              <w:rPr>
                <w:rFonts w:ascii="Times New Roman" w:cs="Times New Roman" w:eastAsia="Times New Roman" w:hAnsi="Times New Roman"/>
                <w:sz w:val="13"/>
                <w:szCs w:val="13"/>
                <w:color w:val="auto"/>
                <w:w w:val="96"/>
              </w:rPr>
              <w:t>(Former name, former address and former fiscal year, if changed since last report)</w:t>
            </w:r>
          </w:p>
        </w:tc>
        <w:tc>
          <w:tcPr>
            <w:tcW w:w="0" w:type="dxa"/>
            <w:vAlign w:val="bottom"/>
          </w:tcPr>
          <w:p>
            <w:pPr>
              <w:spacing w:after="0"/>
              <w:rPr>
                <w:sz w:val="1"/>
                <w:szCs w:val="1"/>
                <w:color w:val="auto"/>
              </w:rPr>
            </w:pPr>
          </w:p>
        </w:tc>
      </w:tr>
      <w:tr>
        <w:trPr>
          <w:trHeight w:val="320"/>
        </w:trPr>
        <w:tc>
          <w:tcPr>
            <w:tcW w:w="3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78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color w:val="auto"/>
              </w:rPr>
              <w:t>Trading Symbol(s)</w:t>
            </w:r>
          </w:p>
        </w:tc>
        <w:tc>
          <w:tcPr>
            <w:tcW w:w="3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2620" w:type="dxa"/>
            <w:vAlign w:val="bottom"/>
          </w:tcPr>
          <w:p>
            <w:pPr>
              <w:jc w:val="center"/>
              <w:ind w:right="443"/>
              <w:spacing w:after="0"/>
              <w:rPr>
                <w:sz w:val="20"/>
                <w:szCs w:val="20"/>
                <w:color w:val="auto"/>
              </w:rPr>
            </w:pPr>
            <w:r>
              <w:rPr>
                <w:rFonts w:ascii="Times New Roman" w:cs="Times New Roman" w:eastAsia="Times New Roman" w:hAnsi="Times New Roman"/>
                <w:sz w:val="16"/>
                <w:szCs w:val="16"/>
                <w:color w:val="auto"/>
              </w:rPr>
              <w:t>CVGW</w:t>
            </w:r>
          </w:p>
        </w:tc>
        <w:tc>
          <w:tcPr>
            <w:tcW w:w="160" w:type="dxa"/>
            <w:vAlign w:val="bottom"/>
            <w:vMerge w:val="continue"/>
          </w:tcPr>
          <w:p>
            <w:pPr>
              <w:spacing w:after="0"/>
              <w:rPr>
                <w:sz w:val="17"/>
                <w:szCs w:val="17"/>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ind w:right="38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44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4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ind w:left="1020"/>
        <w:spacing w:after="0" w:line="184" w:lineRule="exact"/>
        <w:tabs>
          <w:tab w:leader="none" w:pos="666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67" w:lineRule="exact"/>
        <w:rPr>
          <w:sz w:val="24"/>
          <w:szCs w:val="24"/>
          <w:color w:val="auto"/>
        </w:rPr>
      </w:pPr>
    </w:p>
    <w:p>
      <w:pPr>
        <w:ind w:left="1020"/>
        <w:spacing w:after="0" w:line="184" w:lineRule="exact"/>
        <w:tabs>
          <w:tab w:leader="none" w:pos="666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ind w:left="66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right="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4" w:lineRule="exact"/>
        <w:rPr>
          <w:sz w:val="24"/>
          <w:szCs w:val="24"/>
          <w:color w:val="auto"/>
        </w:rPr>
      </w:pPr>
    </w:p>
    <w:p>
      <w:pPr>
        <w:ind w:right="1940"/>
        <w:spacing w:after="0" w:line="2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Registrant's number of shares of common stock outstanding as of May 31, 2025 was 17,837,172.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579120</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159385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201930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73660</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53" w:lineRule="exact"/>
        <w:rPr>
          <w:sz w:val="20"/>
          <w:szCs w:val="20"/>
          <w:color w:val="auto"/>
        </w:rPr>
      </w:pPr>
    </w:p>
    <w:p>
      <w:pPr>
        <w:ind w:left="40" w:right="119" w:firstLine="259"/>
        <w:spacing w:after="0" w:line="253" w:lineRule="auto"/>
        <w:rPr>
          <w:sz w:val="20"/>
          <w:szCs w:val="20"/>
          <w:color w:val="auto"/>
        </w:rPr>
      </w:pPr>
      <w:r>
        <w:rPr>
          <w:rFonts w:ascii="Times New Roman" w:cs="Times New Roman" w:eastAsia="Times New Roman" w:hAnsi="Times New Roman"/>
          <w:sz w:val="16"/>
          <w:szCs w:val="16"/>
          <w:color w:val="auto"/>
        </w:rPr>
        <w:t>This Quarterly Report on Form 10-Q, including the “Management’s Discussion and Analysis of Financial Condition and Results of Operations” in Item 2, contains statements relating to future events and results of Calavo Growers, Inc. and its consolidated subsidiaries (“Calavo,” the “Company,” “we,” “us” or “our”) that are “forward-looking statements” within the meaning of the Private Securities Litigation Reform Act of 1995. These statements involve risks, uncertainties, and assumptions, are based on current expectations, and are not guarantees of future performance. If any of these risks or uncertainties materialize, or if underlying assumptions prove incorrect, actual results may differ materially from those expressed or implied in the forward-looking statements.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All statements other than historical facts are forward-looking statements, including but not limited to:</w:t>
      </w:r>
    </w:p>
    <w:p>
      <w:pPr>
        <w:spacing w:after="0" w:line="194" w:lineRule="exact"/>
        <w:rPr>
          <w:sz w:val="20"/>
          <w:szCs w:val="20"/>
          <w:color w:val="auto"/>
        </w:rPr>
      </w:pPr>
    </w:p>
    <w:p>
      <w:pPr>
        <w:ind w:left="720" w:right="319" w:hanging="325"/>
        <w:spacing w:after="0" w:line="24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Projections of revenue, gross profit, expenses, income/loss from unconsolidated entities, earnings per share, tax provisions, cash flows, and exchange rates;</w:t>
      </w:r>
    </w:p>
    <w:p>
      <w:pPr>
        <w:ind w:left="720" w:hanging="325"/>
        <w:spacing w:after="0" w:line="219"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impact of acquisitions, equity investments, or other financial transactions;</w:t>
      </w:r>
    </w:p>
    <w:p>
      <w:pPr>
        <w:ind w:left="720" w:hanging="325"/>
        <w:spacing w:after="0" w:line="219"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Management’s plans and objectives for future operations, including restructuring and integration efforts;</w:t>
      </w:r>
    </w:p>
    <w:p>
      <w:pPr>
        <w:ind w:left="720" w:hanging="325"/>
        <w:spacing w:after="0" w:line="219"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Commentary on macroeconomic trends or global events and their impact on Calavo’s performance;</w:t>
      </w:r>
    </w:p>
    <w:p>
      <w:pPr>
        <w:ind w:left="720" w:hanging="325"/>
        <w:spacing w:after="0" w:line="219"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Updates on legal matters, investigations, or tax disputes;</w:t>
      </w:r>
    </w:p>
    <w:p>
      <w:pPr>
        <w:ind w:left="720" w:hanging="325"/>
        <w:spacing w:after="0" w:line="219"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Risks associated with international operations, including U.S. and foreign trade restrictions, tariffs, and quotas;</w:t>
      </w:r>
    </w:p>
    <w:p>
      <w:pPr>
        <w:ind w:left="720" w:hanging="325"/>
        <w:spacing w:after="0" w:line="219"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Cybersecurity risks and system vulnerabilities;</w:t>
      </w:r>
    </w:p>
    <w:p>
      <w:pPr>
        <w:ind w:left="720" w:hanging="325"/>
        <w:spacing w:after="0" w:line="219"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Risks tied to working capital timing, especially related to tariff prepayments and VAT refund collections in Mexico; and</w:t>
      </w:r>
    </w:p>
    <w:p>
      <w:pPr>
        <w:ind w:left="720" w:hanging="325"/>
        <w:spacing w:after="0" w:line="22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Potential changes in Mexico’s tax policies or enforcement actions.</w:t>
      </w:r>
    </w:p>
    <w:p>
      <w:pPr>
        <w:spacing w:after="0" w:line="168" w:lineRule="exact"/>
        <w:rPr>
          <w:sz w:val="20"/>
          <w:szCs w:val="20"/>
          <w:color w:val="auto"/>
        </w:rPr>
      </w:pPr>
    </w:p>
    <w:p>
      <w:pPr>
        <w:ind w:left="40" w:right="299" w:firstLine="259"/>
        <w:spacing w:after="0" w:line="280" w:lineRule="auto"/>
        <w:rPr>
          <w:sz w:val="20"/>
          <w:szCs w:val="20"/>
          <w:color w:val="auto"/>
        </w:rPr>
      </w:pPr>
      <w:r>
        <w:rPr>
          <w:rFonts w:ascii="Times New Roman" w:cs="Times New Roman" w:eastAsia="Times New Roman" w:hAnsi="Times New Roman"/>
          <w:sz w:val="16"/>
          <w:szCs w:val="16"/>
          <w:color w:val="auto"/>
        </w:rPr>
        <w:t>The words “anticipates,” “expects,” “intends,” “plans,” “believes,” “seeks,” “estimates,” “projects,” and similar expressions often indicate forward-looking statements.</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Factors that may cause actual results to differ materially from these forward-looking statements include, but are not limited to:</w:t>
      </w:r>
    </w:p>
    <w:p>
      <w:pPr>
        <w:spacing w:after="0" w:line="194" w:lineRule="exact"/>
        <w:rPr>
          <w:sz w:val="20"/>
          <w:szCs w:val="20"/>
          <w:color w:val="auto"/>
        </w:rPr>
      </w:pPr>
    </w:p>
    <w:p>
      <w:pPr>
        <w:ind w:left="720" w:hanging="325"/>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ability to successfully execute operating and restructuring initiatives;</w:t>
      </w:r>
    </w:p>
    <w:p>
      <w:pPr>
        <w:ind w:left="720" w:hanging="325"/>
        <w:spacing w:after="0" w:line="219"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potential long-term effects of capital expenditure reductions;</w:t>
      </w:r>
    </w:p>
    <w:p>
      <w:pPr>
        <w:ind w:left="720" w:hanging="325"/>
        <w:spacing w:after="0" w:line="219"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Adverse weather impacting supply and costs;</w:t>
      </w:r>
    </w:p>
    <w:p>
      <w:pPr>
        <w:ind w:left="720" w:hanging="325"/>
        <w:spacing w:after="0" w:line="219"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Seasonal fluctuations;</w:t>
      </w:r>
    </w:p>
    <w:p>
      <w:pPr>
        <w:ind w:left="720" w:hanging="325"/>
        <w:spacing w:after="0" w:line="219"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Volatility in avocado and raw material prices (including packaging, paper, and fuel);</w:t>
      </w:r>
    </w:p>
    <w:p>
      <w:pPr>
        <w:ind w:left="720" w:hanging="325"/>
        <w:spacing w:after="0" w:line="219"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Supply chain disruptions;</w:t>
      </w:r>
    </w:p>
    <w:p>
      <w:pPr>
        <w:ind w:left="720" w:hanging="325"/>
        <w:spacing w:after="0" w:line="219"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Risks from current or future acquisitions, including integration;</w:t>
      </w:r>
    </w:p>
    <w:p>
      <w:pPr>
        <w:ind w:left="720" w:hanging="325"/>
        <w:spacing w:after="0" w:line="219"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Data breaches or cybersecurity incidents;</w:t>
      </w:r>
    </w:p>
    <w:p>
      <w:pPr>
        <w:ind w:left="720" w:hanging="325"/>
        <w:spacing w:after="0" w:line="219"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Dependency on large customers and key personnel;</w:t>
      </w:r>
    </w:p>
    <w:p>
      <w:pPr>
        <w:ind w:left="720" w:hanging="325"/>
        <w:spacing w:after="0" w:line="219"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Labor availability and wage inflation;</w:t>
      </w:r>
    </w:p>
    <w:p>
      <w:pPr>
        <w:ind w:left="720" w:hanging="325"/>
        <w:spacing w:after="0" w:line="219"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Co-packer reliance and competitive pressures;</w:t>
      </w:r>
    </w:p>
    <w:p>
      <w:pPr>
        <w:ind w:left="720" w:hanging="325"/>
        <w:spacing w:after="0" w:line="219"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Product recalls or food safety issues;</w:t>
      </w:r>
    </w:p>
    <w:p>
      <w:pPr>
        <w:ind w:left="720" w:hanging="325"/>
        <w:spacing w:after="0" w:line="219"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Shifting consumer preferences and sustainability trends;</w:t>
      </w:r>
    </w:p>
    <w:p>
      <w:pPr>
        <w:ind w:left="720" w:hanging="325"/>
        <w:spacing w:after="0" w:line="219"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Environmental regulations and climate-related supply risk;</w:t>
      </w:r>
    </w:p>
    <w:p>
      <w:pPr>
        <w:ind w:left="720" w:hanging="325"/>
        <w:spacing w:after="0" w:line="219"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Global trade complexities, including restrictions, tariffs, and currency movements;</w:t>
      </w:r>
    </w:p>
    <w:p>
      <w:pPr>
        <w:ind w:left="720" w:hanging="325"/>
        <w:spacing w:after="0" w:line="219"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Exposure to unconsolidated entities and the volatility of our stock; and</w:t>
      </w:r>
    </w:p>
    <w:p>
      <w:pPr>
        <w:ind w:left="720" w:right="359" w:hanging="325"/>
        <w:spacing w:after="0" w:line="234"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resolution of pending matters with the Mexican Tax Administrative Service (SAT) and the risk of unfavorable legal or administrative outcomes.</w:t>
      </w:r>
    </w:p>
    <w:p>
      <w:pPr>
        <w:spacing w:after="0" w:line="168" w:lineRule="exact"/>
        <w:rPr>
          <w:sz w:val="20"/>
          <w:szCs w:val="20"/>
          <w:color w:val="auto"/>
        </w:rPr>
      </w:pPr>
    </w:p>
    <w:p>
      <w:pPr>
        <w:ind w:left="40" w:right="79" w:firstLine="259"/>
        <w:spacing w:after="0" w:line="263" w:lineRule="auto"/>
        <w:rPr>
          <w:sz w:val="20"/>
          <w:szCs w:val="20"/>
          <w:color w:val="auto"/>
        </w:rPr>
      </w:pPr>
      <w:r>
        <w:rPr>
          <w:rFonts w:ascii="Times New Roman" w:cs="Times New Roman" w:eastAsia="Times New Roman" w:hAnsi="Times New Roman"/>
          <w:sz w:val="16"/>
          <w:szCs w:val="16"/>
          <w:color w:val="auto"/>
        </w:rPr>
        <w:t>Additional information about these and other risks is included in our most recent Annual Report on Form 10-K for the fiscal year ended October 31, 2024, and in our subsequent Quarterly Reports on Form 10-Q (including this one) and other filings with the Securities and Exchange Commission.</w:t>
      </w:r>
    </w:p>
    <w:p>
      <w:pPr>
        <w:spacing w:after="0" w:line="151" w:lineRule="exact"/>
        <w:rPr>
          <w:sz w:val="20"/>
          <w:szCs w:val="20"/>
          <w:color w:val="auto"/>
        </w:rPr>
      </w:pPr>
    </w:p>
    <w:p>
      <w:pPr>
        <w:ind w:left="40" w:right="339" w:firstLine="259"/>
        <w:spacing w:after="0" w:line="280" w:lineRule="auto"/>
        <w:rPr>
          <w:sz w:val="20"/>
          <w:szCs w:val="20"/>
          <w:color w:val="auto"/>
        </w:rPr>
      </w:pPr>
      <w:r>
        <w:rPr>
          <w:rFonts w:ascii="Times New Roman" w:cs="Times New Roman" w:eastAsia="Times New Roman" w:hAnsi="Times New Roman"/>
          <w:sz w:val="16"/>
          <w:szCs w:val="16"/>
          <w:color w:val="auto"/>
        </w:rPr>
        <w:t>Forward-looking statements are made as of the date of this report. We undertake no obligation to update or revise them, except as required by applicable securities laws.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392"/>
        </w:trPr>
        <w:tc>
          <w:tcPr>
            <w:tcW w:w="30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51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r>
      <w:tr>
        <w:trPr>
          <w:trHeight w:val="398"/>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w:t>
            </w:r>
          </w:p>
        </w:tc>
        <w:tc>
          <w:tcPr>
            <w:tcW w:w="75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Financial Statements:</w:t>
            </w:r>
          </w:p>
        </w:tc>
        <w:tc>
          <w:tcPr>
            <w:tcW w:w="72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0000EE"/>
              </w:rPr>
              <w:t>Condensed Consolidated Balance Sheets –April 30, 2025 and October 31, 2024 (Unaudited)</w:t>
            </w:r>
          </w:p>
        </w:tc>
        <w:tc>
          <w:tcPr>
            <w:tcW w:w="154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rPr>
              <w:t>Condensed Consolidated Statements of Operations – Three and Six Months Ended April 30, 2025 and 2024</w:t>
            </w:r>
          </w:p>
        </w:tc>
        <w:tc>
          <w:tcPr>
            <w:tcW w:w="54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EE"/>
                <w:w w:val="98"/>
              </w:rPr>
              <w:t>(Unaudited)</w:t>
            </w:r>
          </w:p>
        </w:tc>
        <w:tc>
          <w:tcPr>
            <w:tcW w:w="6740" w:type="dxa"/>
            <w:vAlign w:val="bottom"/>
            <w:gridSpan w:val="15"/>
          </w:tcPr>
          <w:p>
            <w:pPr>
              <w:spacing w:after="0"/>
              <w:rPr>
                <w:sz w:val="15"/>
                <w:szCs w:val="15"/>
                <w:color w:val="auto"/>
              </w:rPr>
            </w:pPr>
          </w:p>
        </w:tc>
        <w:tc>
          <w:tcPr>
            <w:tcW w:w="720" w:type="dxa"/>
            <w:vAlign w:val="bottom"/>
          </w:tcPr>
          <w:p>
            <w:pPr>
              <w:spacing w:after="0"/>
              <w:rPr>
                <w:sz w:val="15"/>
                <w:szCs w:val="15"/>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6"/>
                <w:szCs w:val="16"/>
                <w:color w:val="0000EE"/>
              </w:rPr>
              <w:t>Condensed Consolidated Statements of Cash Flows – Six Months Ended April 30, 2025 and 2024 (Unaudited)</w:t>
            </w:r>
          </w:p>
        </w:tc>
        <w:tc>
          <w:tcPr>
            <w:tcW w:w="36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6"/>
                <w:szCs w:val="16"/>
                <w:color w:val="0000EE"/>
              </w:rPr>
              <w:t>Condensed Consolidated Statements of Shareholders’ Equity – Three and Six Months Ended April 30, 2025 and</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w w:val="98"/>
              </w:rPr>
              <w:t>2024 (Unaudited)</w:t>
            </w:r>
          </w:p>
        </w:tc>
        <w:tc>
          <w:tcPr>
            <w:tcW w:w="6380" w:type="dxa"/>
            <w:vAlign w:val="bottom"/>
            <w:gridSpan w:val="13"/>
          </w:tcPr>
          <w:p>
            <w:pPr>
              <w:spacing w:after="0"/>
              <w:rPr>
                <w:sz w:val="15"/>
                <w:szCs w:val="15"/>
                <w:color w:val="auto"/>
              </w:rPr>
            </w:pPr>
          </w:p>
        </w:tc>
        <w:tc>
          <w:tcPr>
            <w:tcW w:w="720" w:type="dxa"/>
            <w:vAlign w:val="bottom"/>
          </w:tcPr>
          <w:p>
            <w:pPr>
              <w:spacing w:after="0"/>
              <w:rPr>
                <w:sz w:val="15"/>
                <w:szCs w:val="15"/>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Notes to Condensed Consolidated Financial Statements (Unaudited)</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2.</w:t>
            </w:r>
          </w:p>
        </w:tc>
        <w:tc>
          <w:tcPr>
            <w:tcW w:w="200" w:type="dxa"/>
            <w:vAlign w:val="bottom"/>
            <w:gridSpan w:val="2"/>
          </w:tcPr>
          <w:p>
            <w:pPr>
              <w:spacing w:after="0"/>
              <w:rPr>
                <w:sz w:val="24"/>
                <w:szCs w:val="24"/>
                <w:color w:val="auto"/>
              </w:rPr>
            </w:pPr>
          </w:p>
        </w:tc>
        <w:tc>
          <w:tcPr>
            <w:tcW w:w="75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3.</w:t>
            </w:r>
          </w:p>
        </w:tc>
        <w:tc>
          <w:tcPr>
            <w:tcW w:w="200" w:type="dxa"/>
            <w:vAlign w:val="bottom"/>
            <w:gridSpan w:val="2"/>
          </w:tcPr>
          <w:p>
            <w:pPr>
              <w:spacing w:after="0"/>
              <w:rPr>
                <w:sz w:val="24"/>
                <w:szCs w:val="24"/>
                <w:color w:val="auto"/>
              </w:rPr>
            </w:pPr>
          </w:p>
        </w:tc>
        <w:tc>
          <w:tcPr>
            <w:tcW w:w="75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4.</w:t>
            </w:r>
          </w:p>
        </w:tc>
        <w:tc>
          <w:tcPr>
            <w:tcW w:w="200" w:type="dxa"/>
            <w:vAlign w:val="bottom"/>
            <w:gridSpan w:val="2"/>
          </w:tcPr>
          <w:p>
            <w:pPr>
              <w:spacing w:after="0"/>
              <w:rPr>
                <w:sz w:val="24"/>
                <w:szCs w:val="24"/>
                <w:color w:val="auto"/>
              </w:rPr>
            </w:pPr>
          </w:p>
        </w:tc>
        <w:tc>
          <w:tcPr>
            <w:tcW w:w="75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Controls and Procedures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0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b w:val="1"/>
                <w:bCs w:val="1"/>
                <w:color w:val="0000EE"/>
                <w:w w:val="99"/>
              </w:rPr>
              <w:t>PART II. OTHER INFORMATION</w:t>
            </w:r>
          </w:p>
        </w:tc>
        <w:tc>
          <w:tcPr>
            <w:tcW w:w="570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1.</w:t>
            </w:r>
          </w:p>
        </w:tc>
        <w:tc>
          <w:tcPr>
            <w:tcW w:w="200" w:type="dxa"/>
            <w:vAlign w:val="bottom"/>
            <w:gridSpan w:val="2"/>
          </w:tcPr>
          <w:p>
            <w:pPr>
              <w:spacing w:after="0"/>
              <w:rPr>
                <w:sz w:val="24"/>
                <w:szCs w:val="24"/>
                <w:color w:val="auto"/>
              </w:rPr>
            </w:pPr>
          </w:p>
        </w:tc>
        <w:tc>
          <w:tcPr>
            <w:tcW w:w="75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340" w:type="dxa"/>
            <w:vAlign w:val="bottom"/>
            <w:tcBorders>
              <w:left w:val="single" w:sz="8" w:color="0000EE"/>
            </w:tcBorders>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85"/>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1A.</w:t>
            </w:r>
          </w:p>
        </w:tc>
        <w:tc>
          <w:tcPr>
            <w:tcW w:w="75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Risk Factors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34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34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99"/>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6.</w:t>
            </w:r>
          </w:p>
        </w:tc>
        <w:tc>
          <w:tcPr>
            <w:tcW w:w="200" w:type="dxa"/>
            <w:vAlign w:val="bottom"/>
            <w:gridSpan w:val="2"/>
          </w:tcPr>
          <w:p>
            <w:pPr>
              <w:spacing w:after="0"/>
              <w:rPr>
                <w:sz w:val="24"/>
                <w:szCs w:val="24"/>
                <w:color w:val="auto"/>
              </w:rPr>
            </w:pPr>
          </w:p>
        </w:tc>
        <w:tc>
          <w:tcPr>
            <w:tcW w:w="75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Exhibits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40" w:type="dxa"/>
            <w:vAlign w:val="bottom"/>
            <w:gridSpan w:val="1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7"/>
              </w:rPr>
              <w:t>Signatures</w:t>
            </w:r>
          </w:p>
        </w:tc>
        <w:tc>
          <w:tcPr>
            <w:tcW w:w="6840" w:type="dxa"/>
            <w:vAlign w:val="bottom"/>
            <w:gridSpan w:val="16"/>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CALAVO GROWERS,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73"/>
        </w:trPr>
        <w:tc>
          <w:tcPr>
            <w:tcW w:w="7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60,361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57,031</w:t>
            </w:r>
          </w:p>
        </w:tc>
      </w:tr>
      <w:tr>
        <w:trPr>
          <w:trHeight w:val="20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allowances of $3,399 (2025) and $3,624 (2024)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57,603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41,909</w:t>
            </w: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41,625</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34,157</w:t>
            </w:r>
          </w:p>
        </w:tc>
      </w:tr>
      <w:tr>
        <w:trPr>
          <w:trHeight w:val="20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w:t>
            </w: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Advances to suppliers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10,277</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14,570</w:t>
            </w:r>
          </w:p>
        </w:tc>
      </w:tr>
      <w:tr>
        <w:trPr>
          <w:trHeight w:val="203"/>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w:t>
            </w:r>
          </w:p>
        </w:tc>
      </w:tr>
      <w:tr>
        <w:trPr>
          <w:trHeight w:val="196"/>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180,259</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158,579</w:t>
            </w: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51,058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54,200</w:t>
            </w:r>
          </w:p>
        </w:tc>
      </w:tr>
      <w:tr>
        <w:trPr>
          <w:trHeight w:val="202"/>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17,610</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18,316</w:t>
            </w: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w:t>
            </w: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51,838</w:t>
            </w: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49,916</w:t>
            </w:r>
          </w:p>
        </w:tc>
      </w:tr>
      <w:tr>
        <w:trPr>
          <w:trHeight w:val="236"/>
        </w:trPr>
        <w:tc>
          <w:tcPr>
            <w:tcW w:w="7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321,453</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301,119</w:t>
            </w:r>
          </w:p>
        </w:tc>
      </w:tr>
      <w:tr>
        <w:trPr>
          <w:trHeight w:val="183"/>
        </w:trPr>
        <w:tc>
          <w:tcPr>
            <w:tcW w:w="71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Payable to growers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48,568</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18,377</w:t>
            </w:r>
          </w:p>
        </w:tc>
      </w:tr>
      <w:tr>
        <w:trPr>
          <w:trHeight w:val="20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8,742</w:t>
            </w: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28,149</w:t>
            </w:r>
          </w:p>
        </w:tc>
      </w:tr>
      <w:tr>
        <w:trPr>
          <w:trHeight w:val="20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 payable</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r>
      <w:tr>
        <w:trPr>
          <w:trHeight w:val="20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w:t>
            </w: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finance leases</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r>
      <w:tr>
        <w:trPr>
          <w:trHeight w:val="196"/>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90,171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73,205</w:t>
            </w: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portion of operating leases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17,476</w:t>
            </w: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portion of finance leases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w:t>
            </w:r>
          </w:p>
        </w:tc>
      </w:tr>
      <w:tr>
        <w:trPr>
          <w:trHeight w:val="203"/>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4,384</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4,388</w:t>
            </w:r>
          </w:p>
        </w:tc>
      </w:tr>
      <w:tr>
        <w:trPr>
          <w:trHeight w:val="196"/>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26,138</w:t>
            </w: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9"/>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($0.001 par value, 100,000 shares authorized; 17,841 (2025) and 17,802 (2024)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issued and outstanding)</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5"/>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178,522</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177,973</w:t>
            </w:r>
          </w:p>
        </w:tc>
      </w:tr>
      <w:tr>
        <w:trPr>
          <w:trHeight w:val="203"/>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r>
      <w:tr>
        <w:trPr>
          <w:trHeight w:val="20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26,465</w:t>
            </w: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22,341</w:t>
            </w:r>
          </w:p>
        </w:tc>
      </w:tr>
      <w:tr>
        <w:trPr>
          <w:trHeight w:val="196"/>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206,559</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201,776</w:t>
            </w:r>
          </w:p>
        </w:tc>
      </w:tr>
      <w:tr>
        <w:trPr>
          <w:trHeight w:val="196"/>
        </w:trPr>
        <w:tc>
          <w:tcPr>
            <w:tcW w:w="7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321,453</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301,119</w:t>
            </w:r>
          </w:p>
        </w:tc>
      </w:tr>
      <w:tr>
        <w:trPr>
          <w:trHeight w:val="20"/>
        </w:trPr>
        <w:tc>
          <w:tcPr>
            <w:tcW w:w="7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42"/>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190,546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184,383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344,931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311,989</w:t>
            </w:r>
          </w:p>
        </w:tc>
      </w:tr>
      <w:tr>
        <w:trPr>
          <w:trHeight w:val="216"/>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172,457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163,845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311,114</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280,691</w:t>
            </w: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31,298</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26,483</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r>
      <w:tr>
        <w:trPr>
          <w:trHeight w:val="216"/>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178"/>
        </w:trPr>
        <w:tc>
          <w:tcPr>
            <w:tcW w:w="52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before income taxes and net income (loss) from unconsolidated</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34"/>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unconsolidated entities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(Note 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50"/>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197"/>
        </w:trPr>
        <w:tc>
          <w:tcPr>
            <w:tcW w:w="5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16"/>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16"/>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56"/>
        </w:trPr>
        <w:tc>
          <w:tcPr>
            <w:tcW w:w="5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17,815</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17,800</w:t>
            </w:r>
          </w:p>
        </w:tc>
      </w:tr>
      <w:tr>
        <w:trPr>
          <w:trHeight w:val="197"/>
        </w:trPr>
        <w:tc>
          <w:tcPr>
            <w:tcW w:w="5280" w:type="dxa"/>
            <w:vAlign w:val="bottom"/>
            <w:tcBorders>
              <w:bottom w:val="single" w:sz="8" w:color="CCEEFF"/>
            </w:tcBorders>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17,828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17,872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17,903</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17,866</w:t>
            </w: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11,375</w:t>
            </w:r>
          </w:p>
        </w:tc>
        <w:tc>
          <w:tcPr>
            <w:tcW w:w="36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706</w:t>
            </w: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 from unconsolidated entities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Provision for uncollectible Mexican IVA taxes receivable</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sale of Temecula packinghouse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loss on disposal of property, plant, and equipment</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(15,694)</w:t>
            </w: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(7,468)</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4,293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(765)</w:t>
            </w: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Payable to growers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30,191</w:t>
            </w: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Trade accounts payable, accrued expenses and other liabilities</w:t>
            </w:r>
          </w:p>
        </w:tc>
        <w:tc>
          <w:tcPr>
            <w:tcW w:w="8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(13,666)</w:t>
            </w: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11,264</w:t>
            </w: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8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(415)</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 to shareholders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(7,141)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83,176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revolving credit facility</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of minimum withholding taxes on net share settlement of equity awards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term loan</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obligations and finance leases</w:t>
            </w:r>
          </w:p>
        </w:tc>
        <w:tc>
          <w:tcPr>
            <w:tcW w:w="8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(7,519)</w:t>
            </w: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increase in cash, cash equivalents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3,330</w:t>
            </w: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beginning of period</w:t>
            </w:r>
          </w:p>
        </w:tc>
        <w:tc>
          <w:tcPr>
            <w:tcW w:w="8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57,031</w:t>
            </w: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end of period</w:t>
            </w:r>
          </w:p>
        </w:tc>
        <w:tc>
          <w:tcPr>
            <w:tcW w:w="8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60,361</w:t>
            </w:r>
          </w:p>
        </w:tc>
        <w:tc>
          <w:tcPr>
            <w:tcW w:w="360" w:type="dxa"/>
            <w:vAlign w:val="bottom"/>
            <w:tcBorders>
              <w:bottom w:val="single" w:sz="8" w:color="CCEEFF"/>
              <w:right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4,273</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0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obtained in exchange for new financing lease obligations</w:t>
            </w:r>
          </w:p>
        </w:tc>
        <w:tc>
          <w:tcPr>
            <w:tcW w:w="9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CCEEFF"/>
            </w:tcBorders>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Settlement of Agricola Belher infrastructure advance offset against payable to growers</w:t>
            </w:r>
          </w:p>
        </w:tc>
        <w:tc>
          <w:tcPr>
            <w:tcW w:w="8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continue"/>
          </w:tcPr>
          <w:p>
            <w:pPr>
              <w:spacing w:after="0"/>
              <w:rPr>
                <w:sz w:val="14"/>
                <w:szCs w:val="14"/>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Declared dividends payable</w:t>
            </w: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w:t>
            </w:r>
          </w:p>
        </w:tc>
        <w:tc>
          <w:tcPr>
            <w:tcW w:w="36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Property, plant, and equipment included in trade accounts payable and accrued expenses</w:t>
            </w:r>
          </w:p>
        </w:tc>
        <w:tc>
          <w:tcPr>
            <w:tcW w:w="8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234</w:t>
            </w:r>
          </w:p>
        </w:tc>
        <w:tc>
          <w:tcPr>
            <w:tcW w:w="360" w:type="dxa"/>
            <w:vAlign w:val="bottom"/>
          </w:tcPr>
          <w:p>
            <w:pPr>
              <w:spacing w:after="0"/>
              <w:rPr>
                <w:sz w:val="11"/>
                <w:szCs w:val="11"/>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CALAVO GROWERS,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SHAREHOLDERS’ EQUITY (UNAUDITED)</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5"/>
        </w:trPr>
        <w:tc>
          <w:tcPr>
            <w:tcW w:w="35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28"/>
        </w:trPr>
        <w:tc>
          <w:tcPr>
            <w:tcW w:w="3540" w:type="dxa"/>
            <w:vAlign w:val="bottom"/>
          </w:tcPr>
          <w:p>
            <w:pPr>
              <w:spacing w:after="0"/>
              <w:rPr>
                <w:sz w:val="11"/>
                <w:szCs w:val="11"/>
                <w:color w:val="auto"/>
              </w:rPr>
            </w:pPr>
          </w:p>
        </w:tc>
        <w:tc>
          <w:tcPr>
            <w:tcW w:w="6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5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January 31, 2025</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17,837</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178,198</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23,189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1,464</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202,869</w:t>
            </w:r>
          </w:p>
        </w:tc>
      </w:tr>
      <w:tr>
        <w:trPr>
          <w:trHeight w:val="117"/>
        </w:trPr>
        <w:tc>
          <w:tcPr>
            <w:tcW w:w="3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323</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(0.20 per share)</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(3,574)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(3,574)</w:t>
            </w:r>
          </w:p>
        </w:tc>
      </w:tr>
      <w:tr>
        <w:trPr>
          <w:trHeight w:val="117"/>
        </w:trPr>
        <w:tc>
          <w:tcPr>
            <w:tcW w:w="3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Payment of min. withholding of taxes on net share settlement of</w:t>
            </w: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5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awards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 attributable to Calavo Growers, Inc.</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6,850</w:t>
            </w:r>
          </w:p>
        </w:tc>
      </w:tr>
      <w:tr>
        <w:trPr>
          <w:trHeight w:val="129"/>
        </w:trPr>
        <w:tc>
          <w:tcPr>
            <w:tcW w:w="35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April 30, 2025</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17,876</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178,522</w:t>
            </w:r>
          </w:p>
        </w:tc>
        <w:tc>
          <w:tcPr>
            <w:tcW w:w="1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26,465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1,554</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206,559</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5"/>
        </w:trPr>
        <w:tc>
          <w:tcPr>
            <w:tcW w:w="3540" w:type="dxa"/>
            <w:vAlign w:val="bottom"/>
          </w:tcPr>
          <w:p>
            <w:pPr>
              <w:spacing w:after="0"/>
              <w:rPr>
                <w:sz w:val="13"/>
                <w:szCs w:val="13"/>
                <w:color w:val="auto"/>
              </w:rPr>
            </w:pPr>
          </w:p>
        </w:tc>
        <w:tc>
          <w:tcPr>
            <w:tcW w:w="166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740" w:type="dxa"/>
            <w:vAlign w:val="bottom"/>
          </w:tcPr>
          <w:p>
            <w:pPr>
              <w:spacing w:after="0"/>
              <w:rPr>
                <w:sz w:val="13"/>
                <w:szCs w:val="13"/>
                <w:color w:val="auto"/>
              </w:rPr>
            </w:pPr>
          </w:p>
        </w:tc>
      </w:tr>
      <w:tr>
        <w:trPr>
          <w:trHeight w:val="129"/>
        </w:trPr>
        <w:tc>
          <w:tcPr>
            <w:tcW w:w="3540" w:type="dxa"/>
            <w:vAlign w:val="bottom"/>
          </w:tcPr>
          <w:p>
            <w:pPr>
              <w:spacing w:after="0"/>
              <w:rPr>
                <w:sz w:val="11"/>
                <w:szCs w:val="11"/>
                <w:color w:val="auto"/>
              </w:rPr>
            </w:pPr>
          </w:p>
        </w:tc>
        <w:tc>
          <w:tcPr>
            <w:tcW w:w="78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1"/>
                <w:szCs w:val="11"/>
                <w:color w:val="auto"/>
              </w:rPr>
            </w:pPr>
          </w:p>
        </w:tc>
        <w:tc>
          <w:tcPr>
            <w:tcW w:w="900" w:type="dxa"/>
            <w:vAlign w:val="bottom"/>
            <w:gridSpan w:val="2"/>
          </w:tcPr>
          <w:p>
            <w:pPr>
              <w:jc w:val="right"/>
              <w:ind w:right="34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220" w:type="dxa"/>
            <w:vAlign w:val="bottom"/>
          </w:tcPr>
          <w:p>
            <w:pPr>
              <w:spacing w:after="0"/>
              <w:rPr>
                <w:sz w:val="11"/>
                <w:szCs w:val="11"/>
                <w:color w:val="auto"/>
              </w:rPr>
            </w:pPr>
          </w:p>
        </w:tc>
        <w:tc>
          <w:tcPr>
            <w:tcW w:w="98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74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5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January 31, 2024</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17,800</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176,823</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24,290</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1,402</w:t>
            </w:r>
          </w:p>
        </w:tc>
        <w:tc>
          <w:tcPr>
            <w:tcW w:w="1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202,533</w:t>
            </w:r>
          </w:p>
        </w:tc>
      </w:tr>
      <w:tr>
        <w:trPr>
          <w:trHeight w:val="117"/>
        </w:trPr>
        <w:tc>
          <w:tcPr>
            <w:tcW w:w="3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505</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505</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(0.10 per share)</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(1,780)</w:t>
            </w:r>
          </w:p>
        </w:tc>
        <w:tc>
          <w:tcPr>
            <w:tcW w:w="22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(1,780)</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6,062</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6,062</w:t>
            </w:r>
          </w:p>
        </w:tc>
      </w:tr>
      <w:tr>
        <w:trPr>
          <w:trHeight w:val="128"/>
        </w:trPr>
        <w:tc>
          <w:tcPr>
            <w:tcW w:w="35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April 30, 2024</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17,800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177,302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28,572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1,439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207,331</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35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8"/>
        </w:trPr>
        <w:tc>
          <w:tcPr>
            <w:tcW w:w="3540" w:type="dxa"/>
            <w:vAlign w:val="bottom"/>
          </w:tcPr>
          <w:p>
            <w:pPr>
              <w:spacing w:after="0"/>
              <w:rPr>
                <w:sz w:val="11"/>
                <w:szCs w:val="11"/>
                <w:color w:val="auto"/>
              </w:rPr>
            </w:pPr>
          </w:p>
        </w:tc>
        <w:tc>
          <w:tcPr>
            <w:tcW w:w="6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35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2024</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17,802</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177,973</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22,341</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1,444</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201,776</w:t>
            </w:r>
          </w:p>
        </w:tc>
      </w:tr>
      <w:tr>
        <w:trPr>
          <w:trHeight w:val="117"/>
        </w:trPr>
        <w:tc>
          <w:tcPr>
            <w:tcW w:w="3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595</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595</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(0.20 per share)</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(7,141)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(7,141)</w:t>
            </w:r>
          </w:p>
        </w:tc>
      </w:tr>
      <w:tr>
        <w:trPr>
          <w:trHeight w:val="117"/>
        </w:trPr>
        <w:tc>
          <w:tcPr>
            <w:tcW w:w="3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Payment of min. withholding of taxes on net share settlement of</w:t>
            </w: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5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awards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 attributable to Calavo Growers, Inc.</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11,265</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11,265</w:t>
            </w:r>
          </w:p>
        </w:tc>
      </w:tr>
      <w:tr>
        <w:trPr>
          <w:trHeight w:val="129"/>
        </w:trPr>
        <w:tc>
          <w:tcPr>
            <w:tcW w:w="35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April 30, 2025</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17,876</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178,522</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26,465</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1,554</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206,559</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35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8"/>
        </w:trPr>
        <w:tc>
          <w:tcPr>
            <w:tcW w:w="35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5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2023</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17,761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176,481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32,338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1,392</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210,229</w:t>
            </w:r>
          </w:p>
        </w:tc>
      </w:tr>
      <w:tr>
        <w:trPr>
          <w:trHeight w:val="117"/>
        </w:trPr>
        <w:tc>
          <w:tcPr>
            <w:tcW w:w="3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1,446</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(0.10 per share)</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(3,561)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(3,561)</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r>
      <w:tr>
        <w:trPr>
          <w:trHeight w:val="135"/>
        </w:trPr>
        <w:tc>
          <w:tcPr>
            <w:tcW w:w="35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(205)</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(205)</w:t>
            </w:r>
          </w:p>
        </w:tc>
      </w:tr>
      <w:tr>
        <w:trPr>
          <w:trHeight w:val="129"/>
        </w:trPr>
        <w:tc>
          <w:tcPr>
            <w:tcW w:w="35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April 30, 2024</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17,800</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177,302</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28,572</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1,439</w:t>
            </w:r>
          </w:p>
        </w:tc>
        <w:tc>
          <w:tcPr>
            <w:tcW w:w="1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207,331</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40" w:right="259" w:firstLine="259"/>
        <w:spacing w:after="0" w:line="255" w:lineRule="auto"/>
        <w:rPr>
          <w:sz w:val="20"/>
          <w:szCs w:val="20"/>
          <w:color w:val="auto"/>
        </w:rPr>
      </w:pPr>
      <w:r>
        <w:rPr>
          <w:rFonts w:ascii="Times New Roman" w:cs="Times New Roman" w:eastAsia="Times New Roman" w:hAnsi="Times New Roman"/>
          <w:sz w:val="18"/>
          <w:szCs w:val="18"/>
          <w:color w:val="auto"/>
        </w:rPr>
        <w:t>Calavo Growers, Inc. (“Calavo,” the “Company,” “we,” “us,” or “our”) is a global leader in sourcing, packing and distribution of fresh avocados, tomatoes, papayas and processing of guacamole and other avocado products. Drawing on decades of expertise with fresh and prepared produce, we deliver a broad portfolio of products to retail grocers, club and mass-merchandise stores, foodservice operators, and wholesalers worldwide. We procure avocados from California, Mexico, and other key growing regions. Across our operating facilities, we (i) sort, pack, ripen, and ship avocados, tomatoes, and Hawaiian-grown papayas and (ii) process and package fresh and frozen guacamole. Our products are distributed both domestically and internationally.</w:t>
      </w:r>
    </w:p>
    <w:p>
      <w:pPr>
        <w:spacing w:after="0" w:line="189"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2025, we renamed our “Grown” reportable segment to “Fresh” to better reflect its activities; the change did not affect the segment’s composition, financial results, or internal performance metrics. We report results under two segments: Fresh and Prepared.</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179" w:firstLine="25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“interim financial statements”) have been prepared by the Company in accordance with accounting principles generally accepted in the United States and with the instructions to Form 10-Q and Article 10 of Regulation S-X of the Securities and Exchange Commission (SEC). Accordingly, they do not include all the information and footnotes required by accounting principles generally accepted in the United States for complete financial statements. In the opinion of management, the accompanying interim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2024.</w:t>
      </w:r>
    </w:p>
    <w:p>
      <w:pPr>
        <w:spacing w:after="0" w:line="235" w:lineRule="exact"/>
        <w:rPr>
          <w:sz w:val="20"/>
          <w:szCs w:val="20"/>
          <w:color w:val="auto"/>
        </w:rPr>
      </w:pPr>
    </w:p>
    <w:p>
      <w:pPr>
        <w:ind w:left="40" w:right="259" w:firstLine="270"/>
        <w:spacing w:after="0" w:line="282" w:lineRule="auto"/>
        <w:rPr>
          <w:sz w:val="20"/>
          <w:szCs w:val="20"/>
          <w:color w:val="auto"/>
        </w:rPr>
      </w:pPr>
      <w:r>
        <w:rPr>
          <w:rFonts w:ascii="Times New Roman" w:cs="Times New Roman" w:eastAsia="Times New Roman" w:hAnsi="Times New Roman"/>
          <w:sz w:val="18"/>
          <w:szCs w:val="18"/>
          <w:color w:val="auto"/>
        </w:rPr>
        <w:t>Prior period amounts related to foreign currency translation gains (losses) have been reclassified from cost of sales to foreign currency gain (loss) to conform to the current period presentation.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left="40" w:right="119" w:firstLine="315"/>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“Disaggregation of Income Statement Expenses” which expands interim and annual requirements to disclose about specific types of expenses included in the expense captions presented on the face of the income statement as well as disclosures about selling expenses. The guidance will be effective for annual periods beginning after December 15, 2026, with either retrospective or prospective application. The standard allows for early adoption of these requirements. The Company is currently evaluating the potential effect that the updated standard will have on its financial statement disclosures.</w:t>
      </w:r>
    </w:p>
    <w:p>
      <w:pPr>
        <w:spacing w:after="0" w:line="189" w:lineRule="exact"/>
        <w:rPr>
          <w:sz w:val="20"/>
          <w:szCs w:val="20"/>
          <w:color w:val="auto"/>
        </w:rPr>
      </w:pPr>
    </w:p>
    <w:p>
      <w:pPr>
        <w:ind w:left="40" w:right="59" w:firstLine="324"/>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This ASU amends ASC 740 to enhance the nature of disclosures for income taxes. Specifically, the ASU requires public business entities to disclose additional information in categories defined within the ASU within the reconciliation of the effective tax rate to the statutory rate for federal, state and foreign income taxes. Additionally, the ASU requires disclosure of taxes paid, net of refunds received, disaggregated by federal, state and foreign taxes. ASU 2023-09 is effective for years beginning after December 15, 2024 with early adoption permitted. The Company is currently evaluating the potential effect that the updated standard will have on its financial statement disclosures.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annual and interim disclosure requirements for reportable segments, primarily through enhanced disclosures about significant segment expenses. ASU 2023-07 is effective for annual periods beginning after December 15, 2023, and interim periods within fiscal years beginning after December 15, 2024, with early adoption permitted. The Company is currently evaluating the potential effect that the updated standard will have on its financial statement disclosures.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Information regarding our operations in different segments</w:t>
      </w:r>
    </w:p>
    <w:p>
      <w:pPr>
        <w:spacing w:after="0" w:line="229"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During the first quarter of fiscal 2025, we changed the name of our ‘Grown’ reportable segment to ‘Fresh’ to more accurately represent the segment’s business activities. This change in title only does not affect the segment’s composition, financial results, or how we assess performance internally. We report our operations in two different business segments: Fresh and Prepared. The Fresh segment consists of fresh avocados, tomatoes and papayas. The Prepared segment comprises all our guacamole products sold at retail and food service as well as avocado pulp sold to foodservice. These two business segments are presented based on how information is used by our Chief Executive Officer to measure performance and allocate resources. Selling, general and administrative expenses, as well as other non-operating income/expense items, are evaluated by our Chief Executive Officer in the aggregate. We do not allocate assets, or specifically identify them, to our operating segments. The sales data in the following tables is presented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80" w:type="dxa"/>
            <w:vAlign w:val="bottom"/>
            <w:tcBorders>
              <w:bottom w:val="single" w:sz="8" w:color="auto"/>
            </w:tcBorders>
            <w:gridSpan w:val="10"/>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Three months ended April 30, 2025</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12"/>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Three months ended April 30, 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Fresh</w:t>
            </w:r>
          </w:p>
        </w:tc>
        <w:tc>
          <w:tcPr>
            <w:tcW w:w="140" w:type="dxa"/>
            <w:vAlign w:val="bottom"/>
          </w:tcPr>
          <w:p>
            <w:pPr>
              <w:spacing w:after="0"/>
              <w:rPr>
                <w:sz w:val="12"/>
                <w:szCs w:val="12"/>
                <w:color w:val="auto"/>
              </w:rPr>
            </w:pPr>
          </w:p>
        </w:tc>
        <w:tc>
          <w:tcPr>
            <w:tcW w:w="980" w:type="dxa"/>
            <w:vAlign w:val="bottom"/>
            <w:gridSpan w:val="5"/>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Prepared</w:t>
            </w:r>
          </w:p>
        </w:tc>
        <w:tc>
          <w:tcPr>
            <w:tcW w:w="780" w:type="dxa"/>
            <w:vAlign w:val="bottom"/>
            <w:gridSpan w:val="2"/>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Fresh</w:t>
            </w:r>
          </w:p>
        </w:tc>
        <w:tc>
          <w:tcPr>
            <w:tcW w:w="20" w:type="dxa"/>
            <w:vAlign w:val="bottom"/>
          </w:tcPr>
          <w:p>
            <w:pPr>
              <w:spacing w:after="0"/>
              <w:rPr>
                <w:sz w:val="12"/>
                <w:szCs w:val="12"/>
                <w:color w:val="auto"/>
              </w:rPr>
            </w:pPr>
          </w:p>
        </w:tc>
        <w:tc>
          <w:tcPr>
            <w:tcW w:w="820" w:type="dxa"/>
            <w:vAlign w:val="bottom"/>
            <w:gridSpan w:val="5"/>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Prepared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18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Avocados</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160,531</w:t>
            </w:r>
          </w:p>
        </w:tc>
        <w:tc>
          <w:tcPr>
            <w:tcW w:w="3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$ 160,531</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$ 136,055</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$ 136,055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Tomatoes</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Papayas</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Other fresh income</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Guacamole</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Total gross sales</w:t>
            </w:r>
          </w:p>
        </w:tc>
        <w:tc>
          <w:tcPr>
            <w:tcW w:w="94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175,465</w:t>
            </w:r>
          </w:p>
        </w:tc>
        <w:tc>
          <w:tcPr>
            <w:tcW w:w="140" w:type="dxa"/>
            <w:vAlign w:val="bottom"/>
          </w:tcPr>
          <w:p>
            <w:pPr>
              <w:spacing w:after="0"/>
              <w:rPr>
                <w:sz w:val="18"/>
                <w:szCs w:val="18"/>
                <w:color w:val="auto"/>
              </w:rPr>
            </w:pPr>
          </w:p>
        </w:tc>
        <w:tc>
          <w:tcPr>
            <w:tcW w:w="7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28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192,624</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167,440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187,080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allowances</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0" w:type="dxa"/>
            <w:vAlign w:val="bottom"/>
          </w:tcPr>
          <w:p>
            <w:pPr>
              <w:spacing w:after="0"/>
              <w:rPr>
                <w:sz w:val="1"/>
                <w:szCs w:val="1"/>
                <w:color w:val="auto"/>
              </w:rPr>
            </w:pPr>
          </w:p>
        </w:tc>
      </w:tr>
      <w:tr>
        <w:trPr>
          <w:trHeight w:val="210"/>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174,661</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$ 15,885</w:t>
            </w: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$ 190,546</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$ 166,755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$ 17,628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$ 184,383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April 30, 2025</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April 30, 2024</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4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300" w:type="dxa"/>
            <w:vAlign w:val="bottom"/>
          </w:tcPr>
          <w:p>
            <w:pPr>
              <w:spacing w:after="0"/>
              <w:rPr>
                <w:sz w:val="24"/>
                <w:szCs w:val="24"/>
                <w:color w:val="auto"/>
              </w:rPr>
            </w:pPr>
          </w:p>
        </w:tc>
        <w:tc>
          <w:tcPr>
            <w:tcW w:w="70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Prepared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2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$ 284,370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$ 284,370</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$ 235,686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$ 235,686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20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39,352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39,352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2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6,123</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5,932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87"/>
              </w:rPr>
              <w:t>40</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Guacamole</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33,142</w:t>
            </w: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33,142</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35,719</w:t>
            </w:r>
          </w:p>
        </w:tc>
        <w:tc>
          <w:tcPr>
            <w:tcW w:w="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20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315,532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33,142</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348,674</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281,018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35,719</w:t>
            </w:r>
          </w:p>
        </w:tc>
        <w:tc>
          <w:tcPr>
            <w:tcW w:w="6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316,737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2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w:t>
            </w:r>
          </w:p>
        </w:tc>
        <w:tc>
          <w:tcPr>
            <w:tcW w:w="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w:t>
            </w:r>
          </w:p>
        </w:tc>
        <w:tc>
          <w:tcPr>
            <w:tcW w:w="0" w:type="dxa"/>
            <w:vAlign w:val="bottom"/>
          </w:tcPr>
          <w:p>
            <w:pPr>
              <w:spacing w:after="0"/>
              <w:rPr>
                <w:sz w:val="1"/>
                <w:szCs w:val="1"/>
                <w:color w:val="auto"/>
              </w:rPr>
            </w:pPr>
          </w:p>
        </w:tc>
      </w:tr>
      <w:tr>
        <w:trPr>
          <w:trHeight w:val="196"/>
        </w:trPr>
        <w:tc>
          <w:tcPr>
            <w:tcW w:w="2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sales</w:t>
            </w:r>
          </w:p>
        </w:tc>
        <w:tc>
          <w:tcPr>
            <w:tcW w:w="1380" w:type="dxa"/>
            <w:vAlign w:val="bottom"/>
            <w:gridSpan w:val="2"/>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6"/>
              </w:rPr>
              <w:t>$ 314,456</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30,475</w:t>
            </w:r>
          </w:p>
        </w:tc>
        <w:tc>
          <w:tcPr>
            <w:tcW w:w="300" w:type="dxa"/>
            <w:vAlign w:val="bottom"/>
          </w:tcPr>
          <w:p>
            <w:pPr>
              <w:spacing w:after="0"/>
              <w:rPr>
                <w:sz w:val="17"/>
                <w:szCs w:val="17"/>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w w:val="96"/>
              </w:rPr>
              <w:t>$ 344,931</w:t>
            </w:r>
          </w:p>
        </w:tc>
        <w:tc>
          <w:tcPr>
            <w:tcW w:w="16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6"/>
              </w:rPr>
              <w:t>$ 279,781</w:t>
            </w:r>
          </w:p>
        </w:tc>
        <w:tc>
          <w:tcPr>
            <w:tcW w:w="140" w:type="dxa"/>
            <w:vAlign w:val="bottom"/>
            <w:gridSpan w:val="2"/>
          </w:tcPr>
          <w:p>
            <w:pPr>
              <w:spacing w:after="0"/>
              <w:rPr>
                <w:sz w:val="17"/>
                <w:szCs w:val="17"/>
                <w:color w:val="auto"/>
              </w:rPr>
            </w:pPr>
          </w:p>
        </w:tc>
        <w:tc>
          <w:tcPr>
            <w:tcW w:w="6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$ 32,208</w:t>
            </w:r>
          </w:p>
        </w:tc>
        <w:tc>
          <w:tcPr>
            <w:tcW w:w="6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$ 311,989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gridSpan w:val="8"/>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April 30, 2025</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15,885</w:t>
            </w:r>
          </w:p>
        </w:tc>
        <w:tc>
          <w:tcPr>
            <w:tcW w:w="16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160,608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April 30, 2024</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16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Six months ended April 30, 2025</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30,475</w:t>
            </w:r>
          </w:p>
        </w:tc>
        <w:tc>
          <w:tcPr>
            <w:tcW w:w="16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288,266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Six months ended April 30, 2024</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16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257,121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For the three months ended April 30, 2025 and 2024, intercompany sales and cost of sales of $0.3 million and $0.2 million between Fresh products and Prepared products were eliminated. For the six months ended April 30, 2025 and 2024, intercompany sales and cost of sales of $0.7 million and $0.6 million between Grown products and Prepared products were eliminated.</w:t>
      </w:r>
    </w:p>
    <w:p>
      <w:pPr>
        <w:spacing w:after="0" w:line="180"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Sales to customers outside the U.S. were approximately $13.1 million and $12.9 million for the three months ended April 30, 2025, and 2024. Sales to customers outside the U.S. were approximately $24.8 million and $23.8 million for the six months ended April 30, 2025 and 2024.</w:t>
      </w:r>
    </w:p>
    <w:p>
      <w:pPr>
        <w:spacing w:after="0" w:line="176" w:lineRule="exact"/>
        <w:rPr>
          <w:sz w:val="20"/>
          <w:szCs w:val="20"/>
          <w:color w:val="auto"/>
        </w:rPr>
      </w:pPr>
    </w:p>
    <w:p>
      <w:pPr>
        <w:ind w:left="40" w:right="279" w:firstLine="259"/>
        <w:spacing w:after="0" w:line="261" w:lineRule="auto"/>
        <w:rPr>
          <w:sz w:val="20"/>
          <w:szCs w:val="20"/>
          <w:color w:val="auto"/>
        </w:rPr>
      </w:pPr>
      <w:r>
        <w:rPr>
          <w:rFonts w:ascii="Times New Roman" w:cs="Times New Roman" w:eastAsia="Times New Roman" w:hAnsi="Times New Roman"/>
          <w:sz w:val="18"/>
          <w:szCs w:val="18"/>
          <w:color w:val="auto"/>
        </w:rPr>
        <w:t>The net carrying value of long-lived assets attributed to geographic areas as of April 30, 2025, and October 31, 2024, are as follows (in thousands):</w:t>
      </w:r>
    </w:p>
    <w:tbl>
      <w:tblPr>
        <w:tblLayout w:type="fixed"/>
        <w:tblInd w:w="4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2025</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51,058</w:t>
            </w:r>
          </w:p>
        </w:tc>
        <w:tc>
          <w:tcPr>
            <w:tcW w:w="0" w:type="dxa"/>
            <w:vAlign w:val="bottom"/>
          </w:tcPr>
          <w:p>
            <w:pPr>
              <w:spacing w:after="0"/>
              <w:rPr>
                <w:sz w:val="1"/>
                <w:szCs w:val="1"/>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31, 2024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80" w:type="dxa"/>
            <w:vAlign w:val="bottom"/>
          </w:tcPr>
          <w:p>
            <w:pPr>
              <w:spacing w:after="0"/>
              <w:rPr>
                <w:sz w:val="20"/>
                <w:szCs w:val="20"/>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29,669</w:t>
            </w:r>
          </w:p>
        </w:tc>
        <w:tc>
          <w:tcPr>
            <w:tcW w:w="140" w:type="dxa"/>
            <w:vAlign w:val="bottom"/>
          </w:tcPr>
          <w:p>
            <w:pPr>
              <w:spacing w:after="0"/>
              <w:rPr>
                <w:sz w:val="20"/>
                <w:szCs w:val="20"/>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54,200</w:t>
            </w:r>
          </w:p>
        </w:tc>
        <w:tc>
          <w:tcPr>
            <w:tcW w:w="0" w:type="dxa"/>
            <w:vAlign w:val="bottom"/>
          </w:tcPr>
          <w:p>
            <w:pPr>
              <w:spacing w:after="0"/>
              <w:rPr>
                <w:sz w:val="1"/>
                <w:szCs w:val="1"/>
                <w:color w:val="auto"/>
              </w:rPr>
            </w:pPr>
          </w:p>
        </w:tc>
      </w:tr>
      <w:tr>
        <w:trPr>
          <w:trHeight w:val="42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 fruit</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$ 24,953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Packing supplies and ingredients</w:t>
            </w:r>
          </w:p>
        </w:tc>
        <w:tc>
          <w:tcPr>
            <w:tcW w:w="1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prepared foods</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$ 41,625</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We periodically review the value of items in inventory and record any necessary write downs of inventory based on our assessment of market conditions. Inventory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includes reserves of $0.3 million in slow moving inventories as of April 30, 2025 and $0.4 million as of October 31, 2024.</w:t>
      </w:r>
    </w:p>
    <w:p>
      <w:pPr>
        <w:spacing w:after="0" w:line="221"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 &amp; Chief Executive Officer</w:t>
      </w:r>
    </w:p>
    <w:p>
      <w:pPr>
        <w:spacing w:after="0" w:line="227" w:lineRule="exact"/>
        <w:rPr>
          <w:sz w:val="20"/>
          <w:szCs w:val="20"/>
          <w:color w:val="auto"/>
        </w:rPr>
      </w:pPr>
    </w:p>
    <w:p>
      <w:pPr>
        <w:ind w:left="40" w:right="159" w:firstLine="259"/>
        <w:spacing w:after="0" w:line="255" w:lineRule="auto"/>
        <w:rPr>
          <w:sz w:val="20"/>
          <w:szCs w:val="20"/>
          <w:color w:val="auto"/>
        </w:rPr>
      </w:pPr>
      <w:r>
        <w:rPr>
          <w:rFonts w:ascii="Times New Roman" w:cs="Times New Roman" w:eastAsia="Times New Roman" w:hAnsi="Times New Roman"/>
          <w:sz w:val="18"/>
          <w:szCs w:val="18"/>
          <w:color w:val="auto"/>
        </w:rPr>
        <w:t>Certain members of our Board of Directors market California avocados through Calavo pursuant to marketing agreements substantially similar to the marketing agreements that we enter into with other growers. For the three and six months ended April 30, 2025, the amount of avocados procured from entities owned or controlled by members of our Board of Directors was $0.9 million and $1.4 million. For the three and six months ended April 30, 2024, the aggregate amount of avocados procured from entities owned or controlled by members of our Board of Directors was $0.3 million. As of April 30, 2025, we had $0.4 million in outstanding payables to these Board members. We did not have any amounts payable to these Board members as of October 31, 2024.</w:t>
      </w:r>
    </w:p>
    <w:p>
      <w:pPr>
        <w:spacing w:after="0" w:line="189"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April 30, 2025, we procured $2.3 million and $3.4 million of avocados from entities affiliated with our Chief Executive Officer. For the three and six months ended April 30, 2024, we procured $1.4 million of avocados from entities affiliated with our Chief Executive Officer. As of April 30, 2025, we had $1.4 million in outstanding payables to entities affiliated with our Chief Executive Officer. There were no outstanding payables to entities affiliated with our Chief Executive Officer as of October 31, 2024.</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Agricola Don Memo, S.A. de C.V. (“Don Memo”)</w:t>
      </w:r>
    </w:p>
    <w:p>
      <w:pPr>
        <w:spacing w:after="0" w:line="227"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Calavo and Agricola Belher (“Belher”) each have an equal one-half ownership interest in Don Memo. Pursuant to a management service agreement, Belher, through its officers and employees, has day-to-day power and authority to manage the operations of Don Memo.</w:t>
      </w:r>
    </w:p>
    <w:p>
      <w:pPr>
        <w:spacing w:after="0" w:line="176" w:lineRule="exact"/>
        <w:rPr>
          <w:sz w:val="20"/>
          <w:szCs w:val="20"/>
          <w:color w:val="auto"/>
        </w:rPr>
      </w:pPr>
    </w:p>
    <w:p>
      <w:pPr>
        <w:ind w:left="40" w:right="59" w:firstLine="259"/>
        <w:spacing w:after="0" w:line="252" w:lineRule="auto"/>
        <w:rPr>
          <w:sz w:val="20"/>
          <w:szCs w:val="20"/>
          <w:color w:val="auto"/>
        </w:rPr>
      </w:pPr>
      <w:r>
        <w:rPr>
          <w:rFonts w:ascii="Times New Roman" w:cs="Times New Roman" w:eastAsia="Times New Roman" w:hAnsi="Times New Roman"/>
          <w:sz w:val="18"/>
          <w:szCs w:val="18"/>
          <w:color w:val="auto"/>
        </w:rPr>
        <w:t>As of April 30, 2025, and October 31, 2024, we had an investment of $3 million and $2.4 million representing Calavo’s 50% ownership in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For the three months ended April 30, 2025 and 2024, we advanced $1.7 million and $3.5 million of preseason advances to Don Memo. For the six months ended April 30, 2025 and 2024, we advanced $1.9 million and $4.5 million of preseason advances to Don Memo. As of April 30, 2025 and October 31, 2024, we had outstanding advances of $6.7 million and $7.7 million to Don Memo. In October 2020, we entered into an infrastructure loan agreement with Don Memo for up to $2.4 million secured by certain property and equipment of Don Memo. This infrastructure loan accrues interest at 7.25%. The total outstanding infrastructure loan balance at April 30, 2025 and at October 31, 2024, was $1.6 million which is included in prepaids and other current assets. During the three months ended April 30, 2025 and 2024, we incurred $0.4 million and $3.1 million of cost of sales to Don Memo. During the six months ended April 30, 2025 and 2024, we incurred $8.3 million and $7.3 million of cost of sales to Don Memo pursuant to our purchase consignment agreement.</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Belher</w:t>
      </w:r>
    </w:p>
    <w:p>
      <w:pPr>
        <w:spacing w:after="0" w:line="227"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We make advances to Belher for operating purposes, provide additional advances as shipments are made during the season, and return the proceeds from tomato sales under our marketing program to Belher, net of our commission and aforementioned advances. For the three and six months ended April 30, 2025, we advanced $0.2 million of preseason advances to Belher. For the three and six months ended April 30, 2024, we advanced $0.5 million of preseason advances to Belher. We had grower advances due from Belher totaling $5.2 million as of April 30, 2025 and $5.1 million as of October 31, 2024, which are recorded as advances to suppliers. In July 2021, we made a bridge loan of $3.5 million to Belher. This loan is secured by certain farmland in Mexico and accrues interest at 10%. As part of this loan agreement, we can withhold payments on both the infrastructure advances and the bridge loan through the netting against the grower payable due to Belher. As of April 30, 2025 and October 31, 2024, the remaining bridge loan of $1.1 million has been recorded as $0.6 million in prepaid expenses and other current assets and $0.5 million in other assets. During the three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8"/>
          <w:szCs w:val="18"/>
          <w:color w:val="auto"/>
        </w:rPr>
        <w:t>months ended April 30, 2025 and 2024, we incurred $10.4 million and $22.0 million of cost of sales to Belher pursuant to our purchase consignment agreement. During the six months ended April 30, 2025 and 2024, we incurred $13.1 million and $25.0 million of cost of sales to Belher pursuant to our purchase consignment agreement.</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Avocados de Jalisco, S.A.P.I. de C.V. (“Avocados de Jalisco”)</w:t>
      </w:r>
    </w:p>
    <w:p>
      <w:pPr>
        <w:spacing w:after="0" w:line="227" w:lineRule="exact"/>
        <w:rPr>
          <w:sz w:val="20"/>
          <w:szCs w:val="20"/>
          <w:color w:val="auto"/>
        </w:rPr>
      </w:pPr>
    </w:p>
    <w:p>
      <w:pPr>
        <w:ind w:left="40" w:right="99" w:firstLine="259"/>
        <w:spacing w:after="0" w:line="255" w:lineRule="auto"/>
        <w:rPr>
          <w:sz w:val="20"/>
          <w:szCs w:val="20"/>
          <w:color w:val="auto"/>
        </w:rPr>
      </w:pPr>
      <w:r>
        <w:rPr>
          <w:rFonts w:ascii="Times New Roman" w:cs="Times New Roman" w:eastAsia="Times New Roman" w:hAnsi="Times New Roman"/>
          <w:sz w:val="18"/>
          <w:szCs w:val="18"/>
          <w:color w:val="auto"/>
        </w:rPr>
        <w:t>In August 2015, we entered into a Shareholder’s Agreement with various Mexican partners and created Avocados de Jalisco. Avocados de Jalisco is a Mexican corporation created to engage in procuring, packing and selling avocados. As of April 30, 2025, this entity was approximately 83% owned by Calavo and was consolidated in our interim financial statements. Avocados de Jalisco built a packinghouse located in Jalisco, Mexico, which began operations in June of 2017. During the three months ended April 30, 2025 and 2024, we purchased approximately $1.6 million and $1.1 million of avocados from the partners of Avocado de Jalisco. During the six months ended April 30, 2025 and 2024 we purchased approximately $1.8 million and $3.6 million of avocados from the partners of Avocados de Jalisco.</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5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4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14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IVA (i.e., value-added) taxes receivable, net (see Note 10)</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$ 50,748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advances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$ 51,838</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49,916</w:t>
            </w:r>
          </w:p>
        </w:tc>
        <w:tc>
          <w:tcPr>
            <w:tcW w:w="0" w:type="dxa"/>
            <w:vAlign w:val="bottom"/>
          </w:tcPr>
          <w:p>
            <w:pPr>
              <w:spacing w:after="0"/>
              <w:rPr>
                <w:sz w:val="1"/>
                <w:szCs w:val="1"/>
                <w:color w:val="auto"/>
              </w:rPr>
            </w:pPr>
          </w:p>
        </w:tc>
      </w:tr>
      <w:tr>
        <w:trPr>
          <w:trHeight w:val="20"/>
        </w:trPr>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5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Other events</w:t>
            </w: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0" w:type="dxa"/>
            <w:vAlign w:val="bottom"/>
            <w:vMerge w:val="continue"/>
          </w:tcPr>
          <w:p>
            <w:pPr>
              <w:spacing w:after="0"/>
              <w:rPr>
                <w:sz w:val="24"/>
                <w:szCs w:val="24"/>
                <w:color w:val="auto"/>
              </w:rPr>
            </w:pPr>
          </w:p>
        </w:tc>
        <w:tc>
          <w:tcPr>
            <w:tcW w:w="58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On January 31, 2025, we paid a dividend of $0.20 per share, or an aggregate of $3.6 million, to shareholders of record on January 10, 2025. On April 29, 2025, we paid a dividend of $0.20 per share, or an aggregate of $3.6 million to shareholders of record on April 1, 2025.</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impact on our financial position, results of operations, or cash flows.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Compliance matters</w:t>
      </w:r>
    </w:p>
    <w:p>
      <w:pPr>
        <w:spacing w:after="0" w:line="229"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We continue to cooperate fully with the SEC and the Department of Justice (DOJ) investigations relating to the Foreign Corrupt Practices Act (FCPA). On February 5, 2025, Attorney General Bondi issued a memorandum stating, in regard to the FCPA, that the DOJ “shall prioritize investigations related to foreign bribery that facilitates the criminal operations of Cartels and Transnational Criminal Organizations, and shift focus away from investigations and cases that do not involve such a connection. Examples of such cases include bribery of foreign officials to facilitate human smuggling and the trafficking of narcotics and firearms.” While the DOJ’s policy may evolve, we are currently unaware of any facts suggesting conduct of any of our employees that would fall within the examples provided in the DOJ’s February 5, 2025, memoranda.</w:t>
      </w:r>
    </w:p>
    <w:p>
      <w:pPr>
        <w:spacing w:after="0" w:line="192" w:lineRule="exact"/>
        <w:rPr>
          <w:sz w:val="20"/>
          <w:szCs w:val="20"/>
          <w:color w:val="auto"/>
        </w:rPr>
      </w:pPr>
    </w:p>
    <w:p>
      <w:pPr>
        <w:ind w:left="40" w:right="359" w:firstLine="259"/>
        <w:spacing w:after="0" w:line="277" w:lineRule="auto"/>
        <w:rPr>
          <w:sz w:val="20"/>
          <w:szCs w:val="20"/>
          <w:color w:val="auto"/>
        </w:rPr>
      </w:pPr>
      <w:r>
        <w:rPr>
          <w:rFonts w:ascii="Times New Roman" w:cs="Times New Roman" w:eastAsia="Times New Roman" w:hAnsi="Times New Roman"/>
          <w:sz w:val="17"/>
          <w:szCs w:val="17"/>
          <w:color w:val="auto"/>
        </w:rPr>
        <w:t>Additionally, on February 10, 2025, President Trump issued an Executive Order “Pausing Foreign Corrupt Practices Act Enforcement to Further American Economic and National Security,” which stated that for a period of 180 days following the date of the order, “the Attorney General shall review guidelines and policies governing investigations and enforcement actions under the FCPA. During the review period, the Attorney General shall: . . . (ii) review in detail all existing FCPA investigations or enforcement actions and take appropriate action with respect to such matters to restore</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59"/>
        <w:spacing w:after="0" w:line="282" w:lineRule="auto"/>
        <w:rPr>
          <w:sz w:val="20"/>
          <w:szCs w:val="20"/>
          <w:color w:val="auto"/>
        </w:rPr>
      </w:pPr>
      <w:r>
        <w:rPr>
          <w:rFonts w:ascii="Times New Roman" w:cs="Times New Roman" w:eastAsia="Times New Roman" w:hAnsi="Times New Roman"/>
          <w:sz w:val="18"/>
          <w:szCs w:val="18"/>
          <w:color w:val="auto"/>
        </w:rPr>
        <w:t>proper bounds on FCPA enforcement and preserve Presidential foreign policy prerogatives; and (iii) issue updated guidelines or policies, as appropriate…”</w:t>
      </w:r>
    </w:p>
    <w:p>
      <w:pPr>
        <w:spacing w:after="0" w:line="162"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On February 18, 2025, President Trump issued Executive Order “Ensuring Accountability for All Agencies” that stated, “it shall be the policy of the executive branch to ensure Presidential supervision and control of the entire executive branch” and that “independent regulatory agency chairmen shall regularly consult with and coordinate policies and priorities with the directors of OMB, the White House Domestic Policy Council, and the White House National Economic Council.”  On February 18, 2025, the SEC notified us that activity in the investigation has been postponed, after President Trump issued Executive Orders on February 10 and February 18, 2025. Given the Attorney General’s February 5, 2025 Memo and the President’s Executive Orders, along with a potential shift in DOJ and SEC priorities, we do not currently anticipate any near-term action from the government’s FCPA inquiry that would likely have a material impact on our short-term financial outlook.</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22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 authorities, primarily in Mexico and the United States.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2013 Assessment</w:t>
      </w:r>
    </w:p>
    <w:p>
      <w:pPr>
        <w:spacing w:after="0" w:line="229" w:lineRule="exact"/>
        <w:rPr>
          <w:sz w:val="20"/>
          <w:szCs w:val="20"/>
          <w:color w:val="auto"/>
        </w:rPr>
      </w:pPr>
    </w:p>
    <w:p>
      <w:pPr>
        <w:jc w:val="both"/>
        <w:ind w:left="40" w:right="239" w:firstLine="259"/>
        <w:spacing w:after="0" w:line="261" w:lineRule="auto"/>
        <w:rPr>
          <w:sz w:val="20"/>
          <w:szCs w:val="20"/>
          <w:color w:val="auto"/>
        </w:rPr>
      </w:pPr>
      <w:r>
        <w:rPr>
          <w:rFonts w:ascii="Times New Roman" w:cs="Times New Roman" w:eastAsia="Times New Roman" w:hAnsi="Times New Roman"/>
          <w:sz w:val="18"/>
          <w:szCs w:val="18"/>
          <w:color w:val="auto"/>
        </w:rPr>
        <w:t>In January 2017, Calavo de Mexico (“CDM”) received preliminary observations from the Servicio de Administración Tributaria in Mexico (the “SAT”) related to an audit for fiscal year 2013 outlining certain proposed adjustments primarily related to intercompany funding, deductions for services from certain vendors/suppliers and VAT. We provided a written rebuttal to these preliminary observations during our third fiscal quarter of 2017.</w:t>
      </w:r>
    </w:p>
    <w:p>
      <w:pPr>
        <w:spacing w:after="0" w:line="180"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In January 2018, the SAT’s local office in Uruapan issued to CDM a final tax assessment (the “2013 Assessment”) totaling approximately 2.6 billion Mexican pesos (which includes annual adjustments for inflation, and equals approximately $132.8 million USD at April 30, 2025) related to income tax, flat rate business tax, value added tax and fines, related to this fiscal 2013 tax audit. This amount has been adjusted for inflation as of April 30, 2025 to the amount of 3 billion Mexican pesos (approx. $153.3 million USD). Additionally, the tax authorities have determined that we owe our employees profit-sharing liability, totaling approximately 118 million Mexican pesos (approx. $6 million USD at April 30, 2025). In August 2018, we filed an Administrative Appeal on the 2013 Assessment, appealing our case to the SAT’s central legal department in Michoacan.</w:t>
      </w:r>
    </w:p>
    <w:p>
      <w:pPr>
        <w:spacing w:after="0" w:line="192"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Consequently, the SAT placed liens on the fixed assets of CDM, with a net book value of approximately $26 million USD, and on bank accounts of CDM totaling approximately $1 million USD in order to guarantee the 2013 Assessment. Based on legal counsel from our tax advisory firm, we and our tax advisory firm have concluded that the March notification was not legally communicated.</w:t>
      </w:r>
    </w:p>
    <w:p>
      <w:pPr>
        <w:spacing w:after="0" w:line="187" w:lineRule="exact"/>
        <w:rPr>
          <w:sz w:val="20"/>
          <w:szCs w:val="20"/>
          <w:color w:val="auto"/>
        </w:rPr>
      </w:pPr>
    </w:p>
    <w:p>
      <w:pPr>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spacing w:after="0" w:line="176" w:lineRule="exact"/>
        <w:rPr>
          <w:sz w:val="20"/>
          <w:szCs w:val="20"/>
          <w:color w:val="auto"/>
        </w:rPr>
      </w:pPr>
    </w:p>
    <w:p>
      <w:pPr>
        <w:ind w:left="660" w:hanging="333"/>
        <w:spacing w:after="0"/>
        <w:tabs>
          <w:tab w:leader="none" w:pos="660" w:val="left"/>
        </w:tabs>
        <w:numPr>
          <w:ilvl w:val="0"/>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Failure to recognize CDM as a “maquiladora”;</w:t>
      </w:r>
    </w:p>
    <w:p>
      <w:pPr>
        <w:spacing w:after="0" w:line="13"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Considering the Company to have a permanent establishment in Mexico;</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Including fruit purchase deposits transferred by the Company to CDM as taxable;</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Application of 16% VAT tax to fruit purchase deposits; and</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Imposing double-taxation on the fruit purchase transactions.</w:t>
      </w:r>
    </w:p>
    <w:p>
      <w:pPr>
        <w:spacing w:after="0" w:line="198" w:lineRule="exact"/>
        <w:rPr>
          <w:sz w:val="20"/>
          <w:szCs w:val="20"/>
          <w:color w:val="auto"/>
        </w:rPr>
      </w:pPr>
    </w:p>
    <w:p>
      <w:pPr>
        <w:ind w:left="40" w:right="319" w:firstLine="259"/>
        <w:spacing w:after="0" w:line="312" w:lineRule="auto"/>
        <w:rPr>
          <w:sz w:val="20"/>
          <w:szCs w:val="20"/>
          <w:color w:val="auto"/>
        </w:rPr>
      </w:pPr>
      <w:r>
        <w:rPr>
          <w:rFonts w:ascii="Times New Roman" w:cs="Times New Roman" w:eastAsia="Times New Roman" w:hAnsi="Times New Roman"/>
          <w:sz w:val="17"/>
          <w:szCs w:val="17"/>
          <w:color w:val="auto"/>
        </w:rPr>
        <w:t>On August 20, 2021 CDM filed an Nullity Trial (the “Nullity Trial”) with the Federal Tax Court, which among other things, strongly contends that the notifications made by the SAT to CDM and its designated advisors of the resolution of</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319"/>
        <w:spacing w:after="0" w:line="266" w:lineRule="auto"/>
        <w:rPr>
          <w:sz w:val="20"/>
          <w:szCs w:val="20"/>
          <w:color w:val="auto"/>
        </w:rPr>
      </w:pPr>
      <w:r>
        <w:rPr>
          <w:rFonts w:ascii="Times New Roman" w:cs="Times New Roman" w:eastAsia="Times New Roman" w:hAnsi="Times New Roman"/>
          <w:sz w:val="18"/>
          <w:szCs w:val="18"/>
          <w:color w:val="auto"/>
        </w:rPr>
        <w:t>the Administrative Appeal in March 2021 were not legally communicated. In addition, the Nullity Trial asserts the same matters central to the Reconsideration, as described above, as wrongly concluded in the resolution of the Administrative Appeal.</w:t>
      </w:r>
    </w:p>
    <w:p>
      <w:pPr>
        <w:spacing w:after="0" w:line="176"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On October 13, 2023, the Company filed an extension of the Nullity Trial filed on August 20, 2021, as a result of the response to the lawsuit filed by the tax authority, pointing out that the tax authority’s resolution is unlawful due to improper substantiation and motivation, because of the following:</w:t>
      </w:r>
    </w:p>
    <w:p>
      <w:pPr>
        <w:spacing w:after="0" w:line="176" w:lineRule="exact"/>
        <w:rPr>
          <w:sz w:val="20"/>
          <w:szCs w:val="20"/>
          <w:color w:val="auto"/>
        </w:rPr>
      </w:pPr>
    </w:p>
    <w:p>
      <w:pPr>
        <w:ind w:left="660" w:hanging="33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QR Code does not allow the company to verify the veracity of the document,</w:t>
      </w:r>
    </w:p>
    <w:p>
      <w:pPr>
        <w:spacing w:after="0" w:line="27" w:lineRule="exact"/>
        <w:rPr>
          <w:rFonts w:ascii="Times New Roman" w:cs="Times New Roman" w:eastAsia="Times New Roman" w:hAnsi="Times New Roman"/>
          <w:sz w:val="18"/>
          <w:szCs w:val="18"/>
          <w:color w:val="auto"/>
        </w:rPr>
      </w:pPr>
    </w:p>
    <w:p>
      <w:pPr>
        <w:ind w:left="660" w:right="279" w:hanging="333"/>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of the tax assessment was not sent to the phone number indicated by the company, when the tax authority was obliged to do so, among others.</w:t>
      </w:r>
    </w:p>
    <w:p>
      <w:pPr>
        <w:spacing w:after="0" w:line="222"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On November 14, 2023, the Tax Court acknowledged the admission of the extension to the lawsuit. Additionally, in November 2024, the Administrative Reconsideration and related Injunction action were finalized. The tax authority determined that the filing of the Administrative Reconsideration was not legally viable, citing the existence of a concurrent legal remedy—the Nullity Trial. Furthermore, the SAT noted a presumption that the Nullity Trial was filed within the required timeframe, as evidenced by its admission by the Tax Court.</w:t>
      </w:r>
    </w:p>
    <w:p>
      <w:pPr>
        <w:spacing w:after="0" w:line="210"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These resolutions can be used as supervening evidence to support the arguments that the Nullity Petition should be admitted. The resolutions will contribute to demonstrate that the SAT considers that the Nullity Petition was filed on time. This is a statement made within a formal procedure that contradicts what the SAT had been arguing (within the reconsideration procedure).</w:t>
      </w:r>
    </w:p>
    <w:p>
      <w:pPr>
        <w:spacing w:after="0" w:line="180"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While we continue to believe that the tax assessment for fiscal year 2013 is completely without merit, and that we will prevail on the Nullity Trial in the Tax Court, we also believe that it is in the best interest of CDM and the Company to settle the 2013 Assessment as quickly as possible. In accordance with our cumulative probability analysis on uncertain tax positions, settlements made by the SAT in other cases, the 2011 tax assessment reached by CDM with the Ministry of Finance and Administration of the government of the State of Michoacan, Mexico, and the value of CDM assets, we recorded a provision of $11 million, in the third quarter of fiscal year 2021, as a discrete item in Income Tax Provision. The provision includes estimated fines, interest and inflationary adjustments.</w:t>
      </w:r>
    </w:p>
    <w:p>
      <w:pPr>
        <w:spacing w:after="0" w:line="189" w:lineRule="exact"/>
        <w:rPr>
          <w:sz w:val="20"/>
          <w:szCs w:val="20"/>
          <w:color w:val="auto"/>
        </w:rPr>
      </w:pPr>
    </w:p>
    <w:p>
      <w:pPr>
        <w:jc w:val="both"/>
        <w:ind w:left="40" w:right="299" w:firstLine="259"/>
        <w:spacing w:after="0" w:line="289" w:lineRule="auto"/>
        <w:rPr>
          <w:sz w:val="20"/>
          <w:szCs w:val="20"/>
          <w:color w:val="auto"/>
        </w:rPr>
      </w:pPr>
      <w:r>
        <w:rPr>
          <w:rFonts w:ascii="Times New Roman" w:cs="Times New Roman" w:eastAsia="Times New Roman" w:hAnsi="Times New Roman"/>
          <w:sz w:val="17"/>
          <w:szCs w:val="17"/>
          <w:color w:val="auto"/>
        </w:rPr>
        <w:t>We believe that this provision remains appropriate as of April 30, 2025 based on our cumulative probability analysis. We incurred $0.2 million and $0.6 million of related professional fees for the three and six months ended April 30, 2025 which have been recorded in Expenses related to Mexican Tax matters on the consolidated statements of operations.</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 contingency</w:t>
      </w:r>
    </w:p>
    <w:p>
      <w:pPr>
        <w:spacing w:after="0" w:line="229"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In conjunction with the sale of the Fresh Cut business on August 15, 2024, the Company assigned certain leases to the buyer. As a result of these lease assignments, the buyer is the primary obligor under the leases, with the Company secondarily liable as a guarantor. If the buyer fails to perform under a lease, the Company could be responsible for fulfilling any remaining lease obligation. The leases had a remaining average term of 5.3 years as of October 31, 2024, with a maximum exposure of $32.0 million in undiscounted future minimum lease payments, plus $13.3 million in potential additional payments related to common area maintenance, taxes, insurance, and other obligations.</w:t>
      </w:r>
    </w:p>
    <w:p>
      <w:pPr>
        <w:spacing w:after="0" w:line="187"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As of April 30, 2025, we have not experienced any changes related to this contingency, and there are no new developments affecting its likelihood or potential financial impact. We continue to assess this obligation, but do not believe it is probable that it will be required to fulfill any obligations under these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Noncontrolling interest</w:t>
      </w:r>
    </w:p>
    <w:p>
      <w:pPr>
        <w:spacing w:after="0" w:line="229"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shareholders’ equity attributable to noncontrolling interest related to Avocados de Jalisco (in thousands).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200" w:type="dxa"/>
            <w:vAlign w:val="bottom"/>
            <w:vMerge w:val="restart"/>
          </w:tcPr>
          <w:p>
            <w:pPr>
              <w:spacing w:after="0"/>
              <w:rPr>
                <w:sz w:val="15"/>
                <w:szCs w:val="15"/>
                <w:color w:val="auto"/>
              </w:rPr>
            </w:pPr>
          </w:p>
        </w:tc>
        <w:tc>
          <w:tcPr>
            <w:tcW w:w="228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 of Avocados de Jalisco</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 of Avocados de Jalisco</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Basic and diluted net income (loss) per share is calculated as follows (data in thousands, except per share data):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Calavo Growers, Inc.</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(Note 10)</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Calavo Growers, Inc.</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stock/units/options</w:t>
            </w: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(Note 10)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Calavo Growers, Inc:</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648"/>
        </w:trPr>
        <w:tc>
          <w:tcPr>
            <w:tcW w:w="6080" w:type="dxa"/>
            <w:vAlign w:val="bottom"/>
            <w:gridSpan w:val="2"/>
          </w:tcPr>
          <w:p>
            <w:pPr>
              <w:jc w:val="right"/>
              <w:ind w:right="1430"/>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8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6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Calavo Growers, Inc.</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(Note 10)</w:t>
            </w:r>
          </w:p>
        </w:tc>
        <w:tc>
          <w:tcPr>
            <w:tcW w:w="6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6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stock/units/options</w:t>
            </w:r>
          </w:p>
        </w:tc>
        <w:tc>
          <w:tcPr>
            <w:tcW w:w="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(Note 10)</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Calavo Growers, Inc:</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Mexican IVA taxes receivable</w:t>
      </w:r>
    </w:p>
    <w:p>
      <w:pPr>
        <w:spacing w:after="0" w:line="229"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VAT amounts recoverable from the Mexican government.</w:t>
      </w:r>
    </w:p>
    <w:p>
      <w:pPr>
        <w:spacing w:after="0" w:line="176"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As of April 30, 2025, and October 31, 2024, CDM VAT receivables, net of our estimated provision for uncollectable amounts, totaled $50.7 million (1.0 billion Mexican pesos) and $48.7 million (976.0 million Mexican pesos). Historically, CDM received VAT refund payments from the Mexican tax authorities on a timely basis. Beginning in fiscal 2014 and continuing into fiscal 2025, the tax authorities began objecting to refund requests and supporting documentation that had previously been deemed acceptable to process a refund. Additionally, they are also contesting the refunds requested attributable to VAT paid to certain suppliers that allegedly did not fulfill their own tax obligations. We believe these factors and others have contributed to delays in the processing of VAT claims by the Mexican tax authorities. Currently, we are in the process of collecting such balances primarily through regular administrative processes, but these amounts may ultimately need to be recovered through Administrative Appeals and/or other legal means.</w:t>
      </w:r>
    </w:p>
    <w:p>
      <w:pPr>
        <w:spacing w:after="0" w:line="188" w:lineRule="exact"/>
        <w:rPr>
          <w:sz w:val="20"/>
          <w:szCs w:val="20"/>
          <w:color w:val="auto"/>
        </w:rPr>
      </w:pPr>
    </w:p>
    <w:p>
      <w:pPr>
        <w:ind w:left="40" w:right="119" w:firstLine="259"/>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2017, the tax authorities informed us that their internal opinion, based on the information provided by the local SAT office, considers that CDM was not properly documented relative to its declared tax structure and therefore CDM could not claim the refundable VAT balance. CDM has strong arguments and supporting documentation to sustain its declared tax structure for VAT and income tax purposes. CDM started an Administrative Appeal for the VAT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VAT related to the months of July, August and September 2015. Therefore, in October 2018, CDM filed a substance-over-form Annulment Suit in the Federal Tax Court to recover its full refund for VAT over the subject period.</w:t>
      </w:r>
    </w:p>
    <w:p>
      <w:pPr>
        <w:spacing w:after="0" w:line="183" w:lineRule="exact"/>
        <w:rPr>
          <w:sz w:val="20"/>
          <w:szCs w:val="20"/>
          <w:color w:val="auto"/>
        </w:rPr>
      </w:pPr>
    </w:p>
    <w:p>
      <w:pPr>
        <w:jc w:val="both"/>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In April 2022, the Chamber specializing in exclusive resolution of substantial matter belonging to the Tax Court issued the ruling for the months of July, August and September 2015 through which it was declared that the following resolutions were resolved:</w:t>
      </w:r>
    </w:p>
    <w:p>
      <w:pPr>
        <w:spacing w:after="0" w:line="176" w:lineRule="exact"/>
        <w:rPr>
          <w:sz w:val="20"/>
          <w:szCs w:val="20"/>
          <w:color w:val="auto"/>
        </w:rPr>
      </w:pPr>
    </w:p>
    <w:p>
      <w:pPr>
        <w:ind w:left="660" w:hanging="333"/>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CDM operates as a maquila under the authorization of the Ministry of Finance.</w:t>
      </w:r>
    </w:p>
    <w:p>
      <w:pPr>
        <w:spacing w:after="0" w:line="27" w:lineRule="exact"/>
        <w:rPr>
          <w:rFonts w:ascii="Times New Roman" w:cs="Times New Roman" w:eastAsia="Times New Roman" w:hAnsi="Times New Roman"/>
          <w:sz w:val="18"/>
          <w:szCs w:val="18"/>
          <w:color w:val="auto"/>
        </w:rPr>
      </w:pPr>
    </w:p>
    <w:p>
      <w:pPr>
        <w:ind w:left="660" w:right="239" w:hanging="333"/>
        <w:spacing w:after="0" w:line="265"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recognized that all bank deposits corresponding to the purchase of avocados on behalf of Calavo, are subject to the maquila program and it is not accruable income for purposes of Income Tax nor activities subject to VAT.</w:t>
      </w:r>
    </w:p>
    <w:p>
      <w:pPr>
        <w:ind w:left="660" w:right="359" w:hanging="333"/>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VAT is recoverable, since CDM demonstrated the existence of operations carried under the maquila services.</w:t>
      </w:r>
    </w:p>
    <w:p>
      <w:pPr>
        <w:jc w:val="both"/>
        <w:ind w:left="660" w:right="219" w:hanging="333"/>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that certain VAT amounts attributed to the purchase of certain packing materials are not recoverable as CDM was not the buyer on record and therefore did not pay for the materials, which approximated 6.9 million Mexican pesos (approximately $0.4 million USD).</w:t>
      </w:r>
    </w:p>
    <w:p>
      <w:pPr>
        <w:spacing w:after="0" w:line="186"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VAT amounts. With assistance from our internationally recognized tax advisory firm, as of April 30, 2025, CDM filed Administrative Appeals for months for which VAT refunds have been denied by the SAT, and will continue filing such appeals for any months for which refunds are denied in the future. Therefore, we believe it is probable that the Mexican tax authorities will ultimately authorize the refund of the remaining VAT amounts.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Assets Held for Sale and Discontinued Operations</w:t>
      </w:r>
    </w:p>
    <w:p>
      <w:pPr>
        <w:spacing w:after="0" w:line="229" w:lineRule="exact"/>
        <w:rPr>
          <w:sz w:val="20"/>
          <w:szCs w:val="20"/>
          <w:color w:val="auto"/>
        </w:rPr>
      </w:pPr>
    </w:p>
    <w:p>
      <w:pPr>
        <w:ind w:left="40" w:right="159" w:firstLine="259"/>
        <w:spacing w:after="0" w:line="282" w:lineRule="auto"/>
        <w:rPr>
          <w:sz w:val="20"/>
          <w:szCs w:val="20"/>
          <w:color w:val="auto"/>
        </w:rPr>
      </w:pPr>
      <w:r>
        <w:rPr>
          <w:rFonts w:ascii="Times New Roman" w:cs="Times New Roman" w:eastAsia="Times New Roman" w:hAnsi="Times New Roman"/>
          <w:sz w:val="18"/>
          <w:szCs w:val="18"/>
          <w:color w:val="auto"/>
        </w:rPr>
        <w:t>In August 2024, we completed the sale of our Fresh Cut business and related real estate for $83 million. The Fresh Cut business represented substantially all the Prepared segment, excluding the retained guacamole business.</w:t>
      </w:r>
    </w:p>
    <w:p>
      <w:pPr>
        <w:spacing w:after="0" w:line="162" w:lineRule="exact"/>
        <w:rPr>
          <w:sz w:val="20"/>
          <w:szCs w:val="20"/>
          <w:color w:val="auto"/>
        </w:rPr>
      </w:pPr>
    </w:p>
    <w:p>
      <w:pPr>
        <w:jc w:val="both"/>
        <w:ind w:left="40" w:right="259" w:firstLine="259"/>
        <w:spacing w:after="0" w:line="266" w:lineRule="auto"/>
        <w:rPr>
          <w:sz w:val="20"/>
          <w:szCs w:val="20"/>
          <w:color w:val="auto"/>
        </w:rPr>
      </w:pPr>
      <w:r>
        <w:rPr>
          <w:rFonts w:ascii="Times New Roman" w:cs="Times New Roman" w:eastAsia="Times New Roman" w:hAnsi="Times New Roman"/>
          <w:sz w:val="18"/>
          <w:szCs w:val="18"/>
          <w:color w:val="auto"/>
        </w:rPr>
        <w:t>As previously disclosed, the Fresh Cut business was classified as held for sale and discontinued operations in the first quarter of fiscal 2024. In connection with the sale, we recorded a $9.3 million goodwill impairment charge in the quarter ended July 31, 2024, based on the transaction’s sale price.</w:t>
      </w:r>
    </w:p>
    <w:p>
      <w:pPr>
        <w:spacing w:after="0" w:line="176" w:lineRule="exact"/>
        <w:rPr>
          <w:sz w:val="20"/>
          <w:szCs w:val="20"/>
          <w:color w:val="auto"/>
        </w:rPr>
      </w:pPr>
    </w:p>
    <w:p>
      <w:pPr>
        <w:ind w:left="40" w:right="899" w:firstLine="259"/>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results of operations of the Fresh Cut business that are being reported as discontinued operations (in thousands):</w:t>
      </w:r>
    </w:p>
    <w:tbl>
      <w:tblPr>
        <w:tblLayout w:type="fixed"/>
        <w:tblInd w:w="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20" w:type="dxa"/>
            <w:vAlign w:val="bottom"/>
            <w:gridSpan w:val="3"/>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ind w:right="21"/>
              <w:spacing w:after="0" w:line="13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18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9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83,959</w:t>
            </w:r>
          </w:p>
        </w:tc>
        <w:tc>
          <w:tcPr>
            <w:tcW w:w="2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80,149</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4,207</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6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Loss from discontinued operations before income taxes and gain on sale</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6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Select cash flow information related to the Fresh Cut business follows (in thousands):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Sale of Fresh Cut Business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212529"/>
        </w:rPr>
        <w:t>Asset Purchase Agreement and Purchase and Sale Agreement</w:t>
      </w:r>
    </w:p>
    <w:p>
      <w:pPr>
        <w:spacing w:after="0" w:line="227"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On August 15, 2024, we completed the sale of our Fresh Cut business and related real estate for a total transaction value of $83 million. The sale included certain assets, leasehold interests, and specified liabilities related to the Fresh Cut business, while the guacamole business was retained.</w:t>
      </w:r>
    </w:p>
    <w:p>
      <w:pPr>
        <w:spacing w:after="0" w:line="176"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The purchase price for the business assets was $52.0 million, subject to customary adjustments, and the real estate was sold separately for $31.0 million. See Note 6.</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212529"/>
        </w:rPr>
        <w:t>Amendment to Credit Agreement</w:t>
      </w:r>
    </w:p>
    <w:p>
      <w:pPr>
        <w:spacing w:after="0" w:line="227" w:lineRule="exact"/>
        <w:rPr>
          <w:sz w:val="20"/>
          <w:szCs w:val="20"/>
          <w:color w:val="auto"/>
        </w:rPr>
      </w:pPr>
    </w:p>
    <w:p>
      <w:pPr>
        <w:ind w:left="40" w:right="139" w:firstLine="324"/>
        <w:spacing w:after="0" w:line="258" w:lineRule="auto"/>
        <w:rPr>
          <w:sz w:val="20"/>
          <w:szCs w:val="20"/>
          <w:color w:val="auto"/>
        </w:rPr>
      </w:pPr>
      <w:r>
        <w:rPr>
          <w:rFonts w:ascii="Times New Roman" w:cs="Times New Roman" w:eastAsia="Times New Roman" w:hAnsi="Times New Roman"/>
          <w:sz w:val="18"/>
          <w:szCs w:val="18"/>
          <w:color w:val="212529"/>
        </w:rPr>
        <w:t>On August 15, 2024, we entered into a First Amendment to Credit Agreement and Consent (as amended, the “Credit Agreement”) with Wells Fargo Bank, National Association, as agent and lender (“Agent”), whereby (i) the Credit Agreement was amended to reduce the revolving commitments thereunder from $90,000,000 to $75,000,000, among other minor adjustments to align the borrowing base with our current asset base excluding the Fresh Cut business, and (ii) we obtained consent from Agent for entry into the Asset Purchase Agreement and Purchase and Sale Agreement.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evaluated subsequent events through June 9, 2025, the date these interim financial statements were issued.</w:t>
      </w:r>
    </w:p>
    <w:p>
      <w:pPr>
        <w:spacing w:after="0" w:line="225" w:lineRule="exact"/>
        <w:rPr>
          <w:sz w:val="20"/>
          <w:szCs w:val="20"/>
          <w:color w:val="auto"/>
        </w:rPr>
      </w:pPr>
    </w:p>
    <w:p>
      <w:pPr>
        <w:ind w:left="40" w:right="399" w:firstLine="324"/>
        <w:spacing w:after="0" w:line="282" w:lineRule="auto"/>
        <w:rPr>
          <w:sz w:val="20"/>
          <w:szCs w:val="20"/>
          <w:color w:val="auto"/>
        </w:rPr>
      </w:pPr>
      <w:r>
        <w:rPr>
          <w:rFonts w:ascii="Times New Roman" w:cs="Times New Roman" w:eastAsia="Times New Roman" w:hAnsi="Times New Roman"/>
          <w:sz w:val="18"/>
          <w:szCs w:val="18"/>
          <w:color w:val="auto"/>
        </w:rPr>
        <w:t>On June 3, 2025, our Board of Directors declared a quarterly cash dividend of $0.20 per share, payable on July 30, 2025 to shareholders of record as of June 30, 2025.</w:t>
      </w:r>
    </w:p>
    <w:p>
      <w:pPr>
        <w:spacing w:after="0" w:line="162" w:lineRule="exact"/>
        <w:rPr>
          <w:sz w:val="20"/>
          <w:szCs w:val="20"/>
          <w:color w:val="auto"/>
        </w:rPr>
      </w:pPr>
    </w:p>
    <w:p>
      <w:pPr>
        <w:ind w:left="40" w:right="299" w:firstLine="324"/>
        <w:spacing w:after="0" w:line="282" w:lineRule="auto"/>
        <w:rPr>
          <w:sz w:val="20"/>
          <w:szCs w:val="20"/>
          <w:color w:val="auto"/>
        </w:rPr>
      </w:pPr>
      <w:r>
        <w:rPr>
          <w:rFonts w:ascii="Times New Roman" w:cs="Times New Roman" w:eastAsia="Times New Roman" w:hAnsi="Times New Roman"/>
          <w:sz w:val="18"/>
          <w:szCs w:val="18"/>
          <w:color w:val="auto"/>
        </w:rPr>
        <w:t>We have determined that, other than the dividend declaration noted above, no other material subsequent events have occurred that would require disclosure or adjustment to the interim financial statements.</w:t>
      </w:r>
    </w:p>
    <w:p>
      <w:pPr>
        <w:spacing w:after="0" w:line="158"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the notes thereto (the “interim financial statements”) included in this Quarterly Report, and the audited consolidated financial statements and notes thereto and Management's Discussion and Analysis of Financial Condition and Results of Operations contained in the Annual Report on Form 10-K for the fiscal year ended October 31, 2024 of Calavo Growers, Inc. (“we”, “Calavo”, or the “Company”).</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On April 29, 2025, we paid a dividend of $0.20 per share, or an aggregate of $3.6 million to shareholders of record on April 1, 2025. On June 3, 2025, our Board of Directors declared a quarterly cash dividend of $0.20 per share, payable on July 30, 2025 to shareholders of record as of June 30,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Compliance matters</w:t>
      </w:r>
    </w:p>
    <w:p>
      <w:pPr>
        <w:spacing w:after="0" w:line="227"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We continue to cooperate fully with the Securities and Exchange Commission (SEC) and the Department of Justice (DOJ) investigations relating to the Foreign Corrupt Practices Act. On February 5, 2025, Attorney General Bondi issued a memorandum stating, in regard to the FCPA, that the DOJ “shall prioritize investigations related to foreign bribery that facilitates the criminal operations of Cartels and Transnational Criminal Organizations, and shift focus away from investigations and cases that do not involve such a connection. Examples of such cases include bribery of foreign officials to facilitate human smuggling and the trafficking of narcotics and firearms.” While the DOJ’s policy may evolve, we are currently unaware of any facts suggesting conduct of any of our employees that would fall within the examples provided in the DOJ’s February 5, 2025 memoranda.</w:t>
      </w:r>
    </w:p>
    <w:p>
      <w:pPr>
        <w:spacing w:after="0" w:line="192" w:lineRule="exact"/>
        <w:rPr>
          <w:sz w:val="20"/>
          <w:szCs w:val="20"/>
          <w:color w:val="auto"/>
        </w:rPr>
      </w:pPr>
    </w:p>
    <w:p>
      <w:pPr>
        <w:ind w:left="40" w:right="359" w:firstLine="259"/>
        <w:spacing w:after="0" w:line="255" w:lineRule="auto"/>
        <w:rPr>
          <w:sz w:val="20"/>
          <w:szCs w:val="20"/>
          <w:color w:val="auto"/>
        </w:rPr>
      </w:pPr>
      <w:r>
        <w:rPr>
          <w:rFonts w:ascii="Times New Roman" w:cs="Times New Roman" w:eastAsia="Times New Roman" w:hAnsi="Times New Roman"/>
          <w:sz w:val="18"/>
          <w:szCs w:val="18"/>
          <w:color w:val="auto"/>
        </w:rPr>
        <w:t>Additionally, on February 10, 2025, President Trump issued an Executive Order “Pausing Foreign Corrupt Practices Act Enforcement to Further American Economic and National Security,” which stated that for a period of 180 days following the date of the order, “the Attorney General shall review guidelines and policies governing investigations and enforcement actions under the FCPA. During the review period, the Attorney General shall: . . . (ii) review in detail all existing FCPA investigations or enforcement actions and take appropriate action with respect to such matters to restore proper bounds on FCPA enforcement and preserve Presidential foreign policy prerogatives; and (iii) issue updated guidelines or policies, as appropriate…”</w:t>
      </w:r>
    </w:p>
    <w:p>
      <w:pPr>
        <w:spacing w:after="0" w:line="189"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On February 18, 2025, President Trump issued Executive Order “Ensuring Accountability for All Agencies” that stated, “it shall be the policy of the executive branch to ensure Presidential supervision and control of the entire executive branch” and that “independent regulatory agency chairmen shall regularly consult with and coordinate policies and priorities with the directors of OMB, the White House Domestic Policy Council, and the White House National Economic Council.”  On February 18, 2025, the SEC notified us that activity in the investigation has been postponed, after President Trump issued Executive Orders on February 10 and February 18, 2025. Given the Attorney General’s February 5, 2025 Memo and the President’s Executive Orders, along with a potential shift in DOJ and SEC priorities, we do not currently anticipate any near-term action from the government’s FCPA inquiry that would likely have a material impact on our short-term financial outlook.</w:t>
      </w:r>
    </w:p>
    <w:p>
      <w:pPr>
        <w:spacing w:after="0" w:line="188"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impact on our financial position, results of operations, or cash flows.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Mexican Tax Issues</w:t>
      </w:r>
    </w:p>
    <w:p>
      <w:pPr>
        <w:spacing w:after="0" w:line="227"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2025, we achieved a significant milestone in our tax strategy, as the SAT refunded 36.7 million Mexican pesos in VAT (approximately $1.9 million USD), including inflationary adjustments, for March, April and November 2019.</w:t>
      </w:r>
    </w:p>
    <w:p>
      <w:pPr>
        <w:spacing w:after="0" w:line="216" w:lineRule="exact"/>
        <w:rPr>
          <w:sz w:val="20"/>
          <w:szCs w:val="20"/>
          <w:color w:val="auto"/>
        </w:rPr>
      </w:pPr>
    </w:p>
    <w:p>
      <w:pPr>
        <w:jc w:val="both"/>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We believe this favorable resolution—secured directly from the tax authority rather than through the court system— reinforces the strength of our approach and provides positive momentum as we continue working to recover additional outstanding refunds.</w:t>
      </w:r>
    </w:p>
    <w:p>
      <w:pPr>
        <w:spacing w:after="0" w:line="203" w:lineRule="exact"/>
        <w:rPr>
          <w:sz w:val="20"/>
          <w:szCs w:val="20"/>
          <w:color w:val="auto"/>
        </w:rPr>
      </w:pPr>
    </w:p>
    <w:p>
      <w:pPr>
        <w:jc w:val="both"/>
        <w:ind w:left="40" w:right="79" w:firstLine="259"/>
        <w:spacing w:after="0" w:line="289" w:lineRule="auto"/>
        <w:rPr>
          <w:sz w:val="20"/>
          <w:szCs w:val="20"/>
          <w:color w:val="auto"/>
        </w:rPr>
      </w:pPr>
      <w:r>
        <w:rPr>
          <w:rFonts w:ascii="Times New Roman" w:cs="Times New Roman" w:eastAsia="Times New Roman" w:hAnsi="Times New Roman"/>
          <w:sz w:val="17"/>
          <w:szCs w:val="17"/>
          <w:color w:val="auto"/>
        </w:rPr>
        <w:t>Additionally, while the 2013 Assessment and our ongoing VAT (IVA) refund efforts are separate matters, we believe the recent VAT refund secured directly from the SAT—rather than through the court system—provides positive momentum for our broader tax strategy and it is opening communication channels with the tax authorities to resolve the 2013 Assessment.</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Market Trends and Uncertainties</w:t>
      </w:r>
    </w:p>
    <w:p>
      <w:pPr>
        <w:spacing w:after="0" w:line="268"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We continue to be impacted by macroeconomic challenges, including inflationary pressures and shifts in trade policies, which have affected our operations in the past and may continue to do so in the future. These challenges drive cost fluctuations in key areas such as fruit procurement, labor, corrugated and plastic packaging, and overall operating expenses. To manage these pressures, we implement various strategies, including adjusting selling prices and optimizing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82" w:lineRule="auto"/>
        <w:rPr>
          <w:sz w:val="20"/>
          <w:szCs w:val="20"/>
          <w:color w:val="auto"/>
        </w:rPr>
      </w:pPr>
      <w:r>
        <w:rPr>
          <w:rFonts w:ascii="Times New Roman" w:cs="Times New Roman" w:eastAsia="Times New Roman" w:hAnsi="Times New Roman"/>
          <w:sz w:val="18"/>
          <w:szCs w:val="18"/>
          <w:color w:val="auto"/>
        </w:rPr>
        <w:t>global sourcing strategies. We anticipate that inflationary and other cost pressures will persist in fiscal 2025 and there is no assurance that we will be able to fully offset these cost increases.</w:t>
      </w:r>
    </w:p>
    <w:p>
      <w:pPr>
        <w:spacing w:after="0" w:line="202" w:lineRule="exact"/>
        <w:rPr>
          <w:sz w:val="20"/>
          <w:szCs w:val="20"/>
          <w:color w:val="auto"/>
        </w:rPr>
      </w:pPr>
    </w:p>
    <w:p>
      <w:pPr>
        <w:ind w:left="40" w:right="159" w:firstLine="259"/>
        <w:spacing w:after="0" w:line="256" w:lineRule="auto"/>
        <w:rPr>
          <w:sz w:val="20"/>
          <w:szCs w:val="20"/>
          <w:color w:val="auto"/>
        </w:rPr>
      </w:pPr>
      <w:r>
        <w:rPr>
          <w:rFonts w:ascii="Times New Roman" w:cs="Times New Roman" w:eastAsia="Times New Roman" w:hAnsi="Times New Roman"/>
          <w:sz w:val="18"/>
          <w:szCs w:val="18"/>
          <w:color w:val="auto"/>
        </w:rPr>
        <w:t>In addition, ongoing uncertainty surrounding U.S. trade policy—particularly as it relates to Mexico—could adversely affect our business. On February 2, 2025, the United States announced tariffs of up to 25 percent on imports from several countries (including Mexico and Canada) and higher duties on selected Chinese goods; all of these measures were subsequently put on hold. A separate 25 percent tariff on Mexican imports was briefly in effect from March 4 to March 6, 2025, before being suspended. As of May 30, 2025, no further reciprocal tariffs are scheduled, but the situation remains fluid and additional trade actions could be announced without advance notice.</w:t>
      </w:r>
    </w:p>
    <w:p>
      <w:pPr>
        <w:spacing w:after="0" w:line="214" w:lineRule="exact"/>
        <w:rPr>
          <w:sz w:val="20"/>
          <w:szCs w:val="20"/>
          <w:color w:val="auto"/>
        </w:rPr>
      </w:pPr>
    </w:p>
    <w:p>
      <w:pPr>
        <w:ind w:left="40" w:right="239" w:firstLine="259"/>
        <w:spacing w:after="0" w:line="256" w:lineRule="auto"/>
        <w:rPr>
          <w:sz w:val="20"/>
          <w:szCs w:val="20"/>
          <w:color w:val="auto"/>
        </w:rPr>
      </w:pPr>
      <w:r>
        <w:rPr>
          <w:rFonts w:ascii="Times New Roman" w:cs="Times New Roman" w:eastAsia="Times New Roman" w:hAnsi="Times New Roman"/>
          <w:sz w:val="18"/>
          <w:szCs w:val="18"/>
          <w:color w:val="auto"/>
        </w:rPr>
        <w:t>The U.S. Department of Commerce has also indicated that it may terminate the U.S.–Mexico Tomato Suspension Agreement (“TSA”) on July 14, 2025. Termination would automatically impose a 21 percent anti-dumping duty on Mexican tomatoes. Industry groups such as the Texas International Produce Association warn that ending the TSA could sharply raise tomato prices, disrupt national supply chains, and threaten roughly 46,900 U.S. jobs tied to $3.1 billion in annual Mexican tomato imports. Because we source and distribute significant volumes of tomatoes, any resulting supply shortages or cost increases could materially affect our sales volumes, and customer relationships.</w:t>
      </w:r>
    </w:p>
    <w:p>
      <w:pPr>
        <w:spacing w:after="0" w:line="228"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At present, it remains uncertain whether—and to what extent—any of these proposed tariffs or duties will apply to the fresh fruit and prepared products we import from Mexico. Given that a substantial portion of our produce originates there, new or increased trade barriers could raise our input costs. If we cannot pass along these extra costs to customers, renegotiate grower pricing, alter sourcing patterns, or implement other mitigation strategies, then our margins, operating results, and cash flows could be adversely affected.</w:t>
      </w:r>
    </w:p>
    <w:p>
      <w:pPr>
        <w:spacing w:after="0" w:line="224"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Although tariffs on imports from Mexico introduce additional costs, we do not currently expect them to have a material impact on our long-term profitability. Given the evolving nature of trade policies and recent short-term financial impacts, we will continue to assess the situation, adjust our sourcing and pricing strategies as needed, and take proactive measures to mitigate potential challenges.</w:t>
      </w:r>
    </w:p>
    <w:p>
      <w:pPr>
        <w:spacing w:after="0" w:line="207" w:lineRule="exact"/>
        <w:rPr>
          <w:sz w:val="20"/>
          <w:szCs w:val="20"/>
          <w:color w:val="auto"/>
        </w:rPr>
      </w:pPr>
    </w:p>
    <w:p>
      <w:pPr>
        <w:ind w:left="40" w:right="399" w:firstLine="259"/>
        <w:spacing w:after="0" w:line="266" w:lineRule="auto"/>
        <w:rPr>
          <w:sz w:val="20"/>
          <w:szCs w:val="20"/>
          <w:color w:val="auto"/>
        </w:rPr>
      </w:pPr>
      <w:r>
        <w:rPr>
          <w:rFonts w:ascii="Times New Roman" w:cs="Times New Roman" w:eastAsia="Times New Roman" w:hAnsi="Times New Roman"/>
          <w:sz w:val="18"/>
          <w:szCs w:val="18"/>
          <w:color w:val="auto"/>
        </w:rPr>
        <w:t>For additional information, see the risk factor entitled “Tariffs on Imported Goods Could Materially Impact Our Business, Financial Condition, and Results of Operations” in Part II, Item 1A. Risk Factors, in our Quarterly Report on Form 10-Q filed on March 12, 2025.</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Supply Chain Disruptions</w:t>
      </w:r>
    </w:p>
    <w:p>
      <w:pPr>
        <w:spacing w:after="0" w:line="268" w:lineRule="exact"/>
        <w:rPr>
          <w:sz w:val="20"/>
          <w:szCs w:val="20"/>
          <w:color w:val="auto"/>
        </w:rPr>
      </w:pPr>
    </w:p>
    <w:p>
      <w:pPr>
        <w:ind w:left="40" w:right="199" w:firstLine="259"/>
        <w:spacing w:after="0" w:line="254" w:lineRule="auto"/>
        <w:rPr>
          <w:sz w:val="20"/>
          <w:szCs w:val="20"/>
          <w:color w:val="auto"/>
        </w:rPr>
      </w:pPr>
      <w:r>
        <w:rPr>
          <w:rFonts w:ascii="Times New Roman" w:cs="Times New Roman" w:eastAsia="Times New Roman" w:hAnsi="Times New Roman"/>
          <w:sz w:val="18"/>
          <w:szCs w:val="18"/>
          <w:color w:val="auto"/>
        </w:rPr>
        <w:t>During our first fiscal quarter of 2025, one of our Mexican packinghouses temporarily paused its operations due to the detection of a small number of avocado weevils in a pre-production area. After completing remedial measures, including those described below, the affected packinghouse was re-certified by the relevant authorities and resumed normal operations. During our second fiscal quarter of 2025, we implemented enhanced monitoring protocols in our pre-production areas, which have effectively prevented any avocado weevil outbreaks. A severe outbreak of the avocado weevil in the future, however, could result in reduced avocado supply and higher procurement costs, impacting our ability to meet consumer demand and maintain product quality standards. Any sustained disruption caused by this pest could materially and adversely affect our business, financial condition, and results of operations.</w:t>
      </w:r>
    </w:p>
    <w:p>
      <w:pPr>
        <w:spacing w:after="0" w:line="219" w:lineRule="exact"/>
        <w:rPr>
          <w:sz w:val="20"/>
          <w:szCs w:val="20"/>
          <w:color w:val="auto"/>
        </w:rPr>
      </w:pPr>
    </w:p>
    <w:p>
      <w:pPr>
        <w:jc w:val="both"/>
        <w:ind w:left="40" w:right="419" w:firstLine="259"/>
        <w:spacing w:after="0" w:line="261" w:lineRule="auto"/>
        <w:rPr>
          <w:sz w:val="20"/>
          <w:szCs w:val="20"/>
          <w:color w:val="auto"/>
        </w:rPr>
      </w:pPr>
      <w:r>
        <w:rPr>
          <w:rFonts w:ascii="Times New Roman" w:cs="Times New Roman" w:eastAsia="Times New Roman" w:hAnsi="Times New Roman"/>
          <w:sz w:val="18"/>
          <w:szCs w:val="18"/>
          <w:color w:val="auto"/>
        </w:rPr>
        <w:t>Regulatory responses, such as quarantine measures or restrictions on avocado imports from affected regions, could further disrupt our supply chain, limit our sourcing options, and reduce the volume of avocados available for sale. The implementation of such measures may also increase logistical complexities, delay shipments, and introduce additional compliance costs.</w:t>
      </w:r>
    </w:p>
    <w:p>
      <w:pPr>
        <w:spacing w:after="0" w:line="220" w:lineRule="exact"/>
        <w:rPr>
          <w:sz w:val="20"/>
          <w:szCs w:val="20"/>
          <w:color w:val="auto"/>
        </w:rPr>
      </w:pPr>
    </w:p>
    <w:p>
      <w:pPr>
        <w:ind w:left="40" w:right="179" w:firstLine="259"/>
        <w:spacing w:after="0" w:line="266" w:lineRule="auto"/>
        <w:rPr>
          <w:sz w:val="20"/>
          <w:szCs w:val="20"/>
          <w:color w:val="auto"/>
        </w:rPr>
      </w:pPr>
      <w:r>
        <w:rPr>
          <w:rFonts w:ascii="Times New Roman" w:cs="Times New Roman" w:eastAsia="Times New Roman" w:hAnsi="Times New Roman"/>
          <w:sz w:val="18"/>
          <w:szCs w:val="18"/>
          <w:color w:val="auto"/>
        </w:rPr>
        <w:t>For additional information, see the risk factor entitled “The Spread of the Avocado Seed Weevil Could Disrupt Our Supply Chain and Adversely Impact Our Business” in Part II, Item 1A. Risk Factors, in our Quarterly Report on Form 10-Q filed on March 12,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In preparing our financial statements in accordance with GAAP, we are required to make estimates and assumptions that affect the amounts of assets, liabilities, revenue, and costs and expenses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256" w:lineRule="exact"/>
        <w:rPr>
          <w:sz w:val="20"/>
          <w:szCs w:val="20"/>
          <w:color w:val="auto"/>
        </w:rPr>
      </w:pPr>
    </w:p>
    <w:p>
      <w:pPr>
        <w:ind w:left="40" w:right="259" w:firstLine="25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during the three and six months ended April 30, 2025, as compared to those disclosed in the “Management’s Discussion and Analysis of Financial Condition and Results of Operations—Critical Accounting Estimates” in our Annual Report on Form 10-K for our fiscal year ended October 31, 2024.</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sales by business segment for each of the three and six months ended April 30,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600" w:type="dxa"/>
            <w:vAlign w:val="bottom"/>
            <w:gridSpan w:val="6"/>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r>
      <w:tr>
        <w:trPr>
          <w:trHeight w:val="142"/>
        </w:trPr>
        <w:tc>
          <w:tcPr>
            <w:tcW w:w="3220" w:type="dxa"/>
            <w:vAlign w:val="bottom"/>
          </w:tcPr>
          <w:p>
            <w:pPr>
              <w:spacing w:after="0"/>
              <w:rPr>
                <w:sz w:val="12"/>
                <w:szCs w:val="12"/>
                <w:color w:val="auto"/>
              </w:rPr>
            </w:pPr>
          </w:p>
        </w:tc>
        <w:tc>
          <w:tcPr>
            <w:tcW w:w="82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$ 174,661</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166,755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314,456</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12.4 %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279,781</w:t>
            </w:r>
          </w:p>
        </w:tc>
        <w:tc>
          <w:tcPr>
            <w:tcW w:w="200" w:type="dxa"/>
            <w:vAlign w:val="bottom"/>
          </w:tcPr>
          <w:p>
            <w:pPr>
              <w:spacing w:after="0"/>
              <w:rPr>
                <w:sz w:val="18"/>
                <w:szCs w:val="18"/>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15,885</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30,475</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200" w:type="dxa"/>
            <w:vAlign w:val="bottom"/>
            <w:shd w:val="clear" w:color="auto" w:fill="CCEEFF"/>
          </w:tcPr>
          <w:p>
            <w:pPr>
              <w:spacing w:after="0"/>
              <w:rPr>
                <w:sz w:val="18"/>
                <w:szCs w:val="18"/>
                <w:color w:val="auto"/>
              </w:rPr>
            </w:pPr>
          </w:p>
        </w:tc>
      </w:tr>
      <w:tr>
        <w:trPr>
          <w:trHeight w:val="249"/>
        </w:trPr>
        <w:tc>
          <w:tcPr>
            <w:tcW w:w="3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$ 190,546</w:t>
            </w:r>
          </w:p>
        </w:tc>
        <w:tc>
          <w:tcPr>
            <w:tcW w:w="96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184,383</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344,931</w:t>
            </w:r>
          </w:p>
        </w:tc>
        <w:tc>
          <w:tcPr>
            <w:tcW w:w="98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311,989</w:t>
            </w:r>
          </w:p>
        </w:tc>
        <w:tc>
          <w:tcPr>
            <w:tcW w:w="200" w:type="dxa"/>
            <w:vAlign w:val="bottom"/>
            <w:tcBorders>
              <w:bottom w:val="single" w:sz="8" w:color="CCEEFF"/>
            </w:tcBorders>
          </w:tcPr>
          <w:p>
            <w:pPr>
              <w:spacing w:after="0"/>
              <w:rPr>
                <w:sz w:val="21"/>
                <w:szCs w:val="21"/>
                <w:color w:val="auto"/>
              </w:rPr>
            </w:pPr>
          </w:p>
        </w:tc>
      </w:tr>
      <w:tr>
        <w:trPr>
          <w:trHeight w:val="197"/>
        </w:trPr>
        <w:tc>
          <w:tcPr>
            <w:tcW w:w="3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a percentage of sales:</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17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91.7 %</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90.4 %</w:t>
            </w:r>
          </w:p>
        </w:tc>
        <w:tc>
          <w:tcPr>
            <w:tcW w:w="18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91.2 %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89.7 %</w:t>
            </w:r>
          </w:p>
        </w:tc>
      </w:tr>
      <w:tr>
        <w:trPr>
          <w:trHeight w:val="216"/>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17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8.3 %</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9.6 %</w:t>
            </w:r>
          </w:p>
        </w:tc>
        <w:tc>
          <w:tcPr>
            <w:tcW w:w="18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8.8 %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10"/>
        </w:trPr>
        <w:tc>
          <w:tcPr>
            <w:tcW w:w="32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Borders>
              <w:top w:val="single" w:sz="8" w:color="CCEEFF"/>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tcBorders>
              <w:top w:val="single" w:sz="8" w:color="CCEEFF"/>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Net sales for the three months ended April 30, 2025, increased by $6.2 million, or 3.3%, compared to the same period in fiscal 2024, reaching $190.5 million. This growth was driven by a 4.7% increase in Fresh segment sales, primarily due to higher avocado pricing partially offset by decline in carton volume, while Prepared segment sales decreased by 9.9% year-over-year due primarily to decreased sales volumes. Net sales for the six months ended April 30, 2025, compared to the corresponding period in fiscal 2024, increased by $32.9 million, or approximately 10.6. This growth was driven by a 12.4% increase in Fresh segment sales, primarily due to higher avocado pricing, partially offset by decline in carton volume, while Prepared segment sales declined by 5.4% year-over-year due primarily to decreases in sales volumes and average selling prices.</w:t>
      </w:r>
    </w:p>
    <w:p>
      <w:pPr>
        <w:spacing w:after="0" w:line="192"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We remain focused on expanding grower partnerships and strengthening relationships with retail and foodservice customers to support long-term net sales growth across both segments. Our Fresh and Prepared businesses are subject to seasonal trends, which may impact the volume and quality of raw materials sourced in any given quarter.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Second Quarter 2025 vs. Second Quarter 2024</w:t>
      </w:r>
    </w:p>
    <w:p>
      <w:pPr>
        <w:spacing w:after="0" w:line="225"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Net sales for the Fresh segment increased by approximately $7.9 million, or 4.7%, for the second quarter of fiscal 2025 compared to the same period in fiscal 2024. The increase was primarily driven by higher avocado sales.</w:t>
      </w:r>
    </w:p>
    <w:p>
      <w:pPr>
        <w:spacing w:after="0" w:line="162" w:lineRule="exact"/>
        <w:rPr>
          <w:sz w:val="20"/>
          <w:szCs w:val="20"/>
          <w:color w:val="auto"/>
        </w:rPr>
      </w:pPr>
    </w:p>
    <w:p>
      <w:pPr>
        <w:ind w:left="1040" w:right="79" w:hanging="321"/>
        <w:spacing w:after="0" w:line="258"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 sales increased by $24.6 million, or 18.2%, due to a 40.6% increase in average selling price per carton, partially offset by a 16.0% decline in carton volume. The volume decline primarily reflects broader industry dynamics, including an estimated 8% reduction in overall supply, elevated pricing that likely reduced demand in certain price-sensitive channels, softer foodservice traffic, and adverse weather conditions that impacted U.S. consumption during the quarter.</w:t>
      </w:r>
    </w:p>
    <w:p>
      <w:pPr>
        <w:spacing w:after="0" w:line="183" w:lineRule="exact"/>
        <w:rPr>
          <w:rFonts w:ascii="Times New Roman" w:cs="Times New Roman" w:eastAsia="Times New Roman" w:hAnsi="Times New Roman"/>
          <w:sz w:val="18"/>
          <w:szCs w:val="18"/>
          <w:color w:val="auto"/>
        </w:rPr>
      </w:pPr>
    </w:p>
    <w:p>
      <w:pPr>
        <w:ind w:left="1040" w:right="119" w:hanging="321"/>
        <w:spacing w:after="0" w:line="261"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Tomato sales decreased by $16.8 million, or 58.9%, primarily due to a 48.7% decline in carton volume and a 19.8% decrease in average selling price. The decline was primarily driven by weather-related weakness in demand, particularly in the Northeast and Midwest, as well as strong domestic supply that exerted downward pressure on pricing and limited import activity.</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Six Months Ended April 30, 2025 vs. Six Months Ended April 30, 2024</w:t>
      </w:r>
    </w:p>
    <w:p>
      <w:pPr>
        <w:spacing w:after="0" w:line="225"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Fresh segment increased by approximately $34.7 million, or 12.4%, for the six months ended April 30, 2025, compared to the corresponding period in fiscal 2024. The increase was primarily due to higher average avocado selling prices, partially offset by a decline in tomato sales.</w:t>
      </w:r>
    </w:p>
    <w:p>
      <w:pPr>
        <w:spacing w:after="0" w:line="176" w:lineRule="exact"/>
        <w:rPr>
          <w:sz w:val="20"/>
          <w:szCs w:val="20"/>
          <w:color w:val="auto"/>
        </w:rPr>
      </w:pPr>
    </w:p>
    <w:p>
      <w:pPr>
        <w:ind w:left="980" w:right="99" w:hanging="329"/>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avocados increased $49.1 million, or 20.9%, for the six-month period, driven primarily by a 35.5% increase in average selling price per carton, partially offset by a 10.7% decline in volume. The majority of the volume decline occurred during the second quarter.</w:t>
      </w:r>
    </w:p>
    <w:p>
      <w:pPr>
        <w:spacing w:after="0" w:line="175" w:lineRule="exact"/>
        <w:rPr>
          <w:rFonts w:ascii="Times New Roman" w:cs="Times New Roman" w:eastAsia="Times New Roman" w:hAnsi="Times New Roman"/>
          <w:sz w:val="18"/>
          <w:szCs w:val="18"/>
          <w:color w:val="auto"/>
        </w:rPr>
      </w:pPr>
    </w:p>
    <w:p>
      <w:pPr>
        <w:ind w:left="980" w:right="179" w:hanging="329"/>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tomatoes decreased $14.6 million, or 37.3%, primarily due to a 35.9% decline in volume and a 2.0% decrease in average selling price per carton. The majority of the decline occurred in the second quarter.</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Second Quarter 2025 vs. Second Quarter 2024</w:t>
      </w:r>
    </w:p>
    <w:p>
      <w:pPr>
        <w:spacing w:after="0" w:line="225"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Prepared segment declined by $1.7 million for the three months ended April 30, 2025, compared to the same period in fiscal 2024. The decrease was primarily driven by a 10.1% reduction in volume, reflecting macro-level headwinds in key customer channels:</w:t>
      </w:r>
    </w:p>
    <w:p>
      <w:pPr>
        <w:spacing w:after="0" w:line="176" w:lineRule="exact"/>
        <w:rPr>
          <w:sz w:val="20"/>
          <w:szCs w:val="20"/>
          <w:color w:val="auto"/>
        </w:rPr>
      </w:pPr>
    </w:p>
    <w:p>
      <w:pPr>
        <w:ind w:left="980" w:right="199" w:hanging="329"/>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meaningful reduction in sales to a major customer, as the brand continues to face competitive pressure and shifting consumer preferences within the fast-casual segment.</w:t>
      </w:r>
    </w:p>
    <w:p>
      <w:pPr>
        <w:spacing w:after="0" w:line="161" w:lineRule="exact"/>
        <w:rPr>
          <w:rFonts w:ascii="Times New Roman" w:cs="Times New Roman" w:eastAsia="Times New Roman" w:hAnsi="Times New Roman"/>
          <w:sz w:val="18"/>
          <w:szCs w:val="18"/>
          <w:color w:val="auto"/>
        </w:rPr>
      </w:pPr>
    </w:p>
    <w:p>
      <w:pPr>
        <w:ind w:left="980" w:right="159" w:hanging="329"/>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volume pressure due to increased regulatory scrutiny and customs-related uncertainty surrounding exports to China, which created disruption in certain international accounts.</w:t>
      </w:r>
    </w:p>
    <w:p>
      <w:pPr>
        <w:spacing w:after="0" w:line="162"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The average price per pound remained essentially flat year-over-year, while gross profit per pound improved by 4.2%, supported by continued supply chain discipline and margin optimization within North American distribution. Sales of our newly introduced avocado squeeze pouches contributed modestly during the quarter. Looking ahead, we anticipate volume growth in the Prepared segment to be supported by both this product line and expanding demand across other core offerings, as customer programs scale in the second half of the fiscal year.</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Six Months Ended April 30, 2025 vs. Six Months Ended April 30,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Prepared segment decreased by $1.7 million for the six months ended April 30, 2025, compared to the same period in fiscal 2024. As Prepared segment sales were essentially flat in the first quarter, the decline occurred in the second quarter, as discussed above.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40" w:right="1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gross profit and gross profit percentages by business segment for the three and six months ended April 30,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68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20" w:type="dxa"/>
            <w:vAlign w:val="bottom"/>
          </w:tcPr>
          <w:p>
            <w:pPr>
              <w:spacing w:after="0"/>
              <w:rPr>
                <w:sz w:val="15"/>
                <w:szCs w:val="15"/>
                <w:color w:val="auto"/>
              </w:rPr>
            </w:pPr>
          </w:p>
        </w:tc>
        <w:tc>
          <w:tcPr>
            <w:tcW w:w="252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r>
      <w:tr>
        <w:trPr>
          <w:trHeight w:val="142"/>
        </w:trPr>
        <w:tc>
          <w:tcPr>
            <w:tcW w:w="3600" w:type="dxa"/>
            <w:vAlign w:val="bottom"/>
          </w:tcPr>
          <w:p>
            <w:pPr>
              <w:spacing w:after="0"/>
              <w:rPr>
                <w:sz w:val="12"/>
                <w:szCs w:val="12"/>
                <w:color w:val="auto"/>
              </w:rPr>
            </w:pPr>
          </w:p>
        </w:tc>
        <w:tc>
          <w:tcPr>
            <w:tcW w:w="72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$ 14,053</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26,190</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22,660</w:t>
            </w:r>
          </w:p>
        </w:tc>
        <w:tc>
          <w:tcPr>
            <w:tcW w:w="180" w:type="dxa"/>
            <w:vAlign w:val="bottom"/>
          </w:tcPr>
          <w:p>
            <w:pPr>
              <w:spacing w:after="0"/>
              <w:rPr>
                <w:sz w:val="18"/>
                <w:szCs w:val="18"/>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80" w:type="dxa"/>
            <w:vAlign w:val="bottom"/>
            <w:shd w:val="clear" w:color="auto" w:fill="CCEEFF"/>
          </w:tcPr>
          <w:p>
            <w:pPr>
              <w:spacing w:after="0"/>
              <w:rPr>
                <w:sz w:val="18"/>
                <w:szCs w:val="18"/>
                <w:color w:val="auto"/>
              </w:rPr>
            </w:pPr>
          </w:p>
        </w:tc>
      </w:tr>
      <w:tr>
        <w:trPr>
          <w:trHeight w:val="249"/>
        </w:trPr>
        <w:tc>
          <w:tcPr>
            <w:tcW w:w="3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gross profit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$ 18,089</w:t>
            </w:r>
          </w:p>
        </w:tc>
        <w:tc>
          <w:tcPr>
            <w:tcW w:w="98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20,538</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33,817</w:t>
            </w:r>
          </w:p>
        </w:tc>
        <w:tc>
          <w:tcPr>
            <w:tcW w:w="100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31,298</w:t>
            </w:r>
          </w:p>
        </w:tc>
        <w:tc>
          <w:tcPr>
            <w:tcW w:w="180" w:type="dxa"/>
            <w:vAlign w:val="bottom"/>
            <w:tcBorders>
              <w:bottom w:val="single" w:sz="8" w:color="CCEEFF"/>
            </w:tcBorders>
          </w:tcPr>
          <w:p>
            <w:pPr>
              <w:spacing w:after="0"/>
              <w:rPr>
                <w:sz w:val="21"/>
                <w:szCs w:val="21"/>
                <w:color w:val="auto"/>
              </w:rPr>
            </w:pPr>
          </w:p>
        </w:tc>
      </w:tr>
      <w:tr>
        <w:trPr>
          <w:trHeight w:val="197"/>
        </w:trPr>
        <w:tc>
          <w:tcPr>
            <w:tcW w:w="3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 percentages:</w:t>
            </w: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21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8.0 %</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9.7 %</w:t>
            </w:r>
          </w:p>
        </w:tc>
        <w:tc>
          <w:tcPr>
            <w:tcW w:w="13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8.3 %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16"/>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2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25.4 %</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24.4 %</w:t>
            </w: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25.0 %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r>
      <w:tr>
        <w:trPr>
          <w:trHeight w:val="216"/>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21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9.5 %</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11.1 %</w:t>
            </w:r>
          </w:p>
        </w:tc>
        <w:tc>
          <w:tcPr>
            <w:tcW w:w="13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9.8 %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Our cost of goods sold consists primarily of ingredient costs (including fruit and other food products), packing materials, freight and handling, labor, and overhead (including depreciation) associated with packing, distributing, and/or preparing food products, as well as other direct expenses related to products sold.</w:t>
      </w:r>
    </w:p>
    <w:p>
      <w:pPr>
        <w:spacing w:after="0" w:line="176"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Gross profit decreased by approximately $2.4 million, or 11.9%, for the second quarter of fiscal 2025, compared to the corresponding period in fiscal 2024. The decline was primarily driven by performance in the Fresh segment.</w:t>
      </w:r>
    </w:p>
    <w:p>
      <w:pPr>
        <w:spacing w:after="0" w:line="162" w:lineRule="exact"/>
        <w:rPr>
          <w:sz w:val="20"/>
          <w:szCs w:val="20"/>
          <w:color w:val="auto"/>
        </w:rPr>
      </w:pPr>
    </w:p>
    <w:p>
      <w:pPr>
        <w:jc w:val="both"/>
        <w:ind w:left="40" w:right="239" w:firstLine="259"/>
        <w:spacing w:after="0" w:line="261" w:lineRule="auto"/>
        <w:rPr>
          <w:sz w:val="20"/>
          <w:szCs w:val="20"/>
          <w:color w:val="auto"/>
        </w:rPr>
      </w:pPr>
      <w:r>
        <w:rPr>
          <w:rFonts w:ascii="Times New Roman" w:cs="Times New Roman" w:eastAsia="Times New Roman" w:hAnsi="Times New Roman"/>
          <w:sz w:val="18"/>
          <w:szCs w:val="18"/>
          <w:color w:val="auto"/>
        </w:rPr>
        <w:t>Gross profit increased by approximately $2.5 million, or 8.0%, for the six months ended April 30, 2025, compared to the same period in fiscal 2024. This increase was driven by strong first-quarter performance in the Fresh segment, where higher selling prices and cost discipline lifted gross profit per carton. These gains were partially offset by second-quarter volume pressure in both avocados and tomatoes.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left="40" w:right="659" w:firstLine="324"/>
        <w:spacing w:after="0" w:line="282" w:lineRule="auto"/>
        <w:rPr>
          <w:sz w:val="20"/>
          <w:szCs w:val="20"/>
          <w:color w:val="auto"/>
        </w:rPr>
      </w:pPr>
      <w:r>
        <w:rPr>
          <w:rFonts w:ascii="Times New Roman" w:cs="Times New Roman" w:eastAsia="Times New Roman" w:hAnsi="Times New Roman"/>
          <w:sz w:val="18"/>
          <w:szCs w:val="18"/>
          <w:color w:val="auto"/>
        </w:rPr>
        <w:t>The decrease in Fresh products gross profit for the second quarter of fiscal 2025 was primarily driven by lower volumes for both avocados and tomatoes.</w:t>
      </w:r>
    </w:p>
    <w:p>
      <w:pPr>
        <w:spacing w:after="0" w:line="162" w:lineRule="exact"/>
        <w:rPr>
          <w:sz w:val="20"/>
          <w:szCs w:val="20"/>
          <w:color w:val="auto"/>
        </w:rPr>
      </w:pPr>
    </w:p>
    <w:p>
      <w:pPr>
        <w:ind w:left="720" w:right="119" w:hanging="325"/>
        <w:spacing w:after="0" w:line="25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 gross profit decreased, primarily due to a decline in carton volume, partially offset by an increase in gross profit per carton. Per-carton profitability was negatively affected by $0.9 million in tariffs expense tariffs imposed primarily on USMCA-compliant goods imported from Mexico over a three-day period (March 4, 2025 through March 6, 2025) before being lifted. Because of the abrupt and unanticipated nature of this discrete event, we were unable to pass the added cost on to customers. Although per-unit profitability improved, average selling prices increased at a faster rate than gross profit per carton — a dynamic that can result in lower margin percentages during periods of price increases.</w:t>
      </w:r>
    </w:p>
    <w:p>
      <w:pPr>
        <w:spacing w:after="0" w:line="188" w:lineRule="exact"/>
        <w:rPr>
          <w:rFonts w:ascii="Times New Roman" w:cs="Times New Roman" w:eastAsia="Times New Roman" w:hAnsi="Times New Roman"/>
          <w:sz w:val="18"/>
          <w:szCs w:val="18"/>
          <w:color w:val="auto"/>
        </w:rPr>
      </w:pPr>
    </w:p>
    <w:p>
      <w:pPr>
        <w:ind w:left="720" w:right="99" w:hanging="325"/>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Tomato gross profit decreased, driven primarily by a significant reduction in volume and average selling price per carton. The volume shortfall was the dominant factor, but lower pricing further contributed to the decline. Adverse winter weather in key U.S. markets and strong domestic supply led to sales at or near contractual pricing floors, reducing per-unit profitability and driving underutilization of fixed cost infrastructure.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firstLine="324"/>
        <w:spacing w:after="0" w:line="282" w:lineRule="auto"/>
        <w:rPr>
          <w:sz w:val="20"/>
          <w:szCs w:val="20"/>
          <w:color w:val="auto"/>
        </w:rPr>
      </w:pPr>
      <w:r>
        <w:rPr>
          <w:rFonts w:ascii="Times New Roman" w:cs="Times New Roman" w:eastAsia="Times New Roman" w:hAnsi="Times New Roman"/>
          <w:sz w:val="18"/>
          <w:szCs w:val="18"/>
          <w:color w:val="auto"/>
        </w:rPr>
        <w:t>The increase in Fresh products gross profit for the six months ended April 30, 2025, was primarily driven by stronger performance in avocados, partially offset by lower profitability in tomatoes.</w:t>
      </w:r>
    </w:p>
    <w:p>
      <w:pPr>
        <w:spacing w:after="0" w:line="162" w:lineRule="exact"/>
        <w:rPr>
          <w:sz w:val="20"/>
          <w:szCs w:val="20"/>
          <w:color w:val="auto"/>
        </w:rPr>
      </w:pPr>
    </w:p>
    <w:p>
      <w:pPr>
        <w:ind w:left="720" w:right="319" w:hanging="325"/>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 gross profit increased, driven by higher average selling prices and improved per-carton profitability. Per-carton profitability was negatively affected by the 3-day tariff event described above. The improvement in gross margin percentage year-over-year was largely attributable to favorable pricing dynamics and disciplined cost management.</w:t>
      </w:r>
    </w:p>
    <w:p>
      <w:pPr>
        <w:spacing w:after="0" w:line="179" w:lineRule="exact"/>
        <w:rPr>
          <w:rFonts w:ascii="Times New Roman" w:cs="Times New Roman" w:eastAsia="Times New Roman" w:hAnsi="Times New Roman"/>
          <w:sz w:val="18"/>
          <w:szCs w:val="18"/>
          <w:color w:val="auto"/>
        </w:rPr>
      </w:pPr>
    </w:p>
    <w:p>
      <w:pPr>
        <w:ind w:left="720" w:right="579" w:hanging="325"/>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Tomato gross profit decreased, reflecting both lower volume and modestly reduced average selling prices. Demand was pressured by adverse weather conditions and abundant domestic supply, which limited import opportunities and compressed margins during the second quarter.</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40" w:right="119" w:firstLine="324"/>
        <w:spacing w:after="0" w:line="256" w:lineRule="auto"/>
        <w:rPr>
          <w:sz w:val="20"/>
          <w:szCs w:val="20"/>
          <w:color w:val="auto"/>
        </w:rPr>
      </w:pPr>
      <w:r>
        <w:rPr>
          <w:rFonts w:ascii="Times New Roman" w:cs="Times New Roman" w:eastAsia="Times New Roman" w:hAnsi="Times New Roman"/>
          <w:sz w:val="18"/>
          <w:szCs w:val="18"/>
          <w:color w:val="auto"/>
        </w:rPr>
        <w:t>Gross profit per pound for guacamole products increased slightly during the second quarter of fiscal 2025 compared to the same period last year, reflecting improved operational efficiency and stronger cost management. For the six-month period ended April 30, 2025, however, gross profit per pound declined modestly on a year-over-year basis. The decrease was primarily due to higher raw fruit input costs in the first quarter, which compressed margins early in the year, as well as a 2.3% reduction in sales volume and a 9.6% decrease in average selling price per pound for the period. These factors contributed to a decline in gross profit despite margin improvement in the second quarter.</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266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70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r>
      <w:tr>
        <w:trPr>
          <w:trHeight w:val="142"/>
        </w:trPr>
        <w:tc>
          <w:tcPr>
            <w:tcW w:w="35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r>
      <w:tr>
        <w:trPr>
          <w:trHeight w:val="128"/>
        </w:trPr>
        <w:tc>
          <w:tcPr>
            <w:tcW w:w="3560" w:type="dxa"/>
            <w:vAlign w:val="bottom"/>
          </w:tcPr>
          <w:p>
            <w:pPr>
              <w:spacing w:after="0"/>
              <w:rPr>
                <w:sz w:val="11"/>
                <w:szCs w:val="11"/>
                <w:color w:val="auto"/>
              </w:rPr>
            </w:pPr>
          </w:p>
        </w:tc>
        <w:tc>
          <w:tcPr>
            <w:tcW w:w="2400" w:type="dxa"/>
            <w:vAlign w:val="bottom"/>
            <w:gridSpan w:val="5"/>
          </w:tcPr>
          <w:p>
            <w:pPr>
              <w:jc w:val="center"/>
              <w:ind w:left="161"/>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1"/>
                <w:szCs w:val="11"/>
                <w:color w:val="auto"/>
              </w:rPr>
            </w:pPr>
          </w:p>
        </w:tc>
        <w:tc>
          <w:tcPr>
            <w:tcW w:w="2400" w:type="dxa"/>
            <w:vAlign w:val="bottom"/>
            <w:gridSpan w:val="5"/>
          </w:tcPr>
          <w:p>
            <w:pPr>
              <w:jc w:val="center"/>
              <w:ind w:left="121"/>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1"/>
                <w:szCs w:val="1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$ 10,303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$ 13,020</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$ 20,590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$ 26,483</w:t>
            </w:r>
          </w:p>
        </w:tc>
        <w:tc>
          <w:tcPr>
            <w:tcW w:w="300" w:type="dxa"/>
            <w:vAlign w:val="bottom"/>
            <w:shd w:val="clear" w:color="auto" w:fill="CCEEFF"/>
          </w:tcPr>
          <w:p>
            <w:pPr>
              <w:spacing w:after="0"/>
              <w:rPr>
                <w:sz w:val="18"/>
                <w:szCs w:val="18"/>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5.4 %</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6.0 %</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8.5 %</w:t>
            </w:r>
          </w:p>
        </w:tc>
      </w:tr>
    </w:tbl>
    <w:p>
      <w:pPr>
        <w:spacing w:after="0" w:line="179" w:lineRule="exact"/>
        <w:rPr>
          <w:sz w:val="20"/>
          <w:szCs w:val="20"/>
          <w:color w:val="auto"/>
        </w:rPr>
      </w:pPr>
    </w:p>
    <w:p>
      <w:pPr>
        <w:jc w:val="both"/>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totaled $10.3 million for the three months ended April 30, 2025. These expenses include marketing and advertising costs, sales expenses (including broker commissions), and other general and administrative costs.</w:t>
      </w:r>
    </w:p>
    <w:p>
      <w:pPr>
        <w:spacing w:after="0" w:line="176" w:lineRule="exact"/>
        <w:rPr>
          <w:sz w:val="20"/>
          <w:szCs w:val="20"/>
          <w:color w:val="auto"/>
        </w:rPr>
      </w:pPr>
    </w:p>
    <w:p>
      <w:pPr>
        <w:ind w:left="40" w:right="359" w:firstLine="259"/>
        <w:spacing w:after="0" w:line="261" w:lineRule="auto"/>
        <w:rPr>
          <w:sz w:val="20"/>
          <w:szCs w:val="20"/>
          <w:color w:val="auto"/>
        </w:rPr>
      </w:pPr>
      <w:r>
        <w:rPr>
          <w:rFonts w:ascii="Times New Roman" w:cs="Times New Roman" w:eastAsia="Times New Roman" w:hAnsi="Times New Roman"/>
          <w:sz w:val="18"/>
          <w:szCs w:val="18"/>
          <w:color w:val="auto"/>
        </w:rPr>
        <w:t>SG&amp;A expenses decreased by $2.7 million, or 20.9%, compared to the prior year period. This decline was primarily due to the following:</w:t>
      </w:r>
    </w:p>
    <w:p>
      <w:pPr>
        <w:ind w:left="720" w:right="119" w:hanging="325"/>
        <w:spacing w:after="0" w:line="250"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reduction in compensation expenses, primarily driven by lower headcount and lower severance costs in the current period.</w:t>
      </w:r>
    </w:p>
    <w:p>
      <w:pPr>
        <w:ind w:left="720" w:hanging="325"/>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decrease in professional and consulting fees, primarily related to lower legal costs.</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reduction in information technology expenses, mainly related to leveraging internal resources.</w:t>
      </w:r>
    </w:p>
    <w:p>
      <w:pPr>
        <w:spacing w:after="0" w:line="207"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SG&amp;A expenses totaled $20.6 million for the six months ended April 30, 2025. These expenses include marketing and advertising costs, sales expenses (including broker commissions) and other general and administrative costs.</w:t>
      </w:r>
    </w:p>
    <w:p>
      <w:pPr>
        <w:spacing w:after="0" w:line="162" w:lineRule="exact"/>
        <w:rPr>
          <w:sz w:val="20"/>
          <w:szCs w:val="20"/>
          <w:color w:val="auto"/>
        </w:rPr>
      </w:pPr>
    </w:p>
    <w:p>
      <w:pPr>
        <w:ind w:left="40" w:right="299" w:firstLine="259"/>
        <w:spacing w:after="0" w:line="261" w:lineRule="auto"/>
        <w:rPr>
          <w:sz w:val="20"/>
          <w:szCs w:val="20"/>
          <w:color w:val="auto"/>
        </w:rPr>
      </w:pPr>
      <w:r>
        <w:rPr>
          <w:rFonts w:ascii="Times New Roman" w:cs="Times New Roman" w:eastAsia="Times New Roman" w:hAnsi="Times New Roman"/>
          <w:sz w:val="18"/>
          <w:szCs w:val="18"/>
          <w:color w:val="auto"/>
        </w:rPr>
        <w:t>SG&amp;A expenses decreased by $5.9 million, or 22.3%, for the six months ended April 30, 2025 compared to the prior year period. This decrease was primarily due to the following:</w:t>
      </w:r>
    </w:p>
    <w:p>
      <w:pPr>
        <w:ind w:left="720" w:right="119" w:hanging="325"/>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reduction in compensation expenses, primarily driven by lower headcount and lower severance costs in the current period.</w:t>
      </w:r>
    </w:p>
    <w:p>
      <w:pPr>
        <w:ind w:left="720" w:hanging="325"/>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decrease in professional and consulting fees, primarily related to lower legal costs.</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reduction in information technology expenses, mainly related to leveraging internal resources.</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reduction in stock-based compensation, mainly related to the CEO’s compensation structure.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 (loss)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80" w:type="dxa"/>
            <w:vAlign w:val="bottom"/>
          </w:tcPr>
          <w:p>
            <w:pPr>
              <w:spacing w:after="0"/>
              <w:rPr>
                <w:sz w:val="15"/>
                <w:szCs w:val="15"/>
                <w:color w:val="auto"/>
              </w:rPr>
            </w:pPr>
          </w:p>
        </w:tc>
        <w:tc>
          <w:tcPr>
            <w:tcW w:w="21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c>
          <w:tcPr>
            <w:tcW w:w="60" w:type="dxa"/>
            <w:vAlign w:val="bottom"/>
          </w:tcPr>
          <w:p>
            <w:pPr>
              <w:spacing w:after="0"/>
              <w:rPr>
                <w:sz w:val="15"/>
                <w:szCs w:val="15"/>
                <w:color w:val="auto"/>
              </w:rPr>
            </w:pPr>
          </w:p>
        </w:tc>
      </w:tr>
      <w:tr>
        <w:trPr>
          <w:trHeight w:val="210"/>
        </w:trPr>
        <w:tc>
          <w:tcPr>
            <w:tcW w:w="3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8"/>
                <w:szCs w:val="18"/>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8"/>
                <w:szCs w:val="18"/>
                <w:color w:val="auto"/>
              </w:rPr>
            </w:pPr>
          </w:p>
        </w:tc>
      </w:tr>
      <w:tr>
        <w:trPr>
          <w:trHeight w:val="209"/>
        </w:trPr>
        <w:tc>
          <w:tcPr>
            <w:tcW w:w="3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$ 957</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(628.7)%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w:t>
            </w:r>
          </w:p>
        </w:tc>
        <w:tc>
          <w:tcPr>
            <w:tcW w:w="1040" w:type="dxa"/>
            <w:vAlign w:val="bottom"/>
            <w:gridSpan w:val="4"/>
            <w:shd w:val="clear" w:color="auto" w:fill="CCEEFF"/>
          </w:tcPr>
          <w:p>
            <w:pPr>
              <w:jc w:val="center"/>
              <w:ind w:left="199"/>
              <w:spacing w:after="0"/>
              <w:rPr>
                <w:sz w:val="20"/>
                <w:szCs w:val="20"/>
                <w:color w:val="auto"/>
              </w:rPr>
            </w:pPr>
            <w:r>
              <w:rPr>
                <w:rFonts w:ascii="Times New Roman" w:cs="Times New Roman" w:eastAsia="Times New Roman" w:hAnsi="Times New Roman"/>
                <w:sz w:val="18"/>
                <w:szCs w:val="18"/>
                <w:color w:val="auto"/>
              </w:rPr>
              <w:t>(100.3)%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$ 1,527</w:t>
            </w:r>
          </w:p>
        </w:tc>
        <w:tc>
          <w:tcPr>
            <w:tcW w:w="6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remeasured into U.S. dollars at exchange rates as of the balance sheet date and non-monetary assets, liabilities and equity are remeasured at historical rates. Sales and expenses are remeasured using a weighted-average exchange rate for the period.</w:t>
      </w:r>
    </w:p>
    <w:p>
      <w:pPr>
        <w:spacing w:after="0" w:line="183"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Due to the change in the Mexican peso to the U.S. dollar exchange rates, foreign currency remeasurement gains, net of losses, for the three and six months ended April 30, 2025, were $1 million and less than $(0.1) million. Net foreign currency remeasurement gains (losses), for the three and six months ended April 30, 2024, were $0.2 million and $1.5 million.</w:t>
      </w:r>
    </w:p>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unconsolidated entities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26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14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r>
      <w:tr>
        <w:trPr>
          <w:trHeight w:val="142"/>
        </w:trPr>
        <w:tc>
          <w:tcPr>
            <w:tcW w:w="45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2"/>
                <w:szCs w:val="12"/>
                <w:color w:val="auto"/>
              </w:rPr>
            </w:pPr>
          </w:p>
        </w:tc>
      </w:tr>
      <w:tr>
        <w:trPr>
          <w:trHeight w:val="128"/>
        </w:trPr>
        <w:tc>
          <w:tcPr>
            <w:tcW w:w="4520" w:type="dxa"/>
            <w:vAlign w:val="bottom"/>
          </w:tcPr>
          <w:p>
            <w:pPr>
              <w:spacing w:after="0"/>
              <w:rPr>
                <w:sz w:val="11"/>
                <w:szCs w:val="11"/>
                <w:color w:val="auto"/>
              </w:rPr>
            </w:pPr>
          </w:p>
        </w:tc>
        <w:tc>
          <w:tcPr>
            <w:tcW w:w="74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w w:val="74"/>
              </w:rPr>
              <w:t>(Dollars</w:t>
            </w:r>
          </w:p>
        </w:tc>
        <w:tc>
          <w:tcPr>
            <w:tcW w:w="84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w w:val="84"/>
              </w:rPr>
              <w:t>in thousands)</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60" w:type="dxa"/>
            <w:vAlign w:val="bottom"/>
            <w:gridSpan w:val="6"/>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1"/>
                <w:szCs w:val="1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unconsolidated entities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(282)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(238.2)%</w:t>
            </w:r>
          </w:p>
        </w:tc>
        <w:tc>
          <w:tcPr>
            <w:tcW w:w="5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$ 204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w w:val="98"/>
              </w:rPr>
              <w:t>$ 580</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182.9 %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Income (loss) from unconsolidated entities includes our participation in earnings or losses from our investments in Don Memo. For the three months ended April 30, 2025 and 2024 we realized income (loss) of $(0.3) million and $0.2 million from Agricola Don Memo. For the six months ended April 30, 2025 and 2024 we realized income of $0.6 million and $0.2 million from Agricola Don Memo.</w:t>
      </w: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52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r>
      <w:tr>
        <w:trPr>
          <w:trHeight w:val="142"/>
        </w:trPr>
        <w:tc>
          <w:tcPr>
            <w:tcW w:w="2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8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r>
      <w:tr>
        <w:trPr>
          <w:trHeight w:val="209"/>
        </w:trPr>
        <w:tc>
          <w:tcPr>
            <w:tcW w:w="2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(2,536)</w:t>
            </w:r>
          </w:p>
        </w:tc>
        <w:tc>
          <w:tcPr>
            <w:tcW w:w="15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550.3 % $ (390)</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(3,791)</w:t>
            </w:r>
          </w:p>
        </w:tc>
        <w:tc>
          <w:tcPr>
            <w:tcW w:w="15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293.7 % $ (963)</w:t>
            </w:r>
          </w:p>
        </w:tc>
      </w:tr>
      <w:tr>
        <w:trPr>
          <w:trHeight w:val="234"/>
        </w:trPr>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26.0 %</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26.0 %</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19.7 %</w:t>
            </w:r>
          </w:p>
        </w:tc>
      </w:tr>
    </w:tbl>
    <w:p>
      <w:pPr>
        <w:spacing w:after="0" w:line="179" w:lineRule="exact"/>
        <w:rPr>
          <w:sz w:val="20"/>
          <w:szCs w:val="20"/>
          <w:color w:val="auto"/>
        </w:rPr>
      </w:pPr>
    </w:p>
    <w:p>
      <w:pPr>
        <w:ind w:left="40" w:right="199" w:firstLine="270"/>
        <w:spacing w:after="0" w:line="256" w:lineRule="auto"/>
        <w:rPr>
          <w:sz w:val="20"/>
          <w:szCs w:val="20"/>
          <w:color w:val="auto"/>
        </w:rPr>
      </w:pPr>
      <w:r>
        <w:rPr>
          <w:rFonts w:ascii="Times New Roman" w:cs="Times New Roman" w:eastAsia="Times New Roman" w:hAnsi="Times New Roman"/>
          <w:sz w:val="18"/>
          <w:szCs w:val="18"/>
          <w:color w:val="auto"/>
        </w:rPr>
        <w:t>The effective tax rates for the three months ended April 30, 2025 and April 30, 2024 were 26.0% and 5.7%. The effective tax rates for the six months ended April 30, 2025 and April 30, 2024 were 26.0% and 19.7%. The Company’s effective tax rate for the three and six months ended April 30, 2025 differs from the U.S. federal statutory rate of 21% due to the US state tax and foreign tax rate differential in Mexico. The Company’s effective tax rate for the three and six months ended April 30, 2024 differs from the U.S. federal statutory rate of 21% due to valuation allowances on domestic deferred tax assets that are not more likely than not to be realized, and foreign exchange losses in Mexico.</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239" w:firstLine="259"/>
        <w:spacing w:after="0" w:line="261" w:lineRule="auto"/>
        <w:rPr>
          <w:sz w:val="20"/>
          <w:szCs w:val="20"/>
          <w:color w:val="auto"/>
        </w:rPr>
      </w:pPr>
      <w:r>
        <w:rPr>
          <w:rFonts w:ascii="Times New Roman" w:cs="Times New Roman" w:eastAsia="Times New Roman" w:hAnsi="Times New Roman"/>
          <w:sz w:val="18"/>
          <w:szCs w:val="18"/>
          <w:color w:val="auto"/>
        </w:rPr>
        <w:t>Cash provided in operating activities was $11.3 million for the six months ended April 30, 2025, compared to cash provided by operating activities of $2.2 million for the corresponding period in fiscal 2024. Cash provided in operating activities for the six months ended April 30, 2025 reflects primarily our net income of $11.4 million, combined with non-cash activities (depreciation and amortization, non-cash operating lease expense, stock-based compensation expense,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income from unconsolidated entities, and loss on disposal of property, plant and equipment) of $3.5 million which is offset by a net effect of changes in operating assets and liabilities of $3.6 million.</w:t>
      </w:r>
    </w:p>
    <w:p>
      <w:pPr>
        <w:spacing w:after="0" w:line="162" w:lineRule="exact"/>
        <w:rPr>
          <w:sz w:val="20"/>
          <w:szCs w:val="20"/>
          <w:color w:val="auto"/>
        </w:rPr>
      </w:pPr>
    </w:p>
    <w:p>
      <w:pPr>
        <w:ind w:left="40" w:right="259" w:firstLine="259"/>
        <w:spacing w:after="0" w:line="258" w:lineRule="auto"/>
        <w:rPr>
          <w:sz w:val="20"/>
          <w:szCs w:val="20"/>
          <w:color w:val="auto"/>
        </w:rPr>
      </w:pPr>
      <w:r>
        <w:rPr>
          <w:rFonts w:ascii="Times New Roman" w:cs="Times New Roman" w:eastAsia="Times New Roman" w:hAnsi="Times New Roman"/>
          <w:sz w:val="18"/>
          <w:szCs w:val="18"/>
          <w:color w:val="auto"/>
        </w:rPr>
        <w:t>Changes in operating assets and liabilities included an increase in accounts receivable of $15.7 million, an increase in inventories of $7.5 million, a decrease in prepaid expenses and other current assets of $0.5 million, a net decrease in accounts payable, accrued expenses and other liabilities of $12.7 million, an increase in payable to growers of $30.2 million, and an increase in income tax payable of $0.8 million offset by an increase in other assets of $1.9 million, and a decrease in advances to suppliers of $4.3 million.</w:t>
      </w:r>
    </w:p>
    <w:p>
      <w:pPr>
        <w:spacing w:after="0" w:line="183"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The increase in our accounts receivable is due to an increase of $36.2 million in sales for the three months ended April 30, 2025 compared to the prior quarter. The increase in our inventory as of April 30, 2025, compared to October 31, 2024, was primarily due to higher average fruit costs in inventory related to Mexican avocados. The decrease in our prepaid and other current assets is primarily due to reduced software cost additions and higher amortization of prepaid expenses compared to new additions. The increase in payable to growers is mostly due to an increase in farming activity of tomatoes as farming production for the spring/summer cycle (May-October) is scaling up. The decrease in advances to suppliers is mainly due to pre-season advances being repaid through settlement to our tomato consignment growers.</w:t>
      </w:r>
    </w:p>
    <w:p>
      <w:pPr>
        <w:spacing w:after="0" w:line="229"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$0.4 million for the six months ended April 30, 2025, compared to cash used by investing activities of $2.4 million for the corresponding period in fiscal 2024. Cash used in investing activities relates principally to purchases of property, plant, and equipment.</w:t>
      </w:r>
    </w:p>
    <w:p>
      <w:pPr>
        <w:spacing w:after="0" w:line="203" w:lineRule="exact"/>
        <w:rPr>
          <w:sz w:val="20"/>
          <w:szCs w:val="20"/>
          <w:color w:val="auto"/>
        </w:rPr>
      </w:pPr>
    </w:p>
    <w:p>
      <w:pPr>
        <w:jc w:val="both"/>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$7.6 million for the six months ended April 30, 2025, compared to cash provided by financing activities of $1.6 million for the corresponding period in fiscal 2024. Cash used in financing activities relates principally to payments of $7.1 million in dividends, payments on long-term obligations of $0.4 million and the payment of minimum withholding of taxes on the net settling of shares of less than $0.1 million.</w:t>
      </w:r>
    </w:p>
    <w:p>
      <w:pPr>
        <w:spacing w:after="0" w:line="180"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existing cash reserves, cash generated from operations and amounts available for borrowing under our credit facility. Cash and cash equivalents as of April 30, 2025, and October 31, 2024, totaled $60.4 million and $57.0 million. Our working capital at April 30, 2025 was $90.1 million, compared to $85.4 million at October 31, 2024.</w:t>
      </w:r>
    </w:p>
    <w:p>
      <w:pPr>
        <w:spacing w:after="0" w:line="180"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We believe that our cash balance, cash flows from operations, availability under our credit facility, and other sources will be sufficient to satisfy our future capital expenditures, grower recruitment efforts, working capital and other financing requirements for the foreseeable future.</w:t>
      </w:r>
    </w:p>
    <w:p>
      <w:pPr>
        <w:spacing w:after="0" w:line="176"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On June 26, 2023, we entered into a credit agreement (the “Credit Agreement”) with Wells Fargo Bank, National Association, as agent and lender (“Agent” or “Wells Fargo”). The Credit Agreement provided for a revolving credit facility (the “Revolving Loans”) of up to $90.0 million, along with a capex credit facility of up to $10.0 million (the “Term Loan”).</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On August 15, 2024, we entered into a First Amendment to Credit Agreement and Consent with Wells Fargo whereby</w:t>
      </w:r>
    </w:p>
    <w:p>
      <w:pPr>
        <w:spacing w:after="0" w:line="27" w:lineRule="exact"/>
        <w:rPr>
          <w:sz w:val="20"/>
          <w:szCs w:val="20"/>
          <w:color w:val="auto"/>
        </w:rPr>
      </w:pPr>
    </w:p>
    <w:p>
      <w:pPr>
        <w:ind w:left="40" w:right="199" w:firstLine="4"/>
        <w:spacing w:after="0" w:line="277" w:lineRule="auto"/>
        <w:tabs>
          <w:tab w:leader="none" w:pos="2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Agreement was amended to reduce the revolving commitments thereunder from $90.0 million to $75.0 million, among other minor adjustments to align the borrowing base with our asset base excluding the Fresh Cut segment; and (ii) we obtained consent from Agent for entry into the Asset Purchase Agreement and Purchase and Sale Agreement.</w:t>
      </w:r>
    </w:p>
    <w:p>
      <w:pPr>
        <w:spacing w:after="0" w:line="169" w:lineRule="exact"/>
        <w:rPr>
          <w:sz w:val="20"/>
          <w:szCs w:val="20"/>
          <w:color w:val="auto"/>
        </w:rPr>
      </w:pPr>
    </w:p>
    <w:p>
      <w:pPr>
        <w:ind w:left="40" w:right="319" w:firstLine="259"/>
        <w:spacing w:after="0" w:line="261" w:lineRule="auto"/>
        <w:rPr>
          <w:sz w:val="20"/>
          <w:szCs w:val="20"/>
          <w:color w:val="auto"/>
        </w:rPr>
      </w:pPr>
      <w:r>
        <w:rPr>
          <w:rFonts w:ascii="Times New Roman" w:cs="Times New Roman" w:eastAsia="Times New Roman" w:hAnsi="Times New Roman"/>
          <w:sz w:val="18"/>
          <w:szCs w:val="18"/>
          <w:color w:val="auto"/>
        </w:rPr>
        <w:t>Borrowings of the Revolving Loans under the Credit Agreement are asset based and are subject to a borrowing base calculation that includes a certain percentage of eligible accounts receivable, inventory and equipment, less any reserves implemented by Agent in its permitted discretion; provided that the equipment-based portion of such borrowing base calculation reduces monthly according to scheduled amortization.</w:t>
      </w:r>
    </w:p>
    <w:p>
      <w:pPr>
        <w:spacing w:after="0" w:line="180"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bear interest at a rate per annum equal to an applicable margin, plus, at our option, either a base rate or a secured overnight financing rate (“SOFR”) term rate (which includes a spread adjustment of 0.10% and is subject to a floor of 0.00%). The applicable margin is (i) for Revolving Loans, 0.50% for base rate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82" w:lineRule="auto"/>
        <w:rPr>
          <w:sz w:val="20"/>
          <w:szCs w:val="20"/>
          <w:color w:val="auto"/>
        </w:rPr>
      </w:pPr>
      <w:r>
        <w:rPr>
          <w:rFonts w:ascii="Times New Roman" w:cs="Times New Roman" w:eastAsia="Times New Roman" w:hAnsi="Times New Roman"/>
          <w:sz w:val="18"/>
          <w:szCs w:val="18"/>
          <w:color w:val="auto"/>
        </w:rPr>
        <w:t>borrowings and 1.50% for SOFR term rate borrowings, and (ii) for Term Loan, 1.00% for base rate borrowings and 2.00% for SOFR term rate borrowings. The credit facility matures on June 26, 2028.</w:t>
      </w:r>
    </w:p>
    <w:p>
      <w:pPr>
        <w:spacing w:after="0" w:line="162" w:lineRule="exact"/>
        <w:rPr>
          <w:sz w:val="20"/>
          <w:szCs w:val="20"/>
          <w:color w:val="auto"/>
        </w:rPr>
      </w:pPr>
    </w:p>
    <w:p>
      <w:pPr>
        <w:ind w:left="40" w:right="199" w:firstLine="259"/>
        <w:spacing w:after="0" w:line="282" w:lineRule="auto"/>
        <w:rPr>
          <w:sz w:val="20"/>
          <w:szCs w:val="20"/>
          <w:color w:val="auto"/>
        </w:rPr>
      </w:pPr>
      <w:r>
        <w:rPr>
          <w:rFonts w:ascii="Times New Roman" w:cs="Times New Roman" w:eastAsia="Times New Roman" w:hAnsi="Times New Roman"/>
          <w:sz w:val="18"/>
          <w:szCs w:val="18"/>
          <w:color w:val="auto"/>
        </w:rPr>
        <w:t>As of April 30, 2025, we were in compliance with the financial covenants. As of April 30, 2025, approximately $59.5 million was available for borrowing, based on our borrowing base calculation discussed above.</w:t>
      </w:r>
    </w:p>
    <w:p>
      <w:pPr>
        <w:spacing w:after="0" w:line="162"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The weighted-average interest rate under the credit facility was 8.0% at April 30, 2025. Under the credit facility, there was less than $0.1 million outstanding related to the Revolving Loans and Term Loan as of April 30, 2025.</w:t>
      </w:r>
    </w:p>
    <w:p>
      <w:pPr>
        <w:spacing w:after="0" w:line="162"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In March 2025, our Board of Directors authorized a stock repurchase program of up to $25 million. While no shares have been repurchased to date under this program, the timing and volume of repurchases will depend on market conditions, our capital allocation priorities, and other strategic considerations.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Contractual Commitments</w:t>
      </w:r>
    </w:p>
    <w:p>
      <w:pPr>
        <w:spacing w:after="0" w:line="229" w:lineRule="exact"/>
        <w:rPr>
          <w:sz w:val="20"/>
          <w:szCs w:val="20"/>
          <w:color w:val="auto"/>
        </w:rPr>
      </w:pPr>
    </w:p>
    <w:p>
      <w:pPr>
        <w:ind w:left="40" w:right="479" w:firstLine="259"/>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our contractual commitments from those previously disclosed in our Annual Report on Form 10-K for our fiscal year ended October 31, 2024.</w:t>
      </w: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left="40" w:right="519" w:firstLine="25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changes in market risk from the information provided in </w:t>
      </w:r>
      <w:r>
        <w:rPr>
          <w:rFonts w:ascii="Times New Roman" w:cs="Times New Roman" w:eastAsia="Times New Roman" w:hAnsi="Times New Roman"/>
          <w:sz w:val="18"/>
          <w:szCs w:val="18"/>
          <w:i w:val="1"/>
          <w:iCs w:val="1"/>
          <w:color w:val="auto"/>
        </w:rPr>
        <w:t>Item 7A. 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Qualitative Disclosures About Market Risk </w:t>
      </w:r>
      <w:r>
        <w:rPr>
          <w:rFonts w:ascii="Times New Roman" w:cs="Times New Roman" w:eastAsia="Times New Roman" w:hAnsi="Times New Roman"/>
          <w:sz w:val="18"/>
          <w:szCs w:val="18"/>
          <w:color w:val="auto"/>
        </w:rPr>
        <w:t>of our Annual Report on Form 10-K for the year ended October 31, 2024.</w:t>
      </w: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70" w:lineRule="exact"/>
        <w:rPr>
          <w:sz w:val="20"/>
          <w:szCs w:val="20"/>
          <w:color w:val="auto"/>
        </w:rPr>
      </w:pPr>
    </w:p>
    <w:p>
      <w:pPr>
        <w:ind w:left="40" w:right="179" w:firstLine="259"/>
        <w:spacing w:after="0" w:line="25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the Chief Executive Officer and Chief Financial Officer, of the effectiveness of the design and operation of our disclosure controls and procedures as of April 30, 2025. Based upon this evaluation, our Chief Executive Officer and Chief Financial Officer concluded that our disclosure controls and procedures were effective as of such date to ensure that information required to be disclosed in the reports we file or submit under the Securities Exchange Act of 1934 is recorded, processed, summarized, and reported within the time periods specified in the Securities and Exchange Commission rules and forms.</w:t>
      </w:r>
    </w:p>
    <w:p>
      <w:pPr>
        <w:spacing w:after="0" w:line="214" w:lineRule="exact"/>
        <w:rPr>
          <w:sz w:val="20"/>
          <w:szCs w:val="20"/>
          <w:color w:val="auto"/>
        </w:rPr>
      </w:pPr>
    </w:p>
    <w:p>
      <w:pPr>
        <w:ind w:left="40" w:right="79" w:firstLine="25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April 30, 2025 that have materially affected, or are reasonably likely to materially affect, our internal control over financial reporting.</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299" w:firstLine="259"/>
        <w:spacing w:after="0" w:line="282" w:lineRule="auto"/>
        <w:rPr>
          <w:sz w:val="20"/>
          <w:szCs w:val="20"/>
          <w:color w:val="auto"/>
        </w:rPr>
      </w:pPr>
      <w:r>
        <w:rPr>
          <w:rFonts w:ascii="Times New Roman" w:cs="Times New Roman" w:eastAsia="Times New Roman" w:hAnsi="Times New Roman"/>
          <w:sz w:val="18"/>
          <w:szCs w:val="18"/>
          <w:color w:val="auto"/>
        </w:rPr>
        <w:t>Please refer to Note 6 to the unaudited condensed consolidated financial statements included in this Quarterly Report for further information.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For a discussion of our risk factors, see Part I, Item 1A “Risk Factors” of our Annual Report on Form 10-K for the year ended October 31, 2024, as supplemented by our Quarterly Report on Form 10-Q for the quarterly period ended January 31, 2025. There have been no material changes from the risk factors set forth in such Annual Report on Form 10-K and Quarterly Report on Form 10-Q. However, the risks and uncertainties that we face are not limited to those set forth in such Annual Report on Form 10-K and Quarterly Report on Form 10-Q. Additional risks and uncertainties not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82" w:lineRule="auto"/>
        <w:rPr>
          <w:sz w:val="20"/>
          <w:szCs w:val="20"/>
          <w:color w:val="auto"/>
        </w:rPr>
      </w:pPr>
      <w:r>
        <w:rPr>
          <w:rFonts w:ascii="Times New Roman" w:cs="Times New Roman" w:eastAsia="Times New Roman" w:hAnsi="Times New Roman"/>
          <w:sz w:val="18"/>
          <w:szCs w:val="18"/>
          <w:color w:val="auto"/>
        </w:rPr>
        <w:t>presently known to us or that we currently believe to be immaterial may also adversely affect our business and the trading price of our common stock.</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Trading Plans</w:t>
      </w:r>
    </w:p>
    <w:p>
      <w:pPr>
        <w:spacing w:after="0" w:line="229" w:lineRule="exact"/>
        <w:rPr>
          <w:sz w:val="20"/>
          <w:szCs w:val="20"/>
          <w:color w:val="auto"/>
        </w:rPr>
      </w:pPr>
    </w:p>
    <w:p>
      <w:pPr>
        <w:ind w:left="40" w:right="99" w:firstLine="259"/>
        <w:spacing w:after="0" w:line="312" w:lineRule="auto"/>
        <w:rPr>
          <w:sz w:val="20"/>
          <w:szCs w:val="20"/>
          <w:color w:val="auto"/>
        </w:rPr>
      </w:pPr>
      <w:r>
        <w:rPr>
          <w:rFonts w:ascii="Times New Roman" w:cs="Times New Roman" w:eastAsia="Times New Roman" w:hAnsi="Times New Roman"/>
          <w:sz w:val="17"/>
          <w:szCs w:val="17"/>
          <w:color w:val="auto"/>
        </w:rPr>
        <w:t>During the quarter ended April 30, 2025, no director or officer of the Company adopted or terminated a “Rule 10b5-1 trading arrangement” or “non-Rule 10b5-1 trading arrangement,” as each term is defined in Item 408(a) of Regulation S-K.</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59" w:lineRule="exact"/>
        <w:rPr>
          <w:sz w:val="20"/>
          <w:szCs w:val="20"/>
          <w:color w:val="auto"/>
        </w:rPr>
      </w:pPr>
    </w:p>
    <w:p>
      <w:pPr>
        <w:ind w:left="1420" w:right="199" w:hanging="499"/>
        <w:spacing w:after="0" w:line="282"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39">
        <w:r>
          <w:rPr>
            <w:rFonts w:ascii="Times New Roman" w:cs="Times New Roman" w:eastAsia="Times New Roman" w:hAnsi="Times New Roman"/>
            <w:sz w:val="18"/>
            <w:szCs w:val="18"/>
            <w:u w:val="single" w:color="auto"/>
            <w:color w:val="0000EE"/>
          </w:rPr>
          <w:t>Amended and Restated Calavo Growers, Inc. 2020 Equity Incentive Plan (incorporated by reference to</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Exhibit 10.1 to the Current Report on Form 8-K filed by the Registrant on April 28, 2025).</w:t>
        </w:r>
      </w:hyperlink>
    </w:p>
    <w:p>
      <w:pPr>
        <w:spacing w:after="0" w:line="162" w:lineRule="exact"/>
        <w:rPr>
          <w:sz w:val="20"/>
          <w:szCs w:val="20"/>
          <w:color w:val="auto"/>
        </w:rPr>
      </w:pPr>
    </w:p>
    <w:p>
      <w:pPr>
        <w:ind w:left="1420" w:right="199" w:hanging="499"/>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10.2</w:t>
        <w:tab/>
        <w:t>Amendment No. 4 to Lease Agreement, dated February 6, 2025, between the Company and Limoneira Company. +</w:t>
      </w:r>
    </w:p>
    <w:p>
      <w:pPr>
        <w:spacing w:after="0" w:line="162" w:lineRule="exact"/>
        <w:rPr>
          <w:sz w:val="20"/>
          <w:szCs w:val="20"/>
          <w:color w:val="auto"/>
        </w:rPr>
      </w:pPr>
    </w:p>
    <w:p>
      <w:pPr>
        <w:ind w:left="1420" w:right="259" w:hanging="499"/>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Rule 13a-14(a)/15d-14(a), as adopted pursuant to Section 302 of the Sarbanes-Oxley Act of 2002.</w:t>
      </w:r>
    </w:p>
    <w:p>
      <w:pPr>
        <w:spacing w:after="0" w:line="162" w:lineRule="exact"/>
        <w:rPr>
          <w:sz w:val="20"/>
          <w:szCs w:val="20"/>
          <w:color w:val="auto"/>
        </w:rPr>
      </w:pPr>
    </w:p>
    <w:p>
      <w:pPr>
        <w:ind w:left="1420" w:right="319" w:hanging="499"/>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Rule 13a-14(a)/15d-14(a), as adopted pursuant to Section 302 of the Sarbanes-Oxley Act of 2002.</w:t>
      </w:r>
    </w:p>
    <w:p>
      <w:pPr>
        <w:spacing w:after="0" w:line="162" w:lineRule="exact"/>
        <w:rPr>
          <w:sz w:val="20"/>
          <w:szCs w:val="20"/>
          <w:color w:val="auto"/>
        </w:rPr>
      </w:pPr>
    </w:p>
    <w:p>
      <w:pPr>
        <w:ind w:left="1420" w:right="199" w:hanging="499"/>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by Chief Executive Officer and Chief Financial Officer of Periodic Report Pursuant to 18 U.S.C. Section 1350, as adopted pursuant to Section 906 of the Sarbanes-Oxley Act of 2002. *</w:t>
      </w:r>
    </w:p>
    <w:p>
      <w:pPr>
        <w:spacing w:after="0" w:line="162" w:lineRule="exact"/>
        <w:rPr>
          <w:sz w:val="20"/>
          <w:szCs w:val="20"/>
          <w:color w:val="auto"/>
        </w:rPr>
      </w:pPr>
    </w:p>
    <w:p>
      <w:pPr>
        <w:ind w:left="1420" w:right="219" w:hanging="494"/>
        <w:spacing w:after="0" w:line="255"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Quarterly Report on Form 10-Q of Calavo Growers, Inc. for the quarter ended April 30, 2025, formatted in Inline XBRL (Extensible Business Reporting Language) includes: (1) Consolidated Balance Sheets as of April 30, 2025 and October 31, 2024; (2) Consolidated Statements of Operations for the three months ended April 30, 2025 and 2024; (3) Consolidated Statements of Cash Flows for the three months ended April 30, 2025 and 2024; (4) Consolidated Statements of Shareholders’ Equity for the three months ended April 30, 2025 and 2024; and (5) Notes to Consolidated Financial Statements.</w:t>
      </w:r>
    </w:p>
    <w:p>
      <w:pPr>
        <w:spacing w:after="0" w:line="189" w:lineRule="exact"/>
        <w:rPr>
          <w:sz w:val="20"/>
          <w:szCs w:val="20"/>
          <w:color w:val="auto"/>
        </w:rPr>
      </w:pPr>
    </w:p>
    <w:p>
      <w:pPr>
        <w:ind w:left="1420" w:hanging="494"/>
        <w:spacing w:after="0"/>
        <w:tabs>
          <w:tab w:leader="none" w:pos="14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0" w:lineRule="exact"/>
        <w:rPr>
          <w:rFonts w:ascii="Times New Roman" w:cs="Times New Roman" w:eastAsia="Times New Roman" w:hAnsi="Times New Roman"/>
          <w:sz w:val="18"/>
          <w:szCs w:val="18"/>
          <w:color w:val="auto"/>
        </w:rPr>
      </w:pPr>
    </w:p>
    <w:p>
      <w:pPr>
        <w:ind w:left="360" w:right="179"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-275590</wp:posOffset>
            </wp:positionV>
            <wp:extent cx="14141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75" w:lineRule="exact"/>
        <w:rPr>
          <w:sz w:val="20"/>
          <w:szCs w:val="20"/>
          <w:color w:val="auto"/>
        </w:rPr>
      </w:pPr>
    </w:p>
    <w:p>
      <w:pPr>
        <w:ind w:left="360" w:right="99" w:hanging="316"/>
        <w:spacing w:after="0" w:line="261" w:lineRule="auto"/>
        <w:tabs>
          <w:tab w:leader="none" w:pos="3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exhibit to this agreement has been omitted pursuant to Regulation S-K Item 601(a)(5). The Company agrees to furnish supplementally a copy of such omitted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234"/>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(Registrant)</w:t>
            </w:r>
          </w:p>
        </w:tc>
      </w:tr>
      <w:tr>
        <w:trPr>
          <w:trHeight w:val="6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2025</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Lecil E. Cole</w:t>
            </w:r>
          </w:p>
        </w:tc>
      </w:tr>
      <w:tr>
        <w:trPr>
          <w:trHeight w:val="191"/>
        </w:trPr>
        <w:tc>
          <w:tcPr>
            <w:tcW w:w="476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Lecil E. Cole</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4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2025</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Snyder</w:t>
            </w:r>
          </w:p>
        </w:tc>
      </w:tr>
      <w:tr>
        <w:trPr>
          <w:trHeight w:val="191"/>
        </w:trPr>
        <w:tc>
          <w:tcPr>
            <w:tcW w:w="476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Snyder</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094"/>
        </w:trPr>
        <w:tc>
          <w:tcPr>
            <w:tcW w:w="476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29</w:t>
            </w:r>
          </w:p>
        </w:tc>
        <w:tc>
          <w:tcPr>
            <w:tcW w:w="4160" w:type="dxa"/>
            <w:vAlign w:val="bottom"/>
          </w:tcPr>
          <w:p>
            <w:pPr>
              <w:spacing w:after="0"/>
              <w:rPr>
                <w:sz w:val="24"/>
                <w:szCs w:val="24"/>
                <w:color w:val="auto"/>
              </w:rPr>
            </w:pPr>
          </w:p>
        </w:tc>
      </w:tr>
      <w:tr>
        <w:trPr>
          <w:trHeight w:val="560"/>
        </w:trPr>
        <w:tc>
          <w:tcPr>
            <w:tcW w:w="47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2020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the Board of Directors on February 27, 2025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Shareholders on April 23, 2025</w:t>
      </w:r>
    </w:p>
    <w:p>
      <w:pPr>
        <w:spacing w:after="0" w:line="203" w:lineRule="exact"/>
        <w:rPr>
          <w:sz w:val="20"/>
          <w:szCs w:val="20"/>
          <w:color w:val="auto"/>
        </w:rPr>
      </w:pPr>
    </w:p>
    <w:p>
      <w:pPr>
        <w:ind w:left="700" w:hanging="656"/>
        <w:spacing w:after="0"/>
        <w:tabs>
          <w:tab w:leader="none" w:pos="7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5"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The persons eligible to receive Awards are Employees, Directors and</w:t>
      </w:r>
    </w:p>
    <w:p>
      <w:pPr>
        <w:spacing w:after="0" w:line="31" w:lineRule="exact"/>
        <w:rPr>
          <w:rFonts w:ascii="Times New Roman" w:cs="Times New Roman" w:eastAsia="Times New Roman" w:hAnsi="Times New Roman"/>
          <w:sz w:val="18"/>
          <w:szCs w:val="18"/>
          <w:b w:val="1"/>
          <w:bCs w:val="1"/>
          <w:color w:val="auto"/>
        </w:rPr>
      </w:pPr>
    </w:p>
    <w:p>
      <w:pPr>
        <w:ind w:left="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Consultants.</w:t>
      </w:r>
    </w:p>
    <w:p>
      <w:pPr>
        <w:spacing w:after="0" w:line="202" w:lineRule="exact"/>
        <w:rPr>
          <w:rFonts w:ascii="Times New Roman" w:cs="Times New Roman" w:eastAsia="Times New Roman" w:hAnsi="Times New Roman"/>
          <w:sz w:val="18"/>
          <w:szCs w:val="18"/>
          <w:b w:val="1"/>
          <w:bCs w:val="1"/>
          <w:color w:val="auto"/>
        </w:rPr>
      </w:pPr>
    </w:p>
    <w:p>
      <w:pPr>
        <w:ind w:left="40" w:right="99" w:firstLine="652"/>
        <w:spacing w:after="0" w:line="268" w:lineRule="auto"/>
        <w:tabs>
          <w:tab w:leader="none" w:pos="1206"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 Nonstatutory Stock Options; (iii) Stock Appreciation Rights (SARs); (iv) Restricted Stock Awards; (v) Restricted Stock Unit Awards; (vi) Performance Stock Awards; (vii) Performance Cash Awards; and (viii) Other Stock Awards.</w:t>
      </w:r>
    </w:p>
    <w:p>
      <w:pPr>
        <w:spacing w:after="0" w:line="170" w:lineRule="exact"/>
        <w:rPr>
          <w:rFonts w:ascii="Times New Roman" w:cs="Times New Roman" w:eastAsia="Times New Roman" w:hAnsi="Times New Roman"/>
          <w:sz w:val="18"/>
          <w:szCs w:val="18"/>
          <w:b w:val="1"/>
          <w:bCs w:val="1"/>
          <w:color w:val="auto"/>
        </w:rPr>
      </w:pPr>
    </w:p>
    <w:p>
      <w:pPr>
        <w:ind w:left="40" w:right="239" w:firstLine="652"/>
        <w:spacing w:after="0" w:line="262" w:lineRule="auto"/>
        <w:tabs>
          <w:tab w:leader="none" w:pos="1206"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Company, by means of the Plan, seeks to secure and retain the services of the group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eligible to receive Awards as set forth in Section 1(a), to provide incentives for such persons to exert maximum efforts for the success of the Company and any Affiliate and to provide a means by which such eligible recipients may be given an opportunity to benefit from increases in the value of the Common Stock through the granting of Awards.</w:t>
      </w:r>
    </w:p>
    <w:p>
      <w:pPr>
        <w:spacing w:after="0" w:line="176" w:lineRule="exact"/>
        <w:rPr>
          <w:rFonts w:ascii="Times New Roman" w:cs="Times New Roman" w:eastAsia="Times New Roman" w:hAnsi="Times New Roman"/>
          <w:sz w:val="18"/>
          <w:szCs w:val="18"/>
          <w:b w:val="1"/>
          <w:bCs w:val="1"/>
          <w:color w:val="auto"/>
        </w:rPr>
      </w:pPr>
    </w:p>
    <w:p>
      <w:pPr>
        <w:ind w:left="40" w:right="119" w:firstLine="652"/>
        <w:spacing w:after="0" w:line="262" w:lineRule="auto"/>
        <w:tabs>
          <w:tab w:leader="none" w:pos="1206"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the 2011 Management Incentive Plan. </w:t>
      </w:r>
      <w:r>
        <w:rPr>
          <w:rFonts w:ascii="Times New Roman" w:cs="Times New Roman" w:eastAsia="Times New Roman" w:hAnsi="Times New Roman"/>
          <w:sz w:val="18"/>
          <w:szCs w:val="18"/>
          <w:color w:val="auto"/>
        </w:rPr>
        <w:t>The Plan is the successor to the Company’s 2011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Incentive Plan. As provided in Section 1.3 of the 2011 Management Incentive Plan, no awards shall be made under the 2011 Management Incentive Plan after December 9, 2020. All awards made under the 2011 Management Incentive Plan prior to December 10, 2020 shall remain subject to the terms of that plan.</w:t>
      </w:r>
    </w:p>
    <w:p>
      <w:pPr>
        <w:spacing w:after="0" w:line="176"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Section 13 sets forth the definitions of certain capitalized terms used in the Plan.</w:t>
      </w:r>
    </w:p>
    <w:p>
      <w:pPr>
        <w:spacing w:after="0" w:line="225" w:lineRule="exact"/>
        <w:rPr>
          <w:rFonts w:ascii="Times New Roman" w:cs="Times New Roman" w:eastAsia="Times New Roman" w:hAnsi="Times New Roman"/>
          <w:sz w:val="18"/>
          <w:szCs w:val="18"/>
          <w:b w:val="1"/>
          <w:bCs w:val="1"/>
          <w:color w:val="auto"/>
        </w:rPr>
      </w:pPr>
    </w:p>
    <w:p>
      <w:pPr>
        <w:ind w:left="700" w:hanging="656"/>
        <w:spacing w:after="0"/>
        <w:tabs>
          <w:tab w:leader="none" w:pos="7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225" w:lineRule="exact"/>
        <w:rPr>
          <w:rFonts w:ascii="Times New Roman" w:cs="Times New Roman" w:eastAsia="Times New Roman" w:hAnsi="Times New Roman"/>
          <w:sz w:val="18"/>
          <w:szCs w:val="18"/>
          <w:b w:val="1"/>
          <w:bCs w:val="1"/>
          <w:color w:val="auto"/>
        </w:rPr>
      </w:pPr>
    </w:p>
    <w:p>
      <w:pPr>
        <w:ind w:left="40" w:right="139" w:firstLine="652"/>
        <w:spacing w:after="0" w:line="262" w:lineRule="auto"/>
        <w:tabs>
          <w:tab w:leader="none" w:pos="1206"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of the Plan. </w:t>
      </w:r>
      <w:r>
        <w:rPr>
          <w:rFonts w:ascii="Times New Roman" w:cs="Times New Roman" w:eastAsia="Times New Roman" w:hAnsi="Times New Roman"/>
          <w:sz w:val="18"/>
          <w:szCs w:val="18"/>
          <w:color w:val="auto"/>
        </w:rPr>
        <w:t>The Plan shall be administered by the Administrator. To the extent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permit, the Board may delegate administration of the Plan to a Committee or Committees, as provided in Section 2(c). Notwithstanding the foregoing, the Board (rather than a Committee) shall be responsible for granting Awards to Non-Employee Directors and for administering the provisions of the Plan that are applicable to such Awards.</w:t>
      </w:r>
    </w:p>
    <w:p>
      <w:pPr>
        <w:spacing w:after="0" w:line="176" w:lineRule="exact"/>
        <w:rPr>
          <w:rFonts w:ascii="Times New Roman" w:cs="Times New Roman" w:eastAsia="Times New Roman" w:hAnsi="Times New Roman"/>
          <w:sz w:val="18"/>
          <w:szCs w:val="18"/>
          <w:b w:val="1"/>
          <w:bCs w:val="1"/>
          <w:color w:val="auto"/>
        </w:rPr>
      </w:pPr>
    </w:p>
    <w:p>
      <w:pPr>
        <w:ind w:left="40" w:right="559" w:firstLine="652"/>
        <w:spacing w:after="0" w:line="286" w:lineRule="auto"/>
        <w:tabs>
          <w:tab w:leader="none" w:pos="1206"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the Administrator. </w:t>
      </w:r>
      <w:r>
        <w:rPr>
          <w:rFonts w:ascii="Times New Roman" w:cs="Times New Roman" w:eastAsia="Times New Roman" w:hAnsi="Times New Roman"/>
          <w:sz w:val="18"/>
          <w:szCs w:val="18"/>
          <w:color w:val="auto"/>
        </w:rPr>
        <w:t>The Administrator shall have the power and authority, subject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limitations of, the provisions of the Plan:</w:t>
      </w:r>
    </w:p>
    <w:p>
      <w:pPr>
        <w:spacing w:after="0" w:line="158" w:lineRule="exact"/>
        <w:rPr>
          <w:rFonts w:ascii="Times New Roman" w:cs="Times New Roman" w:eastAsia="Times New Roman" w:hAnsi="Times New Roman"/>
          <w:sz w:val="18"/>
          <w:szCs w:val="18"/>
          <w:b w:val="1"/>
          <w:bCs w:val="1"/>
          <w:color w:val="auto"/>
        </w:rPr>
      </w:pPr>
    </w:p>
    <w:p>
      <w:pPr>
        <w:ind w:left="40" w:right="59" w:firstLine="1300"/>
        <w:spacing w:after="0" w:line="276" w:lineRule="auto"/>
        <w:tabs>
          <w:tab w:leader="none" w:pos="1854" w:val="left"/>
        </w:tabs>
        <w:numPr>
          <w:ilvl w:val="2"/>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determine from time to time: (A) which of the persons eligible under the Plan shall be granted Awards; (B) when and how each Award shall be granted; (C) what type or combination of types of Awards shall be granted;</w:t>
      </w:r>
    </w:p>
    <w:p>
      <w:pPr>
        <w:ind w:left="40" w:right="139"/>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 the provisions of each Award granted (which need not be identical), including the time or times when a person shall be permitted to receive cash or Common Stock pursuant to a Stock Award; (E) the number of shares of Common Stock with respect to which a Stock Award shall be granted to each such person; and (F) the Fair Market Value applicable to a Stock Award;</w:t>
      </w:r>
    </w:p>
    <w:p>
      <w:pPr>
        <w:spacing w:after="0" w:line="188" w:lineRule="exact"/>
        <w:rPr>
          <w:rFonts w:ascii="Times New Roman" w:cs="Times New Roman" w:eastAsia="Times New Roman" w:hAnsi="Times New Roman"/>
          <w:sz w:val="17"/>
          <w:szCs w:val="17"/>
          <w:b w:val="1"/>
          <w:bCs w:val="1"/>
          <w:color w:val="auto"/>
        </w:rPr>
      </w:pPr>
    </w:p>
    <w:p>
      <w:pPr>
        <w:ind w:left="40" w:right="199" w:firstLine="1300"/>
        <w:spacing w:after="0" w:line="281" w:lineRule="auto"/>
        <w:tabs>
          <w:tab w:leader="none" w:pos="1854" w:val="left"/>
        </w:tabs>
        <w:numPr>
          <w:ilvl w:val="2"/>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construe and interpret the Plan and Awards granted under it, and to establish, amend and revoke rules and regulations for its administration; and the Administrator, in the exercise of this power, may correct any defect, omission or inconsistency in the Plan or in any Stock Award Agreement or in the written terms of a Performance Cash Award, in a manner and to the extent it shall deem necessary or expedient to make the Plan or Award fully effective;</w:t>
      </w:r>
    </w:p>
    <w:p>
      <w:pPr>
        <w:spacing w:after="0" w:line="164" w:lineRule="exact"/>
        <w:rPr>
          <w:rFonts w:ascii="Times New Roman" w:cs="Times New Roman" w:eastAsia="Times New Roman" w:hAnsi="Times New Roman"/>
          <w:sz w:val="17"/>
          <w:szCs w:val="17"/>
          <w:b w:val="1"/>
          <w:bCs w:val="1"/>
          <w:color w:val="auto"/>
        </w:rPr>
      </w:pPr>
    </w:p>
    <w:p>
      <w:pPr>
        <w:ind w:left="1860" w:hanging="520"/>
        <w:spacing w:after="0"/>
        <w:tabs>
          <w:tab w:leader="none" w:pos="1860"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rFonts w:ascii="Times New Roman" w:cs="Times New Roman" w:eastAsia="Times New Roman" w:hAnsi="Times New Roman"/>
          <w:sz w:val="18"/>
          <w:szCs w:val="18"/>
          <w:b w:val="1"/>
          <w:bCs w:val="1"/>
          <w:color w:val="auto"/>
        </w:rPr>
      </w:pPr>
    </w:p>
    <w:p>
      <w:pPr>
        <w:ind w:left="40" w:right="199" w:firstLine="1300"/>
        <w:spacing w:after="0" w:line="282" w:lineRule="auto"/>
        <w:tabs>
          <w:tab w:leader="none" w:pos="1854"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an outstanding Award may first be exercised or the time at which an outstanding Award or any part thereof will vest in accordance with the Plan, notwithstanding the provisions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594360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0" w:name="page31"/>
    <w:bookmarkEnd w:id="30"/>
    <w:p>
      <w:pPr>
        <w:ind w:left="40" w:right="139"/>
        <w:spacing w:after="0" w:line="258" w:lineRule="auto"/>
        <w:rPr>
          <w:sz w:val="20"/>
          <w:szCs w:val="20"/>
          <w:color w:val="auto"/>
        </w:rPr>
      </w:pPr>
      <w:r>
        <w:rPr>
          <w:rFonts w:ascii="Times New Roman" w:cs="Times New Roman" w:eastAsia="Times New Roman" w:hAnsi="Times New Roman"/>
          <w:sz w:val="18"/>
          <w:szCs w:val="18"/>
          <w:color w:val="auto"/>
        </w:rPr>
        <w:t>the Award Agreement stating the time at which it may first be exercised or the time at which it shall vest, but such acceleration shall be permitted only (A) as a result of a Participant’s termination of Continuous Service by reason of the Participant’s death or Disability, (B) in connection with (including following) the consummation of a Change in Control or a dissolution or liquidation of the Company, or (C) pursuant to the terms of a written employment agreement between the Participant and the Company or an Affiliate in connection with the Participant’s termination of Continuous Service;</w:t>
      </w:r>
    </w:p>
    <w:p>
      <w:pPr>
        <w:spacing w:after="0" w:line="183" w:lineRule="exact"/>
        <w:rPr>
          <w:sz w:val="20"/>
          <w:szCs w:val="20"/>
          <w:color w:val="auto"/>
        </w:rPr>
      </w:pPr>
    </w:p>
    <w:p>
      <w:pPr>
        <w:ind w:left="40" w:right="299" w:firstLine="1300"/>
        <w:spacing w:after="0" w:line="266" w:lineRule="auto"/>
        <w:tabs>
          <w:tab w:leader="none" w:pos="185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suspend or terminate the Plan at any time; provided that amendment, suspension or termination of the Plan shall not impair rights and obligations under any Award granted while the Plan is in effect except with the written consent of the affected Participant;</w:t>
      </w:r>
    </w:p>
    <w:p>
      <w:pPr>
        <w:spacing w:after="0" w:line="175" w:lineRule="exact"/>
        <w:rPr>
          <w:rFonts w:ascii="Times New Roman" w:cs="Times New Roman" w:eastAsia="Times New Roman" w:hAnsi="Times New Roman"/>
          <w:sz w:val="18"/>
          <w:szCs w:val="18"/>
          <w:b w:val="1"/>
          <w:bCs w:val="1"/>
          <w:color w:val="auto"/>
        </w:rPr>
      </w:pPr>
    </w:p>
    <w:p>
      <w:pPr>
        <w:jc w:val="both"/>
        <w:ind w:left="40" w:right="419" w:firstLine="1300"/>
        <w:spacing w:after="0" w:line="266" w:lineRule="auto"/>
        <w:tabs>
          <w:tab w:leader="none" w:pos="185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shareholder approval, including, but not limited to, amendments to the Plan intended to satisfy the requirements of (A) Section 422 of the Code regarding “incentive stock options” or (B) Rule 16b-3 under the Exchange Act;</w:t>
      </w:r>
    </w:p>
    <w:p>
      <w:pPr>
        <w:spacing w:after="0" w:line="175" w:lineRule="exact"/>
        <w:rPr>
          <w:rFonts w:ascii="Times New Roman" w:cs="Times New Roman" w:eastAsia="Times New Roman" w:hAnsi="Times New Roman"/>
          <w:sz w:val="18"/>
          <w:szCs w:val="18"/>
          <w:b w:val="1"/>
          <w:bCs w:val="1"/>
          <w:color w:val="auto"/>
        </w:rPr>
      </w:pPr>
    </w:p>
    <w:p>
      <w:pPr>
        <w:ind w:left="40" w:right="119" w:firstLine="1300"/>
        <w:spacing w:after="0" w:line="272" w:lineRule="auto"/>
        <w:tabs>
          <w:tab w:leader="none" w:pos="1984" w:val="left"/>
        </w:tabs>
        <w:numPr>
          <w:ilvl w:val="1"/>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the Administrator’s discretion; provided, however, that a Participant’s rights under any Award shall not be impaired by any such amendment unless (A) the Company requests the consent of the affected Participant and (B) such Participant consents in writing; notwithstanding the foregoing, subject to the limitations of applicable law, if any, the Administrator may amend the terms of any one or more Awards without the affected Participant’s consent if necessary to maintain the qualified status of the Award as an Incentive Stock Option or to bring the Award into compliance with Section 409A of the Code;</w:t>
      </w:r>
    </w:p>
    <w:p>
      <w:pPr>
        <w:spacing w:after="0" w:line="171" w:lineRule="exact"/>
        <w:rPr>
          <w:rFonts w:ascii="Times New Roman" w:cs="Times New Roman" w:eastAsia="Times New Roman" w:hAnsi="Times New Roman"/>
          <w:sz w:val="17"/>
          <w:szCs w:val="17"/>
          <w:b w:val="1"/>
          <w:bCs w:val="1"/>
          <w:color w:val="auto"/>
        </w:rPr>
      </w:pPr>
    </w:p>
    <w:p>
      <w:pPr>
        <w:ind w:left="40" w:right="499" w:firstLine="1300"/>
        <w:spacing w:after="0" w:line="266" w:lineRule="auto"/>
        <w:tabs>
          <w:tab w:leader="none" w:pos="198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exercise such powers and to perform such acts as the Administrator deems necessary or expedient to promote the best interests of the Company and that are not in conflict with the provisions of the Plan or Awards; and</w:t>
      </w:r>
    </w:p>
    <w:p>
      <w:pPr>
        <w:spacing w:after="0" w:line="175" w:lineRule="exact"/>
        <w:rPr>
          <w:rFonts w:ascii="Times New Roman" w:cs="Times New Roman" w:eastAsia="Times New Roman" w:hAnsi="Times New Roman"/>
          <w:sz w:val="18"/>
          <w:szCs w:val="18"/>
          <w:b w:val="1"/>
          <w:bCs w:val="1"/>
          <w:color w:val="auto"/>
        </w:rPr>
      </w:pPr>
    </w:p>
    <w:p>
      <w:pPr>
        <w:ind w:left="40" w:right="179" w:firstLine="1300"/>
        <w:spacing w:after="0" w:line="282" w:lineRule="auto"/>
        <w:tabs>
          <w:tab w:leader="none" w:pos="185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Directors or Consultants who are foreign nationals or employed outside the United States.</w:t>
      </w:r>
    </w:p>
    <w:p>
      <w:pPr>
        <w:spacing w:after="0" w:line="157"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a Committee.</w:t>
      </w:r>
    </w:p>
    <w:p>
      <w:pPr>
        <w:spacing w:after="0" w:line="225" w:lineRule="exact"/>
        <w:rPr>
          <w:rFonts w:ascii="Times New Roman" w:cs="Times New Roman" w:eastAsia="Times New Roman" w:hAnsi="Times New Roman"/>
          <w:sz w:val="18"/>
          <w:szCs w:val="18"/>
          <w:b w:val="1"/>
          <w:bCs w:val="1"/>
          <w:color w:val="auto"/>
        </w:rPr>
      </w:pPr>
    </w:p>
    <w:p>
      <w:pPr>
        <w:ind w:left="40" w:right="119" w:firstLine="1300"/>
        <w:spacing w:after="0" w:line="257" w:lineRule="auto"/>
        <w:tabs>
          <w:tab w:leader="none" w:pos="1854"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If administration of the Plan is delegated to a Committee, the Committee shall have, in connection with the administration of the Plan, the powers theretofore possessed by the Board that have been delegated to the Committee. The Board may retain the authority to concurrently administer the Plan with the Committee and may, at any time, revest in the Board some or all of the powers previously delegated to a Committee or Committees. References in the Plan to the “Administrator” shall refer, as applicable, to the Board and/or the Committee or Committees.</w:t>
      </w:r>
    </w:p>
    <w:p>
      <w:pPr>
        <w:spacing w:after="0" w:line="182" w:lineRule="exact"/>
        <w:rPr>
          <w:rFonts w:ascii="Times New Roman" w:cs="Times New Roman" w:eastAsia="Times New Roman" w:hAnsi="Times New Roman"/>
          <w:sz w:val="18"/>
          <w:szCs w:val="18"/>
          <w:b w:val="1"/>
          <w:bCs w:val="1"/>
          <w:color w:val="auto"/>
        </w:rPr>
      </w:pPr>
    </w:p>
    <w:p>
      <w:pPr>
        <w:ind w:left="40" w:right="159" w:firstLine="1300"/>
        <w:spacing w:after="0" w:line="262" w:lineRule="auto"/>
        <w:tabs>
          <w:tab w:leader="none" w:pos="1854"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Members of the Committee. </w:t>
      </w:r>
      <w:r>
        <w:rPr>
          <w:rFonts w:ascii="Times New Roman" w:cs="Times New Roman" w:eastAsia="Times New Roman" w:hAnsi="Times New Roman"/>
          <w:sz w:val="18"/>
          <w:szCs w:val="18"/>
          <w:color w:val="auto"/>
        </w:rPr>
        <w:t>Unless otherwise determined by the Board, the Committee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comprised of at least two Directors, each of whom shall be an Outside Director. The failure of the Committee to be comprised solely of Outside Directors shall not affect the validity of any action of the Committee (including the grant of any Award) that otherwise complies with the terms of the Plan.</w:t>
      </w:r>
    </w:p>
    <w:p>
      <w:pPr>
        <w:spacing w:after="0" w:line="176" w:lineRule="exact"/>
        <w:rPr>
          <w:rFonts w:ascii="Times New Roman" w:cs="Times New Roman" w:eastAsia="Times New Roman" w:hAnsi="Times New Roman"/>
          <w:sz w:val="18"/>
          <w:szCs w:val="18"/>
          <w:b w:val="1"/>
          <w:bCs w:val="1"/>
          <w:color w:val="auto"/>
        </w:rPr>
      </w:pPr>
    </w:p>
    <w:p>
      <w:pPr>
        <w:ind w:left="40" w:right="99" w:firstLine="652"/>
        <w:spacing w:after="0" w:line="255" w:lineRule="auto"/>
        <w:tabs>
          <w:tab w:leader="none" w:pos="120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the Chief Executive Officer. </w:t>
      </w:r>
      <w:r>
        <w:rPr>
          <w:rFonts w:ascii="Times New Roman" w:cs="Times New Roman" w:eastAsia="Times New Roman" w:hAnsi="Times New Roman"/>
          <w:sz w:val="18"/>
          <w:szCs w:val="18"/>
          <w:color w:val="auto"/>
        </w:rPr>
        <w:t>If and to the extent that may be permitted by the California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Corporation Law, the Board may delegate to the Company’s Chief Executive Officer the authority to do one or both of the following: (i) designate Employees who are not Officers to be recipients of Options and Stock Appreciation Rights (and, to the extent permitted by applicable law, other Stock Awards) and the terms thereof, and (ii) determine the number of shares of Common Stock to be subject to such Stock Awards granted to such Employees; provided, however, that the Board resolutions regarding such delegation shall specify the total number of shares of Common Stock that may be subject to the Stock Awards granted by the Chief Executive Officer and that the Chief Executive Officer may not grant a Stock Award to himself or herself.</w:t>
      </w:r>
    </w:p>
    <w:p>
      <w:pPr>
        <w:spacing w:after="0" w:line="184" w:lineRule="exact"/>
        <w:rPr>
          <w:rFonts w:ascii="Times New Roman" w:cs="Times New Roman" w:eastAsia="Times New Roman" w:hAnsi="Times New Roman"/>
          <w:sz w:val="18"/>
          <w:szCs w:val="18"/>
          <w:b w:val="1"/>
          <w:bCs w:val="1"/>
          <w:color w:val="auto"/>
        </w:rPr>
      </w:pPr>
    </w:p>
    <w:p>
      <w:pPr>
        <w:ind w:left="40" w:right="479" w:firstLine="652"/>
        <w:spacing w:after="0" w:line="286" w:lineRule="auto"/>
        <w:tabs>
          <w:tab w:leader="none" w:pos="120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the Administrator’s Determinations. </w:t>
      </w:r>
      <w:r>
        <w:rPr>
          <w:rFonts w:ascii="Times New Roman" w:cs="Times New Roman" w:eastAsia="Times New Roman" w:hAnsi="Times New Roman"/>
          <w:sz w:val="18"/>
          <w:szCs w:val="18"/>
          <w:color w:val="auto"/>
        </w:rPr>
        <w:t>All determinations, interpretations and constructions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the Administrator shall be final, binding and conclusive on all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592455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ind w:left="40" w:right="99" w:firstLine="652"/>
        <w:spacing w:after="0" w:line="255" w:lineRule="auto"/>
        <w:tabs>
          <w:tab w:leader="none" w:pos="1206"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To the maximum extent permitted by applicable law and the Company’s Bylaws,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(including, without limitation, each Committee member) shall be indemnified and held harmless by the Company from and against (i) any expense (including attorneys’ fees) that may be actually and reasonably incurred by such person in connection with or resulting from any action, suit or proceeding to which such person may be a party or in which such person may be involved by reason of any action taken or omitted to be taken under the Plan or any Award Agreement and</w:t>
      </w:r>
    </w:p>
    <w:p>
      <w:pPr>
        <w:spacing w:after="0" w:line="2" w:lineRule="exact"/>
        <w:rPr>
          <w:rFonts w:ascii="Times New Roman" w:cs="Times New Roman" w:eastAsia="Times New Roman" w:hAnsi="Times New Roman"/>
          <w:sz w:val="18"/>
          <w:szCs w:val="18"/>
          <w:b w:val="1"/>
          <w:bCs w:val="1"/>
          <w:color w:val="auto"/>
        </w:rPr>
      </w:pPr>
    </w:p>
    <w:p>
      <w:pPr>
        <w:ind w:left="40" w:right="59" w:firstLine="4"/>
        <w:spacing w:after="0" w:line="252" w:lineRule="auto"/>
        <w:tabs>
          <w:tab w:leader="none" w:pos="3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amounts paid by such person, with the Company’s approval, in settlement of such action, suit or proceeding, or paid by such person in satisfaction of any judgment or fine in any such action, suit or proceeding against such person. The Company shall have the right, at its own expense, to assume and defend any such action, suit or proceeding, and, once the Company gives notice of its intent to assume the defense, the Company shall have sole control over such defense with counsel of the Company’s choice. The preceding right to indemnification shall be in addition to any other indemnification rights to which a Director is entitled under the Company’s Bylaws, under applicable law or under an agreement entered into with the Company.</w:t>
      </w:r>
    </w:p>
    <w:p>
      <w:pPr>
        <w:spacing w:after="0" w:line="184" w:lineRule="exact"/>
        <w:rPr>
          <w:sz w:val="20"/>
          <w:szCs w:val="20"/>
          <w:color w:val="auto"/>
        </w:rPr>
      </w:pPr>
    </w:p>
    <w:p>
      <w:pPr>
        <w:ind w:left="700" w:hanging="656"/>
        <w:spacing w:after="0"/>
        <w:tabs>
          <w:tab w:leader="none" w:pos="7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p>
    <w:p>
      <w:pPr>
        <w:spacing w:after="0" w:line="225" w:lineRule="exact"/>
        <w:rPr>
          <w:rFonts w:ascii="Times New Roman" w:cs="Times New Roman" w:eastAsia="Times New Roman" w:hAnsi="Times New Roman"/>
          <w:sz w:val="18"/>
          <w:szCs w:val="18"/>
          <w:b w:val="1"/>
          <w:bCs w:val="1"/>
          <w:color w:val="auto"/>
        </w:rPr>
      </w:pPr>
    </w:p>
    <w:p>
      <w:pPr>
        <w:ind w:left="40" w:right="79" w:firstLine="652"/>
        <w:spacing w:after="0" w:line="254" w:lineRule="auto"/>
        <w:tabs>
          <w:tab w:leader="none" w:pos="1206"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Section 9(a) relating to Capitalization Adjustments, the aggregate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that may be issued pursuant to Stock Awards granted under the Plan from and after the Effective Date shall not exceed 1,500,000 shares (the “</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of which up to 1,500,000 shares may be issued pursuant to Incentive Stock Options. To the extent permitted by Nasdaq Listing Rule 5635(c)(3) or other applicable national stock exchange rule, shares of Common Stock may be issued by the Company in connection with a merger or acquisition without reducing the number of shares available for issuance under the Plan. Furthermore, if a Stock Award or any portion thereof</w:t>
      </w:r>
    </w:p>
    <w:p>
      <w:pPr>
        <w:spacing w:after="0" w:line="3" w:lineRule="exact"/>
        <w:rPr>
          <w:rFonts w:ascii="Times New Roman" w:cs="Times New Roman" w:eastAsia="Times New Roman" w:hAnsi="Times New Roman"/>
          <w:sz w:val="18"/>
          <w:szCs w:val="18"/>
          <w:b w:val="1"/>
          <w:bCs w:val="1"/>
          <w:color w:val="auto"/>
        </w:rPr>
      </w:pPr>
    </w:p>
    <w:p>
      <w:pPr>
        <w:ind w:left="40" w:right="9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expires or otherwise terminates without all of the shares covered by such Stock Award having been issued or (ii) is settled in cash by reason of the Participant receiving cash rather than stock, the number of shares of Common Stock subject to such Stock Award that were not issued with respect to such Stock Award shall not be treated as having been issued for purposes of this Section 3(a) and the Share Reserve shall be increased by such number of shares.</w:t>
      </w:r>
    </w:p>
    <w:p>
      <w:pPr>
        <w:spacing w:after="0" w:line="184"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Counting; Reversion of Shares to the Share Reserve.</w:t>
      </w:r>
    </w:p>
    <w:p>
      <w:pPr>
        <w:spacing w:after="0" w:line="229" w:lineRule="exact"/>
        <w:rPr>
          <w:rFonts w:ascii="Times New Roman" w:cs="Times New Roman" w:eastAsia="Times New Roman" w:hAnsi="Times New Roman"/>
          <w:sz w:val="18"/>
          <w:szCs w:val="18"/>
          <w:b w:val="1"/>
          <w:bCs w:val="1"/>
          <w:color w:val="auto"/>
        </w:rPr>
      </w:pPr>
    </w:p>
    <w:p>
      <w:pPr>
        <w:ind w:left="40" w:right="159" w:firstLine="1300"/>
        <w:spacing w:after="0" w:line="269" w:lineRule="auto"/>
        <w:tabs>
          <w:tab w:leader="none" w:pos="1854" w:val="left"/>
        </w:tabs>
        <w:numPr>
          <w:ilvl w:val="2"/>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Full Value Award</w:t>
      </w:r>
      <w:r>
        <w:rPr>
          <w:rFonts w:ascii="Times New Roman" w:cs="Times New Roman" w:eastAsia="Times New Roman" w:hAnsi="Times New Roman"/>
          <w:sz w:val="17"/>
          <w:szCs w:val="17"/>
          <w:color w:val="auto"/>
        </w:rPr>
        <w:t>” means any Restricted Stock Award, Restricted Stock Unit Award or other Stock Award settled in Common Stock, excluding, however, (A) an Option, (B) a Stock Appreciation Right, or (C) a Restricted Stock Award or an Other Stock Award under which the Company will receive monetary consideration equal to the Fair Market Value (determined on the effective date of grant) of the shares subject to such Award. Each share of Common Stock subject to an Award other than a Full Value Award shall be counted against the Share Reserve limit set forth in Section 3(a) as one share. Each share of Common Stock subject to a Full Value Award shall be counted against the Share Reserve as two shares of Common Stock; provided, however, that each share of Common Stock subject to a Full Value Award that is forfeited or repurchased pursuant to the first sentence of Section 3(b)(ii), and each share of Common Stock subject to a Full Value Award that is not issued because a Stock Award expires, terminates without issuance or is settled in cash as described in the last sentence of Section 3(a), shall be counted as two shares of Common Stock for purposes of determining the number of shares of Common Stock again becoming available for issuance under the Plan.</w:t>
      </w:r>
    </w:p>
    <w:p>
      <w:pPr>
        <w:spacing w:after="0" w:line="181" w:lineRule="exact"/>
        <w:rPr>
          <w:rFonts w:ascii="Times New Roman" w:cs="Times New Roman" w:eastAsia="Times New Roman" w:hAnsi="Times New Roman"/>
          <w:sz w:val="17"/>
          <w:szCs w:val="17"/>
          <w:b w:val="1"/>
          <w:bCs w:val="1"/>
          <w:color w:val="auto"/>
        </w:rPr>
      </w:pPr>
    </w:p>
    <w:p>
      <w:pPr>
        <w:ind w:left="40" w:right="79" w:firstLine="1300"/>
        <w:spacing w:after="0" w:line="254" w:lineRule="auto"/>
        <w:tabs>
          <w:tab w:leader="none" w:pos="1854"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shares of Common Stock issued pursuant to a Stock Award are forfeited back to or repurchased by the Company because of the failure to meet a contingency or condition required to vest such shares in the Participant, then the shares that are forfeited or repurchased shall revert to and again become available for issuance under the Plan. Shares of Common Stock shall not be deemed to have been issued pursuant to the Plan with respect to any portion of an Award that is settled in cash. Shares of Common Stock that are reacquired or withheld by the Company pursuant to Section 8(f) in connection with a tax withholding obligation or as consideration for the exercise of an Option, SAR or any other Stock Award shall not again become available for issuance under the Plan. The payment of dividends and dividend equivalents in cash in conjunction with any outstanding Awards shall not be counted against the shares of Common Stock available for issuance under the Plan.</w:t>
      </w:r>
    </w:p>
    <w:p>
      <w:pPr>
        <w:spacing w:after="0" w:line="184" w:lineRule="exact"/>
        <w:rPr>
          <w:rFonts w:ascii="Times New Roman" w:cs="Times New Roman" w:eastAsia="Times New Roman" w:hAnsi="Times New Roman"/>
          <w:sz w:val="18"/>
          <w:szCs w:val="18"/>
          <w:b w:val="1"/>
          <w:bCs w:val="1"/>
          <w:color w:val="auto"/>
        </w:rPr>
      </w:pPr>
    </w:p>
    <w:p>
      <w:pPr>
        <w:ind w:left="40" w:right="779" w:firstLine="652"/>
        <w:spacing w:after="0" w:line="286" w:lineRule="auto"/>
        <w:tabs>
          <w:tab w:leader="none" w:pos="1206"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shall be shares of authorized but unissued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reacquired Common Stock, including shares 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left="700" w:hanging="656"/>
        <w:spacing w:after="0"/>
        <w:tabs>
          <w:tab w:leader="none" w:pos="7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AND AWARD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636905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2" w:name="page33"/>
    <w:bookmarkEnd w:id="32"/>
    <w:p>
      <w:pPr>
        <w:ind w:left="40" w:right="159" w:firstLine="652"/>
        <w:spacing w:after="0" w:line="255" w:lineRule="auto"/>
        <w:tabs>
          <w:tab w:leader="none" w:pos="1206"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Eligibility for Specific Stock Awards. </w:t>
      </w:r>
      <w:r>
        <w:rPr>
          <w:rFonts w:ascii="Times New Roman" w:cs="Times New Roman" w:eastAsia="Times New Roman" w:hAnsi="Times New Roman"/>
          <w:sz w:val="18"/>
          <w:szCs w:val="18"/>
          <w:color w:val="auto"/>
        </w:rPr>
        <w:t>Incentive Stock Options may be granted only to employees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 “parent corporation” or “subsidiary corporation” thereof (as such terms are defined in Sections 424(e) and 424(f) of the Code). Stock Awards other than Incentive Stock Options may be granted to Employees, Directors and Consultants; provided, however, that Stock Awards may not be granted to Employees, Directors and Consultants who are providing Continuous Service only to any “parent” of the Company, as such term is defined in Rule 405 of the Securities Act, unless the stock underlying such Stock Awards is treated as “service recipient stock” under Section 409A of the Code because the Stock Awards are granted pursuant to a corporate transaction (such as a spin-off transaction) or unless such Stock Awards comply with the distribution requirements of Section 409A of the Code.</w:t>
      </w:r>
    </w:p>
    <w:p>
      <w:pPr>
        <w:spacing w:after="0" w:line="184" w:lineRule="exact"/>
        <w:rPr>
          <w:rFonts w:ascii="Times New Roman" w:cs="Times New Roman" w:eastAsia="Times New Roman" w:hAnsi="Times New Roman"/>
          <w:sz w:val="18"/>
          <w:szCs w:val="18"/>
          <w:b w:val="1"/>
          <w:bCs w:val="1"/>
          <w:color w:val="auto"/>
        </w:rPr>
      </w:pPr>
    </w:p>
    <w:p>
      <w:pPr>
        <w:ind w:left="40" w:right="119" w:firstLine="652"/>
        <w:spacing w:after="0" w:line="268" w:lineRule="auto"/>
        <w:tabs>
          <w:tab w:leader="none" w:pos="1206"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Ten Percent Shareholders. </w:t>
      </w:r>
      <w:r>
        <w:rPr>
          <w:rFonts w:ascii="Times New Roman" w:cs="Times New Roman" w:eastAsia="Times New Roman" w:hAnsi="Times New Roman"/>
          <w:sz w:val="18"/>
          <w:szCs w:val="18"/>
          <w:color w:val="auto"/>
        </w:rPr>
        <w:t>A Ten Percent Shareholder shall not be granted an Incentive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exercise price of such Option is at least 110% of the Fair Market Value on the date of grant and the Option is not exercisable after the expiration of five years from the date of grant.</w:t>
      </w:r>
    </w:p>
    <w:p>
      <w:pPr>
        <w:spacing w:after="0" w:line="170" w:lineRule="exact"/>
        <w:rPr>
          <w:rFonts w:ascii="Times New Roman" w:cs="Times New Roman" w:eastAsia="Times New Roman" w:hAnsi="Times New Roman"/>
          <w:sz w:val="18"/>
          <w:szCs w:val="18"/>
          <w:b w:val="1"/>
          <w:bCs w:val="1"/>
          <w:color w:val="auto"/>
        </w:rPr>
      </w:pPr>
    </w:p>
    <w:p>
      <w:pPr>
        <w:ind w:left="40" w:right="239" w:firstLine="652"/>
        <w:spacing w:after="0" w:line="257" w:lineRule="auto"/>
        <w:tabs>
          <w:tab w:leader="none" w:pos="1206"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at the time of grant) of Common Stock with respect to which Incentive Stock Options are exercisable for the first time by any Optionholder during any calendar year (under all plans of the Company and any Affiliates) exceeds $100,000, the Options or portions thereof that exceed such limit (according to the order in which they were granted) shall be treated as Nonstatutory Stock Options, notwithstanding any provision to the contrary in the applicable Option Agreements.</w:t>
      </w:r>
    </w:p>
    <w:p>
      <w:pPr>
        <w:spacing w:after="0" w:line="182" w:lineRule="exact"/>
        <w:rPr>
          <w:rFonts w:ascii="Times New Roman" w:cs="Times New Roman" w:eastAsia="Times New Roman" w:hAnsi="Times New Roman"/>
          <w:sz w:val="18"/>
          <w:szCs w:val="18"/>
          <w:b w:val="1"/>
          <w:bCs w:val="1"/>
          <w:color w:val="auto"/>
        </w:rPr>
      </w:pPr>
    </w:p>
    <w:p>
      <w:pPr>
        <w:ind w:left="40" w:right="59" w:firstLine="652"/>
        <w:spacing w:after="0" w:line="253" w:lineRule="auto"/>
        <w:tabs>
          <w:tab w:leader="none" w:pos="1206"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Condition Limitation. </w:t>
      </w:r>
      <w:r>
        <w:rPr>
          <w:rFonts w:ascii="Times New Roman" w:cs="Times New Roman" w:eastAsia="Times New Roman" w:hAnsi="Times New Roman"/>
          <w:sz w:val="18"/>
          <w:szCs w:val="18"/>
          <w:color w:val="auto"/>
        </w:rPr>
        <w:t>Notwithstanding any other provision in the Plan to the contrary, an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shall vest no earlier than the first anniversary of the date the Award is granted; provided, however, that (i) Awards that result in the issuance of an aggregate of up to five percent of the shares of Common Stock available pursuant to Section 3(a) (as such number of shares of Common Stock may be increased from time to time in accordance with the Plan) may be granted to any one or more eligible Directors, Consultants or Employees without respect to such one-year minimum vesting condition; (ii) Awards to Non-Employee Directors may vest on the earlier of the one-year anniversary of the date of grant or the next annual meeting of shareholders (provided that such vesting period may not be less than 50 weeks after the date of grant); and (iii) Awards may vest without respect to the minimum vesting condition limitation described in this Section 4(d) above (A) as a result of a Participant’s termination of Continuous Service by reason of the Participant’s death or Disability, (B) in connection with (including following) the consummation of a Change in Control or a dissolution or liquidation of the Company, or (C) pursuant to the terms of a written employment agreement between the Participant and the Company or an Affiliate in connection with the Participant’s termination of Continuous Service.</w:t>
      </w:r>
    </w:p>
    <w:p>
      <w:pPr>
        <w:spacing w:after="0" w:line="187" w:lineRule="exact"/>
        <w:rPr>
          <w:rFonts w:ascii="Times New Roman" w:cs="Times New Roman" w:eastAsia="Times New Roman" w:hAnsi="Times New Roman"/>
          <w:sz w:val="18"/>
          <w:szCs w:val="18"/>
          <w:b w:val="1"/>
          <w:bCs w:val="1"/>
          <w:color w:val="auto"/>
        </w:rPr>
      </w:pPr>
    </w:p>
    <w:p>
      <w:pPr>
        <w:ind w:left="40" w:right="139" w:firstLine="652"/>
        <w:spacing w:after="0" w:line="257" w:lineRule="auto"/>
        <w:tabs>
          <w:tab w:leader="none" w:pos="1206"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Repricing of Stock Awards or Cancellation and Re-Grant of Stock Awards. </w:t>
      </w:r>
      <w:r>
        <w:rPr>
          <w:rFonts w:ascii="Times New Roman" w:cs="Times New Roman" w:eastAsia="Times New Roman" w:hAnsi="Times New Roman"/>
          <w:sz w:val="18"/>
          <w:szCs w:val="18"/>
          <w:color w:val="auto"/>
        </w:rPr>
        <w:t>Except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that are made in accordance with Section 9(a) or 9(c), the Administrator shall not have the authority to (i) reduce the exercise price of any outstanding Option or SAR or take any other action that would be treated, for accounting purposes, as a “repricing” of any outstanding Stock Award under the Plan or (ii) cancel and re-grant any outstanding Stock Award under the Plan, unless the shareholders of the Company approve such reduction, cancellation, re-grant or other action.</w:t>
      </w:r>
    </w:p>
    <w:p>
      <w:pPr>
        <w:spacing w:after="0" w:line="182" w:lineRule="exact"/>
        <w:rPr>
          <w:rFonts w:ascii="Times New Roman" w:cs="Times New Roman" w:eastAsia="Times New Roman" w:hAnsi="Times New Roman"/>
          <w:sz w:val="18"/>
          <w:szCs w:val="18"/>
          <w:b w:val="1"/>
          <w:bCs w:val="1"/>
          <w:color w:val="auto"/>
        </w:rPr>
      </w:pPr>
    </w:p>
    <w:p>
      <w:pPr>
        <w:ind w:left="40" w:right="119" w:firstLine="652"/>
        <w:spacing w:after="0" w:line="253" w:lineRule="auto"/>
        <w:tabs>
          <w:tab w:leader="none" w:pos="1206"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 on Annual Compensation to Non-Employee Directors. </w:t>
      </w:r>
      <w:r>
        <w:rPr>
          <w:rFonts w:ascii="Times New Roman" w:cs="Times New Roman" w:eastAsia="Times New Roman" w:hAnsi="Times New Roman"/>
          <w:sz w:val="18"/>
          <w:szCs w:val="18"/>
          <w:color w:val="auto"/>
        </w:rPr>
        <w:t>In no event shall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by the Company to a Non-Employee Director for services performed as a Non-Employee Director, including, without limitation, the grant date value (determined in accordance with Financial Accounting Standards Board Accounting Standards Codification Topic 718 or any amendment or successor to such standard) of Awards, cash retainers, Committee fees and other compensation, exceed $450,000 in the aggregate during any fiscal year, which limit shall be increased to $650,000 in the fiscal year of a Non-Employee Director’s initial service as a Non-Employee Director, and in no event shall the number of shares of Common Stock subject to Stock Awards (including, without limitation, Options) granted to any Non-Employee Director, subject to the provisions of Section 9(a) relating to Capitalization Adjustments, exceed 20,000 shares during any fiscal year. The limitation of 20,000 shares described in this Section 4(f) refers to the actual number of shares of Common Stock that is subject to each Stock Award and such limitation shall be calculated without regard to the provision set forth in Section 3(b)(i) that each share of Common Stock subject to a Full Value Award shall be counted against the Plan’s Share Reserve limit in Section 3(a) as two shares of Common Stock.</w:t>
      </w:r>
    </w:p>
    <w:p>
      <w:pPr>
        <w:spacing w:after="0" w:line="189" w:lineRule="exact"/>
        <w:rPr>
          <w:rFonts w:ascii="Times New Roman" w:cs="Times New Roman" w:eastAsia="Times New Roman" w:hAnsi="Times New Roman"/>
          <w:sz w:val="18"/>
          <w:szCs w:val="18"/>
          <w:b w:val="1"/>
          <w:bCs w:val="1"/>
          <w:color w:val="auto"/>
        </w:rPr>
      </w:pPr>
    </w:p>
    <w:p>
      <w:pPr>
        <w:ind w:left="700" w:hanging="656"/>
        <w:spacing w:after="0"/>
        <w:tabs>
          <w:tab w:leader="none" w:pos="7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RELATING TO OPTIONS AND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636905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3" w:name="page34"/>
    <w:bookmarkEnd w:id="33"/>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Each Option or SAR shall be in such form and shall contain such terms and conditions as the Administrator shall deem appropriate. All Options shall be separately designated Incentive Stock Options or Nonstatutory Stock Options at the time of grant and, if certificates are issued, a separate certificate or certificates shall be issued for shares of Common Stock purchased on exercise of each type of Option. If an Option is not specifically designated as an Incentive Stock Option, then the Option shall be a Nonstatutory Stock Option. The provisions of separate Options or SARs need not be identical; provided, however, that each Option Agreement or Stock Appreciation Right Agreement shall conform to (through incorporation of provisions hereof by reference in the applicable Award Agreement or otherwise) the substance of each of the following provisions:</w:t>
      </w:r>
    </w:p>
    <w:p>
      <w:pPr>
        <w:spacing w:after="0" w:line="188" w:lineRule="exact"/>
        <w:rPr>
          <w:sz w:val="20"/>
          <w:szCs w:val="20"/>
          <w:color w:val="auto"/>
        </w:rPr>
      </w:pPr>
    </w:p>
    <w:p>
      <w:pPr>
        <w:ind w:left="40" w:right="79" w:firstLine="652"/>
        <w:spacing w:after="0" w:line="254" w:lineRule="auto"/>
        <w:tabs>
          <w:tab w:leader="none" w:pos="120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term of each Option and SAR shall be set by the Administrator in its sole discretion;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that the term shall not be more than ten years from the date the Option or SAR is granted or five years from the date an Incentive Stock Option is granted to a Ten Percent Shareholder. The Administrator shall determine the time period, including the time period following any termination of a Participant's Continuous Service, during which the Participant has the right to exercise a vested Option or SAR, which time period may not extend beyond the expiration date of the Option or SAR term. Except as limited by the requirements of Section 409A or Section 422 of the Code, the Administrator may extend the term of any outstanding Option or SAR, and may extend the time period during which a vested Option or SAR may be exercised, in connection with any termination of the Participant's Continuous Service, and may amend any other term or condition of such Option or SAR relating to such a termination of Continuous Service, provided, however, that such term or time period shall not be extended beyond the date described in the first sentence of this paragraph.</w:t>
      </w:r>
    </w:p>
    <w:p>
      <w:pPr>
        <w:spacing w:after="0" w:line="185" w:lineRule="exact"/>
        <w:rPr>
          <w:rFonts w:ascii="Times New Roman" w:cs="Times New Roman" w:eastAsia="Times New Roman" w:hAnsi="Times New Roman"/>
          <w:sz w:val="18"/>
          <w:szCs w:val="18"/>
          <w:b w:val="1"/>
          <w:bCs w:val="1"/>
          <w:color w:val="auto"/>
        </w:rPr>
      </w:pPr>
    </w:p>
    <w:p>
      <w:pPr>
        <w:ind w:left="40" w:right="59" w:firstLine="652"/>
        <w:spacing w:after="0" w:line="255" w:lineRule="auto"/>
        <w:tabs>
          <w:tab w:leader="none" w:pos="120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Subject to the provisions of Section 4(b) regarding Ten Percent Shareholders, the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(or strike price) of each Option or SAR shall be not less than 100% of the Fair Market Value of the Common Stock subject to the Option or SAR on the date the Option or SAR is granted. Notwithstanding the foregoing, an Option or SAR may be issued with an exercise price (or strike price) lower than 100% of the Fair Market Value of the Common Stock subject to the Option or SAR if such Option or SAR is issued pursuant to an assumption of or substitution for another option or stock appreciation right pursuant to a Change in Control and in a manner consistent with the provisions of Section 409A of the Code and, if applicable, Section 424(a) of the Code. Each SAR will be denominated in shares of Common Stock equivalents.</w:t>
      </w:r>
    </w:p>
    <w:p>
      <w:pPr>
        <w:spacing w:after="0" w:line="184" w:lineRule="exact"/>
        <w:rPr>
          <w:rFonts w:ascii="Times New Roman" w:cs="Times New Roman" w:eastAsia="Times New Roman" w:hAnsi="Times New Roman"/>
          <w:sz w:val="18"/>
          <w:szCs w:val="18"/>
          <w:b w:val="1"/>
          <w:bCs w:val="1"/>
          <w:color w:val="auto"/>
        </w:rPr>
      </w:pPr>
    </w:p>
    <w:p>
      <w:pPr>
        <w:ind w:left="40" w:right="59" w:firstLine="652"/>
        <w:spacing w:after="0" w:line="257" w:lineRule="auto"/>
        <w:tabs>
          <w:tab w:leader="none" w:pos="120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Purchase Price for Options. </w:t>
      </w:r>
      <w:r>
        <w:rPr>
          <w:rFonts w:ascii="Times New Roman" w:cs="Times New Roman" w:eastAsia="Times New Roman" w:hAnsi="Times New Roman"/>
          <w:sz w:val="18"/>
          <w:szCs w:val="18"/>
          <w:color w:val="auto"/>
        </w:rPr>
        <w:t>The purchase price of Common Stock acquired pursuant to the exercise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shall be paid, to the extent permitted by applicable law and as determined by the Administrator in its sole discretion, by any combination of the methods of payment set forth below. The Administrator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spacing w:after="0" w:line="186" w:lineRule="exact"/>
        <w:rPr>
          <w:rFonts w:ascii="Times New Roman" w:cs="Times New Roman" w:eastAsia="Times New Roman" w:hAnsi="Times New Roman"/>
          <w:sz w:val="18"/>
          <w:szCs w:val="18"/>
          <w:b w:val="1"/>
          <w:bCs w:val="1"/>
          <w:color w:val="auto"/>
        </w:rPr>
      </w:pPr>
    </w:p>
    <w:p>
      <w:pPr>
        <w:ind w:left="1860" w:hanging="520"/>
        <w:spacing w:after="0"/>
        <w:tabs>
          <w:tab w:leader="none" w:pos="186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ind w:left="40" w:right="139" w:firstLine="1300"/>
        <w:spacing w:after="0" w:line="261" w:lineRule="auto"/>
        <w:tabs>
          <w:tab w:leader="none" w:pos="1854"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a broker to pay the aggregate exercise price to the Company from the sales proceeds;</w:t>
      </w:r>
    </w:p>
    <w:p>
      <w:pPr>
        <w:spacing w:after="0" w:line="179" w:lineRule="exact"/>
        <w:rPr>
          <w:rFonts w:ascii="Times New Roman" w:cs="Times New Roman" w:eastAsia="Times New Roman" w:hAnsi="Times New Roman"/>
          <w:sz w:val="18"/>
          <w:szCs w:val="18"/>
          <w:b w:val="1"/>
          <w:bCs w:val="1"/>
          <w:color w:val="auto"/>
        </w:rPr>
      </w:pPr>
    </w:p>
    <w:p>
      <w:pPr>
        <w:ind w:left="40" w:right="359" w:firstLine="1300"/>
        <w:spacing w:after="0" w:line="282" w:lineRule="auto"/>
        <w:tabs>
          <w:tab w:leader="none" w:pos="1854"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of shares of Common Stock already owned by the Participant and valued at the Fair Market Value as of the date of delivery to the Company;</w:t>
      </w:r>
    </w:p>
    <w:p>
      <w:pPr>
        <w:spacing w:after="0" w:line="161" w:lineRule="exact"/>
        <w:rPr>
          <w:rFonts w:ascii="Times New Roman" w:cs="Times New Roman" w:eastAsia="Times New Roman" w:hAnsi="Times New Roman"/>
          <w:sz w:val="18"/>
          <w:szCs w:val="18"/>
          <w:b w:val="1"/>
          <w:bCs w:val="1"/>
          <w:color w:val="auto"/>
        </w:rPr>
      </w:pPr>
    </w:p>
    <w:p>
      <w:pPr>
        <w:ind w:left="40" w:right="59" w:firstLine="1300"/>
        <w:spacing w:after="0" w:line="254" w:lineRule="auto"/>
        <w:tabs>
          <w:tab w:leader="none" w:pos="1854"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provided, however, that the Company shall accept a cash or other payment from the Participant to the extent of any remaining balance of the aggregate exercise price not satisfied by such reduction in the number of whole shares to be issued; provided, further, that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613410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 w:name="page35"/>
    <w:bookmarkEnd w:id="34"/>
    <w:p>
      <w:pPr>
        <w:ind w:left="40" w:right="99" w:firstLine="1300"/>
        <w:spacing w:after="0" w:line="282" w:lineRule="auto"/>
        <w:tabs>
          <w:tab w:leader="none" w:pos="1854"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legal consideration that may be acceptable to the Administrator and specified in the applicable Award Agreement.</w:t>
      </w:r>
    </w:p>
    <w:p>
      <w:pPr>
        <w:spacing w:after="0" w:line="157" w:lineRule="exact"/>
        <w:rPr>
          <w:rFonts w:ascii="Times New Roman" w:cs="Times New Roman" w:eastAsia="Times New Roman" w:hAnsi="Times New Roman"/>
          <w:sz w:val="18"/>
          <w:szCs w:val="18"/>
          <w:b w:val="1"/>
          <w:bCs w:val="1"/>
          <w:color w:val="auto"/>
        </w:rPr>
      </w:pPr>
    </w:p>
    <w:p>
      <w:pPr>
        <w:ind w:left="40" w:right="119" w:firstLine="652"/>
        <w:spacing w:after="0" w:line="254" w:lineRule="auto"/>
        <w:tabs>
          <w:tab w:leader="none" w:pos="1206"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and Payment of a SAR. </w:t>
      </w:r>
      <w:r>
        <w:rPr>
          <w:rFonts w:ascii="Times New Roman" w:cs="Times New Roman" w:eastAsia="Times New Roman" w:hAnsi="Times New Roman"/>
          <w:sz w:val="18"/>
          <w:szCs w:val="18"/>
          <w:color w:val="auto"/>
        </w:rPr>
        <w:t>To exercise any outstanding SAR, the Participant must provide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exercise to the Company in compliance with the provisions of the Stock Appreciation Right Agreement evidencing such SAR. The appreciation distribution payable on the exercise of a SAR will be not greater than an amount equal to the excess of (i)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(ii) the strike price that will be determined by the Administrator at the time of grant of the SAR. The appreciation distribution in respect to a SAR may be paid in Common Stock, in cash, in any combination of the two or in any other form of consideration, as determined by the Administrator and contained in the Stock Appreciation Right Agreement evidencing such SAR.</w:t>
      </w:r>
    </w:p>
    <w:p>
      <w:pPr>
        <w:spacing w:after="0" w:line="188" w:lineRule="exact"/>
        <w:rPr>
          <w:rFonts w:ascii="Times New Roman" w:cs="Times New Roman" w:eastAsia="Times New Roman" w:hAnsi="Times New Roman"/>
          <w:sz w:val="18"/>
          <w:szCs w:val="18"/>
          <w:b w:val="1"/>
          <w:bCs w:val="1"/>
          <w:color w:val="auto"/>
        </w:rPr>
      </w:pPr>
    </w:p>
    <w:p>
      <w:pPr>
        <w:ind w:left="40" w:right="319" w:firstLine="652"/>
        <w:spacing w:after="0" w:line="262" w:lineRule="auto"/>
        <w:tabs>
          <w:tab w:leader="none" w:pos="1206"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of Options and SARs. </w:t>
      </w:r>
      <w:r>
        <w:rPr>
          <w:rFonts w:ascii="Times New Roman" w:cs="Times New Roman" w:eastAsia="Times New Roman" w:hAnsi="Times New Roman"/>
          <w:sz w:val="18"/>
          <w:szCs w:val="18"/>
          <w:color w:val="auto"/>
        </w:rPr>
        <w:t>The Administrator may, in its sole discretion,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limitations on the transferability of Options and SARs as the Administrator shall determine. In the absence of such a determination by the Administrator to the contrary, the following restrictions on the transferability of Options and SARs shall apply:</w:t>
      </w:r>
    </w:p>
    <w:p>
      <w:pPr>
        <w:spacing w:after="0" w:line="176" w:lineRule="exact"/>
        <w:rPr>
          <w:rFonts w:ascii="Times New Roman" w:cs="Times New Roman" w:eastAsia="Times New Roman" w:hAnsi="Times New Roman"/>
          <w:sz w:val="18"/>
          <w:szCs w:val="18"/>
          <w:b w:val="1"/>
          <w:bCs w:val="1"/>
          <w:color w:val="auto"/>
        </w:rPr>
      </w:pPr>
    </w:p>
    <w:p>
      <w:pPr>
        <w:ind w:left="40" w:right="119" w:firstLine="1300"/>
        <w:spacing w:after="0" w:line="259" w:lineRule="auto"/>
        <w:tabs>
          <w:tab w:leader="none" w:pos="1854"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shall not be transferable except by will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descent and distribution and shall be exercisable during the lifetime of the Participant only by the Participant; provided, however, that the Administrator may, in its sole discretion, permit transfer of the Option or SAR in a manner that is not prohibited by applicable tax and securities laws upon the Participant’s request. Except as explicitly provided herein, neither an Option nor a SAR may be transferred for consideration.</w:t>
      </w:r>
    </w:p>
    <w:p>
      <w:pPr>
        <w:spacing w:after="0" w:line="179" w:lineRule="exact"/>
        <w:rPr>
          <w:sz w:val="20"/>
          <w:szCs w:val="20"/>
          <w:color w:val="auto"/>
        </w:rPr>
      </w:pPr>
    </w:p>
    <w:p>
      <w:pPr>
        <w:ind w:left="40" w:right="219" w:firstLine="1300"/>
        <w:spacing w:after="0" w:line="268" w:lineRule="auto"/>
        <w:tabs>
          <w:tab w:leader="none" w:pos="1854"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an Option or SAR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pursuant to a domestic relations order; provided, however, that if an Option is an Incentive Stock Option, such Option may be deemed to be a Nonstatutory Stock Option as a result of such transfer.</w:t>
      </w:r>
    </w:p>
    <w:p>
      <w:pPr>
        <w:spacing w:after="0" w:line="170" w:lineRule="exact"/>
        <w:rPr>
          <w:rFonts w:ascii="Times New Roman" w:cs="Times New Roman" w:eastAsia="Times New Roman" w:hAnsi="Times New Roman"/>
          <w:sz w:val="18"/>
          <w:szCs w:val="18"/>
          <w:b w:val="1"/>
          <w:bCs w:val="1"/>
          <w:color w:val="auto"/>
        </w:rPr>
      </w:pPr>
    </w:p>
    <w:p>
      <w:pPr>
        <w:ind w:left="40" w:right="99" w:firstLine="1300"/>
        <w:spacing w:after="0" w:line="257" w:lineRule="auto"/>
        <w:tabs>
          <w:tab w:leader="none" w:pos="1854"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Beneficiary Designation. </w:t>
      </w:r>
      <w:r>
        <w:rPr>
          <w:rFonts w:ascii="Times New Roman" w:cs="Times New Roman" w:eastAsia="Times New Roman" w:hAnsi="Times New Roman"/>
          <w:sz w:val="18"/>
          <w:szCs w:val="18"/>
          <w:color w:val="auto"/>
        </w:rPr>
        <w:t>Notwithstanding the foregoing, the Participant may, by delivering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the Company, in a form provided by or otherwise satisfactory to the Company and any broker designated by the Company to effect Option exercises, designate a third party who, in the event of the death of the Participant, shall thereafter be entitled to exercise the Option or SAR and receive the Common Stock or other consideration resulting from such exercise. In the absence of such a designation, the executor or administrator of the Participant’s estate shall be entitled to exercise the Option or SAR and receive the Common Stock or other consideration resulting from such exercise.</w:t>
      </w:r>
    </w:p>
    <w:p>
      <w:pPr>
        <w:spacing w:after="0" w:line="182" w:lineRule="exact"/>
        <w:rPr>
          <w:rFonts w:ascii="Times New Roman" w:cs="Times New Roman" w:eastAsia="Times New Roman" w:hAnsi="Times New Roman"/>
          <w:sz w:val="18"/>
          <w:szCs w:val="18"/>
          <w:b w:val="1"/>
          <w:bCs w:val="1"/>
          <w:color w:val="auto"/>
        </w:rPr>
      </w:pPr>
    </w:p>
    <w:p>
      <w:pPr>
        <w:ind w:left="40" w:right="59" w:firstLine="652"/>
        <w:spacing w:after="0" w:line="256" w:lineRule="auto"/>
        <w:tabs>
          <w:tab w:leader="none" w:pos="1206"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Generally. </w:t>
      </w:r>
      <w:r>
        <w:rPr>
          <w:rFonts w:ascii="Times New Roman" w:cs="Times New Roman" w:eastAsia="Times New Roman" w:hAnsi="Times New Roman"/>
          <w:sz w:val="18"/>
          <w:szCs w:val="18"/>
          <w:color w:val="auto"/>
        </w:rPr>
        <w:t>Subject to Section 4(d), the total number of shares of Common Stock subject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or SAR may vest and therefore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Administrator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82" w:lineRule="exact"/>
        <w:rPr>
          <w:rFonts w:ascii="Times New Roman" w:cs="Times New Roman" w:eastAsia="Times New Roman" w:hAnsi="Times New Roman"/>
          <w:sz w:val="18"/>
          <w:szCs w:val="18"/>
          <w:b w:val="1"/>
          <w:bCs w:val="1"/>
          <w:color w:val="auto"/>
        </w:rPr>
      </w:pPr>
    </w:p>
    <w:p>
      <w:pPr>
        <w:ind w:left="40" w:right="79" w:firstLine="652"/>
        <w:spacing w:after="0" w:line="253" w:lineRule="auto"/>
        <w:tabs>
          <w:tab w:leader="none" w:pos="1206"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applicable Award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agreement between the Participant and the Company or except as otherwise extended by the Administrator, if a Participant’s Continuous Service terminates (other than for Cause or upon the Participant’s death or Disability), the Participant may exercise his or her Option or SAR (to the extent that the Participant was entitled to exercise such Award as of the date of termination of Continuous Service) but only within such period of time ending on the earlier of (i) the date three months following the termination of the Participant’s Continuous Service (or such longer or shorter period specified in the applicable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shall terminate except as otherwise determined by the Administrator. Notwithstanding any provision in the Plan to the contrary, the Administrator may, in its sole discretion and subject to whatever terms and conditions it elects, provide in the Award Agreement for continued vesting of an Option or SAR following a termination of Continuous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614680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5" w:name="page36"/>
    <w:bookmarkEnd w:id="35"/>
    <w:p>
      <w:pPr>
        <w:ind w:left="40" w:right="79" w:firstLine="652"/>
        <w:spacing w:after="0" w:line="253" w:lineRule="auto"/>
        <w:tabs>
          <w:tab w:leader="none" w:pos="1206"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Extension of Termination Date. </w:t>
      </w:r>
      <w:r>
        <w:rPr>
          <w:rFonts w:ascii="Times New Roman" w:cs="Times New Roman" w:eastAsia="Times New Roman" w:hAnsi="Times New Roman"/>
          <w:sz w:val="18"/>
          <w:szCs w:val="18"/>
          <w:color w:val="auto"/>
        </w:rPr>
        <w:t>If the exercise of an Option or SAR following the termination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Continuous Service (other than for Cause or upon the Participant’s death or Disability) would be prohibited at any time solely because the issuance of shares of Common Stock would violate the registration requirements under the Securities Act, then the Option or SAR shall terminate on the earlier of (i) the expiration of a total period of three months (that need not be consecutive) after the termination of the Participant’s Continuous Service during which the exercise of the Option or SAR would not be in violation of such registration requirements or (ii) the expiration of the term of the Option or SAR as set forth in the applicable Award Agreement or as otherwise determined by the Administrator. In addition, unless otherwise provided in a Participant’s Award Agreement or as otherwise determined by the Administrator, if the sale of any Common Stock received upon exercise of an Option or SAR following the termination of the Participant’s Continuous Service (other than for Cause) would violate the Company’s insider trading policy, then the Option or SAR shall terminate on the earlier of (i) the expiration of a period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85" w:lineRule="exact"/>
        <w:rPr>
          <w:rFonts w:ascii="Times New Roman" w:cs="Times New Roman" w:eastAsia="Times New Roman" w:hAnsi="Times New Roman"/>
          <w:sz w:val="18"/>
          <w:szCs w:val="18"/>
          <w:b w:val="1"/>
          <w:bCs w:val="1"/>
          <w:color w:val="auto"/>
        </w:rPr>
      </w:pPr>
    </w:p>
    <w:p>
      <w:pPr>
        <w:ind w:left="40" w:right="59" w:firstLine="652"/>
        <w:spacing w:after="0" w:line="254" w:lineRule="auto"/>
        <w:tabs>
          <w:tab w:leader="none" w:pos="1206"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of a Participant. </w:t>
      </w:r>
      <w:r>
        <w:rPr>
          <w:rFonts w:ascii="Times New Roman" w:cs="Times New Roman" w:eastAsia="Times New Roman" w:hAnsi="Times New Roman"/>
          <w:sz w:val="18"/>
          <w:szCs w:val="18"/>
          <w:color w:val="auto"/>
        </w:rPr>
        <w:t>Except as otherwise provided in the applicable Award Agreement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the Participant and the Company or except as otherwise extended by the Administrator,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months following such termination of Continuous Service (or such longer or shorter period specified in the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(as applicable) shall terminate except as otherwise determined by the Administrator.</w:t>
      </w:r>
    </w:p>
    <w:p>
      <w:pPr>
        <w:spacing w:after="0" w:line="185" w:lineRule="exact"/>
        <w:rPr>
          <w:rFonts w:ascii="Times New Roman" w:cs="Times New Roman" w:eastAsia="Times New Roman" w:hAnsi="Times New Roman"/>
          <w:sz w:val="18"/>
          <w:szCs w:val="18"/>
          <w:b w:val="1"/>
          <w:bCs w:val="1"/>
          <w:color w:val="auto"/>
        </w:rPr>
      </w:pPr>
    </w:p>
    <w:p>
      <w:pPr>
        <w:ind w:left="40" w:right="59" w:firstLine="652"/>
        <w:spacing w:after="0" w:line="270" w:lineRule="auto"/>
        <w:tabs>
          <w:tab w:leader="none" w:pos="1206" w:val="left"/>
        </w:tabs>
        <w:numPr>
          <w:ilvl w:val="1"/>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Death of a Participant. </w:t>
      </w:r>
      <w:r>
        <w:rPr>
          <w:rFonts w:ascii="Times New Roman" w:cs="Times New Roman" w:eastAsia="Times New Roman" w:hAnsi="Times New Roman"/>
          <w:sz w:val="17"/>
          <w:szCs w:val="17"/>
          <w:color w:val="auto"/>
        </w:rPr>
        <w:t>Except as otherwise provided in the applicable Award Agreement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between the Participant and the Company or except as otherwise extended by the Administrator, if (i) a Participant’s Continuous Service terminates as a result of the Participant’s death or (ii) the Participant dies within the period (if any) specified in the Award Agreement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twelve months following the date of death (or such longer or shorter period specified in the Award Agreement) or (ii) the expiration of the term of such Option or SAR as set forth in the Award Agreement. If, after the Participant’s death, the Option or SAR is not exercised within the time specified herein or in the Award Agreement (as applicable), the Option or SAR shall terminate except as otherwise determined by the Administrator.</w:t>
      </w:r>
    </w:p>
    <w:p>
      <w:pPr>
        <w:spacing w:after="0" w:line="172" w:lineRule="exact"/>
        <w:rPr>
          <w:rFonts w:ascii="Times New Roman" w:cs="Times New Roman" w:eastAsia="Times New Roman" w:hAnsi="Times New Roman"/>
          <w:sz w:val="17"/>
          <w:szCs w:val="17"/>
          <w:b w:val="1"/>
          <w:bCs w:val="1"/>
          <w:color w:val="auto"/>
        </w:rPr>
      </w:pPr>
    </w:p>
    <w:p>
      <w:pPr>
        <w:ind w:left="40" w:right="139" w:firstLine="652"/>
        <w:spacing w:after="0" w:line="259" w:lineRule="auto"/>
        <w:tabs>
          <w:tab w:leader="none" w:pos="1206"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Except as explicitly provided otherwise in a Participant’s Award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extended by the Administrator, if a Participant’s Continuous Service is terminated for Cause, the Option or SAR shall terminate upon the date on which the Participant’s Continuous Service terminated, and the Participant shall be prohibited from exercising his or her Option or SAR from and after the date of such termination of Continuous Service.</w:t>
      </w:r>
    </w:p>
    <w:p>
      <w:pPr>
        <w:spacing w:after="0" w:line="179" w:lineRule="exact"/>
        <w:rPr>
          <w:rFonts w:ascii="Times New Roman" w:cs="Times New Roman" w:eastAsia="Times New Roman" w:hAnsi="Times New Roman"/>
          <w:sz w:val="18"/>
          <w:szCs w:val="18"/>
          <w:b w:val="1"/>
          <w:bCs w:val="1"/>
          <w:color w:val="auto"/>
        </w:rPr>
      </w:pPr>
    </w:p>
    <w:p>
      <w:pPr>
        <w:ind w:left="700" w:hanging="656"/>
        <w:spacing w:after="0"/>
        <w:tabs>
          <w:tab w:leader="none" w:pos="7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OF STOCK AWARDS OTHER THAN OPTIONS AND SARS.</w:t>
      </w:r>
    </w:p>
    <w:p>
      <w:pPr>
        <w:spacing w:after="0" w:line="225" w:lineRule="exact"/>
        <w:rPr>
          <w:rFonts w:ascii="Times New Roman" w:cs="Times New Roman" w:eastAsia="Times New Roman" w:hAnsi="Times New Roman"/>
          <w:sz w:val="18"/>
          <w:szCs w:val="18"/>
          <w:b w:val="1"/>
          <w:bCs w:val="1"/>
          <w:color w:val="auto"/>
        </w:rPr>
      </w:pPr>
    </w:p>
    <w:p>
      <w:pPr>
        <w:ind w:left="40" w:right="59" w:firstLine="652"/>
        <w:spacing w:after="0" w:line="254" w:lineRule="auto"/>
        <w:tabs>
          <w:tab w:leader="none" w:pos="1206"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Each Restricted Stock Award Agreement shall be in such form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 such terms and conditions as the Administrator shall deem appropriate. To the extent consistent with the Company’s Bylaws, at the Administrator’s election, shares of Common Stock may be (i) held in book entry form subject to the Company’s instructions until any restrictions relating to the Restricted Stock Award lapse or (ii) evidenced by a certificate, which certificate shall be held in such form and manner as determined by the Administrator. The terms and conditions of Restricted Stock Award Agreements may change from time to time, and the terms and conditions of separate Restricted Stock Award Agreements need not be identical; provided, however, that each Restricted Stock Award Agreement shall conform to (through incorporation of the provisions hereof by reference in the agreement or otherwise) the substance of each of the following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614045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6" w:name="page37"/>
    <w:bookmarkEnd w:id="36"/>
    <w:p>
      <w:pPr>
        <w:ind w:left="40" w:right="119" w:firstLine="1300"/>
        <w:spacing w:after="0" w:line="262" w:lineRule="auto"/>
        <w:tabs>
          <w:tab w:leader="none" w:pos="1854"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 Restricted Stock Award may be awarded in consideration for (A) cash, check,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draft or money order payable to the Company, (B) past services to the Company or an Affiliate, or (C) any other form of legal consideration that may be acceptable to the Administrator, in its sole discretion, and permissible under applicable law.</w:t>
      </w:r>
    </w:p>
    <w:p>
      <w:pPr>
        <w:spacing w:after="0" w:line="176" w:lineRule="exact"/>
        <w:rPr>
          <w:rFonts w:ascii="Times New Roman" w:cs="Times New Roman" w:eastAsia="Times New Roman" w:hAnsi="Times New Roman"/>
          <w:sz w:val="18"/>
          <w:szCs w:val="18"/>
          <w:b w:val="1"/>
          <w:bCs w:val="1"/>
          <w:color w:val="auto"/>
        </w:rPr>
      </w:pPr>
    </w:p>
    <w:p>
      <w:pPr>
        <w:ind w:left="40" w:right="159" w:firstLine="1300"/>
        <w:spacing w:after="0" w:line="268" w:lineRule="auto"/>
        <w:tabs>
          <w:tab w:leader="none" w:pos="1854"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Subject to Section 4(d), shares of Common Stock awarded under the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shall be subject to forfeiture to the Company in accordance with a vesting schedule to be determined by the Administrator.</w:t>
      </w:r>
    </w:p>
    <w:p>
      <w:pPr>
        <w:spacing w:after="0" w:line="170" w:lineRule="exact"/>
        <w:rPr>
          <w:rFonts w:ascii="Times New Roman" w:cs="Times New Roman" w:eastAsia="Times New Roman" w:hAnsi="Times New Roman"/>
          <w:sz w:val="18"/>
          <w:szCs w:val="18"/>
          <w:b w:val="1"/>
          <w:bCs w:val="1"/>
          <w:color w:val="auto"/>
        </w:rPr>
      </w:pPr>
    </w:p>
    <w:p>
      <w:pPr>
        <w:ind w:left="40" w:right="259" w:firstLine="1300"/>
        <w:spacing w:after="0" w:line="262" w:lineRule="auto"/>
        <w:tabs>
          <w:tab w:leader="none" w:pos="1854"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a Participant’s Continuous Service. </w:t>
      </w:r>
      <w:r>
        <w:rPr>
          <w:rFonts w:ascii="Times New Roman" w:cs="Times New Roman" w:eastAsia="Times New Roman" w:hAnsi="Times New Roman"/>
          <w:sz w:val="18"/>
          <w:szCs w:val="18"/>
          <w:color w:val="auto"/>
        </w:rPr>
        <w:t>If a Participant’s Continuous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the Company may receive 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76" w:lineRule="exact"/>
        <w:rPr>
          <w:rFonts w:ascii="Times New Roman" w:cs="Times New Roman" w:eastAsia="Times New Roman" w:hAnsi="Times New Roman"/>
          <w:sz w:val="18"/>
          <w:szCs w:val="18"/>
          <w:b w:val="1"/>
          <w:bCs w:val="1"/>
          <w:color w:val="auto"/>
        </w:rPr>
      </w:pPr>
    </w:p>
    <w:p>
      <w:pPr>
        <w:jc w:val="both"/>
        <w:ind w:left="40" w:right="359" w:firstLine="1300"/>
        <w:spacing w:after="0" w:line="282" w:lineRule="auto"/>
        <w:tabs>
          <w:tab w:leader="none" w:pos="1854" w:val="left"/>
        </w:tabs>
        <w:numPr>
          <w:ilvl w:val="1"/>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Transferability. </w:t>
      </w:r>
      <w:r>
        <w:rPr>
          <w:rFonts w:ascii="Times New Roman" w:cs="Times New Roman" w:eastAsia="Times New Roman" w:hAnsi="Times New Roman"/>
          <w:sz w:val="17"/>
          <w:szCs w:val="17"/>
          <w:color w:val="auto"/>
        </w:rPr>
        <w:t>Rights to acquire shares of Common Stock under the Restricted Stock 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shall be transferable by the Participant only upon such terms and conditions as are set forth in the Restricted Stock Award Agreement, as the Administrator shall determine in its sole discretion, so long as Common Stock awarded under the Restricted Stock Award Agreement remains subject to the terms of the Restricted Stock Award Agreement.</w:t>
      </w:r>
    </w:p>
    <w:p>
      <w:pPr>
        <w:spacing w:after="0" w:line="161" w:lineRule="exact"/>
        <w:rPr>
          <w:rFonts w:ascii="Times New Roman" w:cs="Times New Roman" w:eastAsia="Times New Roman" w:hAnsi="Times New Roman"/>
          <w:sz w:val="17"/>
          <w:szCs w:val="17"/>
          <w:b w:val="1"/>
          <w:bCs w:val="1"/>
          <w:color w:val="auto"/>
        </w:rPr>
      </w:pPr>
    </w:p>
    <w:p>
      <w:pPr>
        <w:ind w:left="40" w:right="59" w:firstLine="652"/>
        <w:spacing w:after="0" w:line="257" w:lineRule="auto"/>
        <w:tabs>
          <w:tab w:leader="none" w:pos="1206"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Unit Awards. </w:t>
      </w:r>
      <w:r>
        <w:rPr>
          <w:rFonts w:ascii="Times New Roman" w:cs="Times New Roman" w:eastAsia="Times New Roman" w:hAnsi="Times New Roman"/>
          <w:sz w:val="18"/>
          <w:szCs w:val="18"/>
          <w:color w:val="auto"/>
        </w:rPr>
        <w:t>Each Restricted Stock Unit Award Agreement shall be in such form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contain such terms and conditions as the Administrator shall deem appropriate. The terms and conditions of Restricted Stock Unit Award Agreements may change from time to time, and the terms and conditions of separate Restricted Stock Unit Award Agreements need not be identical; provided, however, that each Restricted Stock Unit Award Agreement shall conform to (through incorporation of the provisions hereof by reference in the agreement or otherwise) the substance of each of the following provisions:</w:t>
      </w:r>
    </w:p>
    <w:p>
      <w:pPr>
        <w:spacing w:after="0" w:line="182" w:lineRule="exact"/>
        <w:rPr>
          <w:rFonts w:ascii="Times New Roman" w:cs="Times New Roman" w:eastAsia="Times New Roman" w:hAnsi="Times New Roman"/>
          <w:sz w:val="18"/>
          <w:szCs w:val="18"/>
          <w:b w:val="1"/>
          <w:bCs w:val="1"/>
          <w:color w:val="auto"/>
        </w:rPr>
      </w:pPr>
    </w:p>
    <w:p>
      <w:pPr>
        <w:ind w:left="40" w:right="199" w:firstLine="1300"/>
        <w:spacing w:after="0" w:line="259" w:lineRule="auto"/>
        <w:tabs>
          <w:tab w:leader="none" w:pos="1854"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At the time of grant of a Restricted Stock Unit Award, the Administrator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Administrator, in its sole discretion, and permissible under applicable law.</w:t>
      </w:r>
    </w:p>
    <w:p>
      <w:pPr>
        <w:spacing w:after="0" w:line="179" w:lineRule="exact"/>
        <w:rPr>
          <w:rFonts w:ascii="Times New Roman" w:cs="Times New Roman" w:eastAsia="Times New Roman" w:hAnsi="Times New Roman"/>
          <w:sz w:val="18"/>
          <w:szCs w:val="18"/>
          <w:b w:val="1"/>
          <w:bCs w:val="1"/>
          <w:color w:val="auto"/>
        </w:rPr>
      </w:pPr>
    </w:p>
    <w:p>
      <w:pPr>
        <w:ind w:left="40" w:right="239" w:firstLine="1300"/>
        <w:spacing w:after="0" w:line="268" w:lineRule="auto"/>
        <w:tabs>
          <w:tab w:leader="none" w:pos="1854"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Subject to Section 4(d), at the time of the grant of a Restricted Stock Unit Award,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may impose such restrictions on or conditions to the vesting of the Restricted Stock Unit Award as it, in its sole discretion, deems appropriate.</w:t>
      </w:r>
    </w:p>
    <w:p>
      <w:pPr>
        <w:spacing w:after="0" w:line="170" w:lineRule="exact"/>
        <w:rPr>
          <w:rFonts w:ascii="Times New Roman" w:cs="Times New Roman" w:eastAsia="Times New Roman" w:hAnsi="Times New Roman"/>
          <w:sz w:val="18"/>
          <w:szCs w:val="18"/>
          <w:b w:val="1"/>
          <w:bCs w:val="1"/>
          <w:color w:val="auto"/>
        </w:rPr>
      </w:pPr>
    </w:p>
    <w:p>
      <w:pPr>
        <w:ind w:left="40" w:right="339" w:firstLine="1300"/>
        <w:spacing w:after="0" w:line="268" w:lineRule="auto"/>
        <w:tabs>
          <w:tab w:leader="none" w:pos="1854"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w:t>
      </w:r>
      <w:r>
        <w:rPr>
          <w:rFonts w:ascii="Times New Roman" w:cs="Times New Roman" w:eastAsia="Times New Roman" w:hAnsi="Times New Roman"/>
          <w:sz w:val="18"/>
          <w:szCs w:val="18"/>
          <w:color w:val="auto"/>
        </w:rPr>
        <w:t>A Restricted Stock Unit Award may be settled by the delivery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their cash equivalent, any combination thereof or in any other form of consideration, as determined by the Administrator and contained in the Restricted Stock Unit Award Agreement.</w:t>
      </w:r>
    </w:p>
    <w:p>
      <w:pPr>
        <w:spacing w:after="0" w:line="170" w:lineRule="exact"/>
        <w:rPr>
          <w:rFonts w:ascii="Times New Roman" w:cs="Times New Roman" w:eastAsia="Times New Roman" w:hAnsi="Times New Roman"/>
          <w:sz w:val="18"/>
          <w:szCs w:val="18"/>
          <w:b w:val="1"/>
          <w:bCs w:val="1"/>
          <w:color w:val="auto"/>
        </w:rPr>
      </w:pPr>
    </w:p>
    <w:p>
      <w:pPr>
        <w:ind w:left="40" w:right="239" w:firstLine="1300"/>
        <w:spacing w:after="0" w:line="262" w:lineRule="auto"/>
        <w:tabs>
          <w:tab w:leader="none" w:pos="1854"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Restrictions. </w:t>
      </w:r>
      <w:r>
        <w:rPr>
          <w:rFonts w:ascii="Times New Roman" w:cs="Times New Roman" w:eastAsia="Times New Roman" w:hAnsi="Times New Roman"/>
          <w:sz w:val="18"/>
          <w:szCs w:val="18"/>
          <w:color w:val="auto"/>
        </w:rPr>
        <w:t>At the time of the grant of a Restricted Stock Unit Award,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as it deems appropriate, may impose such restrictions or conditions that delay the delivery of the shares of Common Stock (or their cash equivalent) subject to a Restricted Stock Unit Award to a time after the vesting of such Restricted Stock Unit Award.</w:t>
      </w:r>
    </w:p>
    <w:p>
      <w:pPr>
        <w:spacing w:after="0" w:line="176" w:lineRule="exact"/>
        <w:rPr>
          <w:rFonts w:ascii="Times New Roman" w:cs="Times New Roman" w:eastAsia="Times New Roman" w:hAnsi="Times New Roman"/>
          <w:sz w:val="18"/>
          <w:szCs w:val="18"/>
          <w:b w:val="1"/>
          <w:bCs w:val="1"/>
          <w:color w:val="auto"/>
        </w:rPr>
      </w:pPr>
    </w:p>
    <w:p>
      <w:pPr>
        <w:ind w:left="40" w:right="339" w:firstLine="1300"/>
        <w:spacing w:after="0" w:line="268" w:lineRule="auto"/>
        <w:tabs>
          <w:tab w:leader="none" w:pos="1854"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a Participant’s Continuous Service. </w:t>
      </w:r>
      <w:r>
        <w:rPr>
          <w:rFonts w:ascii="Times New Roman" w:cs="Times New Roman" w:eastAsia="Times New Roman" w:hAnsi="Times New Roman"/>
          <w:sz w:val="18"/>
          <w:szCs w:val="18"/>
          <w:color w:val="auto"/>
        </w:rPr>
        <w:t>Except as otherwise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Restricted Stock Unit Award Agreement, such portion of the Restricted Stock Unit Award that has not vested will be forfeited upon the Participant’s termination of Continuous Service.</w:t>
      </w:r>
    </w:p>
    <w:p>
      <w:pPr>
        <w:spacing w:after="0" w:line="170"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p>
    <w:p>
      <w:pPr>
        <w:spacing w:after="0" w:line="225" w:lineRule="exact"/>
        <w:rPr>
          <w:rFonts w:ascii="Times New Roman" w:cs="Times New Roman" w:eastAsia="Times New Roman" w:hAnsi="Times New Roman"/>
          <w:sz w:val="18"/>
          <w:szCs w:val="18"/>
          <w:b w:val="1"/>
          <w:bCs w:val="1"/>
          <w:color w:val="auto"/>
        </w:rPr>
      </w:pPr>
    </w:p>
    <w:p>
      <w:pPr>
        <w:ind w:left="40" w:right="79" w:firstLine="1300"/>
        <w:spacing w:after="0" w:line="259" w:lineRule="auto"/>
        <w:tabs>
          <w:tab w:leader="none" w:pos="1854"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Performance Stock Awards. </w:t>
      </w:r>
      <w:r>
        <w:rPr>
          <w:rFonts w:ascii="Times New Roman" w:cs="Times New Roman" w:eastAsia="Times New Roman" w:hAnsi="Times New Roman"/>
          <w:sz w:val="18"/>
          <w:szCs w:val="18"/>
          <w:color w:val="auto"/>
        </w:rPr>
        <w:t>A Performance Stock Award is a Stock Award that may vest or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exercised contingent upon the attainment during a Performance Period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shall be conclusively determined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607695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7" w:name="page38"/>
    <w:bookmarkEnd w:id="37"/>
    <w:p>
      <w:pPr>
        <w:ind w:left="40" w:right="159"/>
        <w:spacing w:after="0" w:line="261" w:lineRule="auto"/>
        <w:rPr>
          <w:sz w:val="20"/>
          <w:szCs w:val="20"/>
          <w:color w:val="auto"/>
        </w:rPr>
      </w:pPr>
      <w:r>
        <w:rPr>
          <w:rFonts w:ascii="Times New Roman" w:cs="Times New Roman" w:eastAsia="Times New Roman" w:hAnsi="Times New Roman"/>
          <w:sz w:val="18"/>
          <w:szCs w:val="18"/>
          <w:color w:val="auto"/>
        </w:rPr>
        <w:t>the Administrator, in its sole discretion. The Administrator may provide for or, subject to such terms and conditions as the Administrator may specify, may permit a Participant to elect for, the payment of any Performance Stock Award to be deferred to a specified date or event. In addition, to the extent permitted by applicable law and the applicable Award Agreement, the Administrator may determine that cash may be used in payment of Performance Stock Awards.</w:t>
      </w:r>
    </w:p>
    <w:p>
      <w:pPr>
        <w:spacing w:after="0" w:line="176" w:lineRule="exact"/>
        <w:rPr>
          <w:sz w:val="20"/>
          <w:szCs w:val="20"/>
          <w:color w:val="auto"/>
        </w:rPr>
      </w:pPr>
    </w:p>
    <w:p>
      <w:pPr>
        <w:ind w:left="40" w:right="59" w:firstLine="1300"/>
        <w:spacing w:after="0" w:line="255" w:lineRule="auto"/>
        <w:tabs>
          <w:tab w:leader="none" w:pos="1854" w:val="left"/>
        </w:tabs>
        <w:numPr>
          <w:ilvl w:val="2"/>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Performance Cash Awards. </w:t>
      </w:r>
      <w:r>
        <w:rPr>
          <w:rFonts w:ascii="Times New Roman" w:cs="Times New Roman" w:eastAsia="Times New Roman" w:hAnsi="Times New Roman"/>
          <w:sz w:val="18"/>
          <w:szCs w:val="18"/>
          <w:color w:val="auto"/>
        </w:rPr>
        <w:t>A Performance Cash Award is a cash award that may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upon the attainment during a Performance Period of certain Performance Goals. A Performance Cash Award may also require the completion of a specified period of Continuous Service. The length of any Performance Period, the Performance Goals to be achieved during the Performance Period, and the measure of whether and to what degree such Performance Goals have been attained shall be conclusively determined by the Administrator, in its sole discretion. The Administrator may specify the form of payment of Performance Cash Awards, which may be cash or other property, or may provide for a Participant to have the option for his or her Performance Cash Award, or such portion thereof as the Administrator may specify, to be paid in whole or in part in cash or other property.</w:t>
      </w:r>
    </w:p>
    <w:p>
      <w:pPr>
        <w:spacing w:after="0" w:line="184" w:lineRule="exact"/>
        <w:rPr>
          <w:rFonts w:ascii="Times New Roman" w:cs="Times New Roman" w:eastAsia="Times New Roman" w:hAnsi="Times New Roman"/>
          <w:sz w:val="18"/>
          <w:szCs w:val="18"/>
          <w:b w:val="1"/>
          <w:bCs w:val="1"/>
          <w:color w:val="auto"/>
        </w:rPr>
      </w:pPr>
    </w:p>
    <w:p>
      <w:pPr>
        <w:jc w:val="both"/>
        <w:ind w:left="40" w:right="79" w:firstLine="1300"/>
        <w:spacing w:after="0" w:line="262" w:lineRule="auto"/>
        <w:tabs>
          <w:tab w:leader="none" w:pos="1854" w:val="left"/>
        </w:tabs>
        <w:numPr>
          <w:ilvl w:val="2"/>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Discretion. </w:t>
      </w:r>
      <w:r>
        <w:rPr>
          <w:rFonts w:ascii="Times New Roman" w:cs="Times New Roman" w:eastAsia="Times New Roman" w:hAnsi="Times New Roman"/>
          <w:sz w:val="18"/>
          <w:szCs w:val="18"/>
          <w:color w:val="auto"/>
        </w:rPr>
        <w:t>The Administrator shall have the right to reduce, eliminate or increase the amount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payable under a Performance Stock Award or Performance Cash Award by taking into account additional factors that the Administrator may deem relevant, including the assessment of individual or corporate performance for the Performance Period.</w:t>
      </w:r>
    </w:p>
    <w:p>
      <w:pPr>
        <w:spacing w:after="0" w:line="176" w:lineRule="exact"/>
        <w:rPr>
          <w:rFonts w:ascii="Times New Roman" w:cs="Times New Roman" w:eastAsia="Times New Roman" w:hAnsi="Times New Roman"/>
          <w:sz w:val="18"/>
          <w:szCs w:val="18"/>
          <w:b w:val="1"/>
          <w:bCs w:val="1"/>
          <w:color w:val="auto"/>
        </w:rPr>
      </w:pPr>
    </w:p>
    <w:p>
      <w:pPr>
        <w:ind w:left="40" w:right="119" w:firstLine="652"/>
        <w:spacing w:after="0" w:line="256" w:lineRule="auto"/>
        <w:tabs>
          <w:tab w:leader="none" w:pos="1206"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Stock Awards. </w:t>
      </w:r>
      <w:r>
        <w:rPr>
          <w:rFonts w:ascii="Times New Roman" w:cs="Times New Roman" w:eastAsia="Times New Roman" w:hAnsi="Times New Roman"/>
          <w:sz w:val="18"/>
          <w:szCs w:val="18"/>
          <w:color w:val="auto"/>
        </w:rPr>
        <w:t>Other forms of Stock Awards valued in whole or in part by reference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based on, Common Stock, including the appreciation in value thereof may be granted either alone or in addition to Stock Awards provided for under Section 5 and the preceding provisions of this Section 6. Subject to the provisions of the Plan, the Administrator shall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 which shall be set forth in Other Stock Award Agreements.</w:t>
      </w:r>
    </w:p>
    <w:p>
      <w:pPr>
        <w:spacing w:after="0" w:line="182" w:lineRule="exact"/>
        <w:rPr>
          <w:rFonts w:ascii="Times New Roman" w:cs="Times New Roman" w:eastAsia="Times New Roman" w:hAnsi="Times New Roman"/>
          <w:sz w:val="18"/>
          <w:szCs w:val="18"/>
          <w:b w:val="1"/>
          <w:bCs w:val="1"/>
          <w:color w:val="auto"/>
        </w:rPr>
      </w:pPr>
    </w:p>
    <w:p>
      <w:pPr>
        <w:ind w:left="40" w:right="119" w:firstLine="652"/>
        <w:spacing w:after="0" w:line="272" w:lineRule="auto"/>
        <w:tabs>
          <w:tab w:leader="none" w:pos="1206" w:val="left"/>
        </w:tabs>
        <w:numPr>
          <w:ilvl w:val="1"/>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Dividends and Dividend Equivalents. </w:t>
      </w:r>
      <w:r>
        <w:rPr>
          <w:rFonts w:ascii="Times New Roman" w:cs="Times New Roman" w:eastAsia="Times New Roman" w:hAnsi="Times New Roman"/>
          <w:sz w:val="17"/>
          <w:szCs w:val="17"/>
          <w:color w:val="auto"/>
        </w:rPr>
        <w:t>Dividends or dividend equivalents may be paid or credited,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with respect to any shares of Common Stock subject to a Stock Award (other than an Option or SAR), as determined by the Administrator and contained in the applicable Stock Award Agreement; provided, however, that (i) any dividends or dividend equivalents that are paid or credited with respect to any such shares shall be subject to all of the terms and conditions applicable to such shares under the terms of such Stock Award Agreement (including, without limitation, any vesting conditions), and (ii) any dividends or dividend equivalents that are paid or credited with respect to any such shares shall be subject to forfeiture to the Company on the date, if any, such shares are forfeited to or repurchased by the Company due to a failure to meet any vesting conditions under the terms of such Stock Award Agreement.</w:t>
      </w:r>
    </w:p>
    <w:p>
      <w:pPr>
        <w:spacing w:after="0" w:line="171" w:lineRule="exact"/>
        <w:rPr>
          <w:rFonts w:ascii="Times New Roman" w:cs="Times New Roman" w:eastAsia="Times New Roman" w:hAnsi="Times New Roman"/>
          <w:sz w:val="17"/>
          <w:szCs w:val="17"/>
          <w:b w:val="1"/>
          <w:bCs w:val="1"/>
          <w:color w:val="auto"/>
        </w:rPr>
      </w:pPr>
    </w:p>
    <w:p>
      <w:pPr>
        <w:ind w:left="700" w:hanging="656"/>
        <w:spacing w:after="0"/>
        <w:tabs>
          <w:tab w:leader="none" w:pos="7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COMPANY.</w:t>
      </w:r>
    </w:p>
    <w:p>
      <w:pPr>
        <w:spacing w:after="0" w:line="225" w:lineRule="exact"/>
        <w:rPr>
          <w:rFonts w:ascii="Times New Roman" w:cs="Times New Roman" w:eastAsia="Times New Roman" w:hAnsi="Times New Roman"/>
          <w:sz w:val="18"/>
          <w:szCs w:val="18"/>
          <w:b w:val="1"/>
          <w:bCs w:val="1"/>
          <w:color w:val="auto"/>
        </w:rPr>
      </w:pPr>
    </w:p>
    <w:p>
      <w:pPr>
        <w:ind w:left="40" w:right="439" w:firstLine="652"/>
        <w:spacing w:after="0" w:line="286" w:lineRule="auto"/>
        <w:tabs>
          <w:tab w:leader="none" w:pos="1206"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Availability of Shares. </w:t>
      </w:r>
      <w:r>
        <w:rPr>
          <w:rFonts w:ascii="Times New Roman" w:cs="Times New Roman" w:eastAsia="Times New Roman" w:hAnsi="Times New Roman"/>
          <w:sz w:val="18"/>
          <w:szCs w:val="18"/>
          <w:color w:val="auto"/>
        </w:rPr>
        <w:t>During the terms of the Stock Awards, the Company shall keep available at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times the number of shares of Common Stock reasonably required to satisfy such Stock Awards.</w:t>
      </w:r>
    </w:p>
    <w:p>
      <w:pPr>
        <w:spacing w:after="0" w:line="154" w:lineRule="exact"/>
        <w:rPr>
          <w:rFonts w:ascii="Times New Roman" w:cs="Times New Roman" w:eastAsia="Times New Roman" w:hAnsi="Times New Roman"/>
          <w:sz w:val="18"/>
          <w:szCs w:val="18"/>
          <w:b w:val="1"/>
          <w:bCs w:val="1"/>
          <w:color w:val="auto"/>
        </w:rPr>
      </w:pPr>
    </w:p>
    <w:p>
      <w:pPr>
        <w:ind w:left="40" w:right="59" w:firstLine="652"/>
        <w:spacing w:after="0" w:line="254" w:lineRule="auto"/>
        <w:tabs>
          <w:tab w:leader="none" w:pos="1206"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The Company shall seek to obtain from each regulatory commission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having jurisdiction over the Plan such authority as may be required to grant Stock Awards and to issue and sell shares of Common Stock upon exercise of the Stock Awards; provided, however,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 A Participant shall not be eligible for the grant of a Stock Award or the subsequent issuance of Common Stock pursuant to the Stock Award if such grant or issuance would be in violation of any applicable securities law.</w:t>
      </w:r>
    </w:p>
    <w:p>
      <w:pPr>
        <w:spacing w:after="0" w:line="185" w:lineRule="exact"/>
        <w:rPr>
          <w:rFonts w:ascii="Times New Roman" w:cs="Times New Roman" w:eastAsia="Times New Roman" w:hAnsi="Times New Roman"/>
          <w:sz w:val="18"/>
          <w:szCs w:val="18"/>
          <w:b w:val="1"/>
          <w:bCs w:val="1"/>
          <w:color w:val="auto"/>
        </w:rPr>
      </w:pPr>
    </w:p>
    <w:p>
      <w:pPr>
        <w:ind w:left="40" w:right="79" w:firstLine="652"/>
        <w:spacing w:after="0" w:line="268" w:lineRule="auto"/>
        <w:tabs>
          <w:tab w:leader="none" w:pos="1206"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w:t>
      </w:r>
      <w:r>
        <w:rPr>
          <w:rFonts w:ascii="Times New Roman" w:cs="Times New Roman" w:eastAsia="Times New Roman" w:hAnsi="Times New Roman"/>
          <w:sz w:val="18"/>
          <w:szCs w:val="18"/>
          <w:color w:val="auto"/>
        </w:rPr>
        <w:t>The Company shall have no duty or obligation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to advise such holder as to the time or manner of exercising such Stock Award. Furthermore, the Company shall have no duty or obligation to warn or otherwise advise such holder of a pending termination or expiration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602615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8" w:name="page39"/>
    <w:bookmarkEnd w:id="38"/>
    <w:p>
      <w:pPr>
        <w:ind w:left="40" w:right="159"/>
        <w:spacing w:after="0" w:line="282" w:lineRule="auto"/>
        <w:rPr>
          <w:sz w:val="20"/>
          <w:szCs w:val="20"/>
          <w:color w:val="auto"/>
        </w:rPr>
      </w:pPr>
      <w:r>
        <w:rPr>
          <w:rFonts w:ascii="Times New Roman" w:cs="Times New Roman" w:eastAsia="Times New Roman" w:hAnsi="Times New Roman"/>
          <w:sz w:val="18"/>
          <w:szCs w:val="18"/>
          <w:color w:val="auto"/>
        </w:rPr>
        <w:t>Stock Award or a possible period in which the Stock Award may not be exercised. The Company has no duty or obligation to minimize the tax consequences of a Stock Award to the holder of such Stock Award.</w:t>
      </w:r>
    </w:p>
    <w:p>
      <w:pPr>
        <w:spacing w:after="0" w:line="158" w:lineRule="exact"/>
        <w:rPr>
          <w:sz w:val="20"/>
          <w:szCs w:val="20"/>
          <w:color w:val="auto"/>
        </w:rPr>
      </w:pPr>
    </w:p>
    <w:p>
      <w:pPr>
        <w:ind w:left="700" w:hanging="656"/>
        <w:spacing w:after="0"/>
        <w:tabs>
          <w:tab w:leader="none" w:pos="7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rFonts w:ascii="Times New Roman" w:cs="Times New Roman" w:eastAsia="Times New Roman" w:hAnsi="Times New Roman"/>
          <w:sz w:val="18"/>
          <w:szCs w:val="18"/>
          <w:b w:val="1"/>
          <w:bCs w:val="1"/>
          <w:color w:val="auto"/>
        </w:rPr>
      </w:pPr>
    </w:p>
    <w:p>
      <w:pPr>
        <w:ind w:left="40" w:right="539" w:firstLine="652"/>
        <w:spacing w:after="0" w:line="286" w:lineRule="auto"/>
        <w:tabs>
          <w:tab w:leader="none" w:pos="1206"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Stock Awards shall constitute general funds of the Company.</w:t>
      </w:r>
    </w:p>
    <w:p>
      <w:pPr>
        <w:spacing w:after="0" w:line="154" w:lineRule="exact"/>
        <w:rPr>
          <w:rFonts w:ascii="Times New Roman" w:cs="Times New Roman" w:eastAsia="Times New Roman" w:hAnsi="Times New Roman"/>
          <w:sz w:val="18"/>
          <w:szCs w:val="18"/>
          <w:b w:val="1"/>
          <w:bCs w:val="1"/>
          <w:color w:val="auto"/>
        </w:rPr>
      </w:pPr>
    </w:p>
    <w:p>
      <w:pPr>
        <w:ind w:left="40" w:right="139" w:firstLine="652"/>
        <w:spacing w:after="0" w:line="262" w:lineRule="auto"/>
        <w:tabs>
          <w:tab w:leader="none" w:pos="1206"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the Grant of Stock Awards. </w:t>
      </w:r>
      <w:r>
        <w:rPr>
          <w:rFonts w:ascii="Times New Roman" w:cs="Times New Roman" w:eastAsia="Times New Roman" w:hAnsi="Times New Roman"/>
          <w:sz w:val="18"/>
          <w:szCs w:val="18"/>
          <w:color w:val="auto"/>
        </w:rPr>
        <w:t>Corporate action constituting a grant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a Stock Award to any Participant shall be deemed completed as of the date of such corporate action, unless otherwise determined by the Administrator, regardless of when the instrument, certificate, or letter evidencing the Stock Award is communicated to, or actually received or accepted by, the Participant.</w:t>
      </w:r>
    </w:p>
    <w:p>
      <w:pPr>
        <w:spacing w:after="0" w:line="176" w:lineRule="exact"/>
        <w:rPr>
          <w:rFonts w:ascii="Times New Roman" w:cs="Times New Roman" w:eastAsia="Times New Roman" w:hAnsi="Times New Roman"/>
          <w:sz w:val="18"/>
          <w:szCs w:val="18"/>
          <w:b w:val="1"/>
          <w:bCs w:val="1"/>
          <w:color w:val="auto"/>
        </w:rPr>
      </w:pPr>
    </w:p>
    <w:p>
      <w:pPr>
        <w:ind w:left="40" w:right="259" w:firstLine="652"/>
        <w:spacing w:after="0" w:line="262" w:lineRule="auto"/>
        <w:tabs>
          <w:tab w:leader="none" w:pos="1206"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 Rights. </w:t>
      </w:r>
      <w:r>
        <w:rPr>
          <w:rFonts w:ascii="Times New Roman" w:cs="Times New Roman" w:eastAsia="Times New Roman" w:hAnsi="Times New Roman"/>
          <w:sz w:val="18"/>
          <w:szCs w:val="18"/>
          <w:color w:val="auto"/>
        </w:rPr>
        <w:t>No Participant shall be deemed to be the holder of, or to have any of the rights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with respect to, any shares of Common Stock subject to a Stock Award unless and until (i) such Participant has satisfied all requirements for exercise of the Stock Award pursuant to its terms, if applicable, and (ii) the issuance of the Common Stock subject to such Stock Award has been entered into the books and records of the Company.</w:t>
      </w:r>
    </w:p>
    <w:p>
      <w:pPr>
        <w:spacing w:after="0" w:line="176" w:lineRule="exact"/>
        <w:rPr>
          <w:rFonts w:ascii="Times New Roman" w:cs="Times New Roman" w:eastAsia="Times New Roman" w:hAnsi="Times New Roman"/>
          <w:sz w:val="18"/>
          <w:szCs w:val="18"/>
          <w:b w:val="1"/>
          <w:bCs w:val="1"/>
          <w:color w:val="auto"/>
        </w:rPr>
      </w:pPr>
    </w:p>
    <w:p>
      <w:pPr>
        <w:ind w:left="40" w:right="79" w:firstLine="652"/>
        <w:spacing w:after="0" w:line="255" w:lineRule="auto"/>
        <w:tabs>
          <w:tab w:leader="none" w:pos="1206"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executed thereunder or in connection with any Award granted pursuant thereto shall confer upon any Participant any right to continue to serve the Company or an Affiliate in the capacity in effect at the time the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84" w:lineRule="exact"/>
        <w:rPr>
          <w:rFonts w:ascii="Times New Roman" w:cs="Times New Roman" w:eastAsia="Times New Roman" w:hAnsi="Times New Roman"/>
          <w:sz w:val="18"/>
          <w:szCs w:val="18"/>
          <w:b w:val="1"/>
          <w:bCs w:val="1"/>
          <w:color w:val="auto"/>
        </w:rPr>
      </w:pPr>
    </w:p>
    <w:p>
      <w:pPr>
        <w:ind w:left="40" w:right="59" w:firstLine="652"/>
        <w:spacing w:after="0" w:line="253" w:lineRule="auto"/>
        <w:tabs>
          <w:tab w:leader="none" w:pos="1206"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Assurances. </w:t>
      </w:r>
      <w:r>
        <w:rPr>
          <w:rFonts w:ascii="Times New Roman" w:cs="Times New Roman" w:eastAsia="Times New Roman" w:hAnsi="Times New Roman"/>
          <w:sz w:val="18"/>
          <w:szCs w:val="18"/>
          <w:color w:val="auto"/>
        </w:rPr>
        <w:t>The Company may require a Participant, as a condition of exercising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(A) the issuance of the shares upon the exercise or acquisition of Common Stock under the Stock Award has been registered under a then-currently effective registration statement under the Securities Act or (B) as to any particular requirement, a determination is made by counsel for the Company that such requirement need not be met in the circumstances under the then-applicable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83" w:lineRule="exact"/>
        <w:rPr>
          <w:rFonts w:ascii="Times New Roman" w:cs="Times New Roman" w:eastAsia="Times New Roman" w:hAnsi="Times New Roman"/>
          <w:sz w:val="18"/>
          <w:szCs w:val="18"/>
          <w:b w:val="1"/>
          <w:bCs w:val="1"/>
          <w:color w:val="auto"/>
        </w:rPr>
      </w:pPr>
    </w:p>
    <w:p>
      <w:pPr>
        <w:ind w:left="40" w:right="79" w:firstLine="652"/>
        <w:spacing w:after="0" w:line="254" w:lineRule="auto"/>
        <w:tabs>
          <w:tab w:leader="none" w:pos="1206"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Obligations. </w:t>
      </w:r>
      <w:r>
        <w:rPr>
          <w:rFonts w:ascii="Times New Roman" w:cs="Times New Roman" w:eastAsia="Times New Roman" w:hAnsi="Times New Roman"/>
          <w:sz w:val="18"/>
          <w:szCs w:val="18"/>
          <w:color w:val="auto"/>
        </w:rPr>
        <w:t>Unless prohibited by the terms of an Award Agreement, the Company may,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sole 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provided, however, that no shares of Common Stock are withheld with a value exceeding the minimum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88" w:lineRule="exact"/>
        <w:rPr>
          <w:rFonts w:ascii="Times New Roman" w:cs="Times New Roman" w:eastAsia="Times New Roman" w:hAnsi="Times New Roman"/>
          <w:sz w:val="18"/>
          <w:szCs w:val="18"/>
          <w:b w:val="1"/>
          <w:bCs w:val="1"/>
          <w:color w:val="auto"/>
        </w:rPr>
      </w:pPr>
    </w:p>
    <w:p>
      <w:pPr>
        <w:ind w:left="40" w:right="99" w:firstLine="652"/>
        <w:spacing w:after="0" w:line="268" w:lineRule="auto"/>
        <w:tabs>
          <w:tab w:leader="none" w:pos="1206"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w:t>
      </w:r>
      <w:r>
        <w:rPr>
          <w:rFonts w:ascii="Times New Roman" w:cs="Times New Roman" w:eastAsia="Times New Roman" w:hAnsi="Times New Roman"/>
          <w:sz w:val="18"/>
          <w:szCs w:val="18"/>
          <w:color w:val="auto"/>
        </w:rPr>
        <w:t>Any reference herein to a “written” agreement or document shall include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document delivered electronically, filed publicly at www.sec.gov (or any successor website thereto) or posted on the Company’s intranet.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602615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9" w:name="page40"/>
    <w:bookmarkEnd w:id="39"/>
    <w:p>
      <w:pPr>
        <w:ind w:left="1220" w:hanging="528"/>
        <w:spacing w:after="0"/>
        <w:tabs>
          <w:tab w:leader="none" w:pos="122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Section 409A of the Code.</w:t>
      </w:r>
    </w:p>
    <w:p>
      <w:pPr>
        <w:spacing w:after="0" w:line="225" w:lineRule="exact"/>
        <w:rPr>
          <w:rFonts w:ascii="Times New Roman" w:cs="Times New Roman" w:eastAsia="Times New Roman" w:hAnsi="Times New Roman"/>
          <w:sz w:val="18"/>
          <w:szCs w:val="18"/>
          <w:b w:val="1"/>
          <w:bCs w:val="1"/>
          <w:color w:val="auto"/>
        </w:rPr>
      </w:pPr>
    </w:p>
    <w:p>
      <w:pPr>
        <w:ind w:left="40" w:right="59" w:firstLine="1300"/>
        <w:spacing w:after="0" w:line="252" w:lineRule="auto"/>
        <w:tabs>
          <w:tab w:leader="none" w:pos="1854" w:val="left"/>
        </w:tabs>
        <w:numPr>
          <w:ilvl w:val="2"/>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Company intends that all Awards shall be structured to comply with, or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 from, Section 409A of the Code, such that no adverse tax consequences, interest or penalties under Section 409A of the Code shall apply. To the extent that the Administrator determines that any Award granted under the Plan is subject to Section 409A of the Code, the Award Agreement evidencing such Award shall be deemed to incorporate the terms and conditions necessary to avoid the consequences specified in Section 409A(a)(1) of the Code. To the extent applicable, the Plan and Award Agreements shall be interpreted in accordance with Section 409A of the Code. In addition and notwithstanding any provision to the contrary in the Plan or any Award Agreement, the Administrator may, without a Participant’s consent, amend the Plan or Awards, adopt policies and procedures, or take any other actions (including amendments, policies, procedures and retroactive actions) as are necessary or appropriate to preserve the intended tax treatment of Awards, including any such actions intended to (A) exempt the Plan or any Award from Section 409A of the Code or (B) comply with Section 409A of the Code. However, the Company makes no representations or warranties as to an Award’s tax treatment under Section 409A of the Code or otherwise, and the Company has no obligation under the Plan or otherwise to avoid the taxes, penalties or interest under Section 409A of the Code with respect to any Award and shall have no liability to any Participant or any other person if any Award, compensation or other benefit under the Plan is determined to constitute nonqualified deferred compensation subject to taxes, penalties or interest under Section 409A of the Code.</w:t>
      </w:r>
    </w:p>
    <w:p>
      <w:pPr>
        <w:spacing w:after="0" w:line="194" w:lineRule="exact"/>
        <w:rPr>
          <w:rFonts w:ascii="Times New Roman" w:cs="Times New Roman" w:eastAsia="Times New Roman" w:hAnsi="Times New Roman"/>
          <w:sz w:val="18"/>
          <w:szCs w:val="18"/>
          <w:b w:val="1"/>
          <w:bCs w:val="1"/>
          <w:color w:val="auto"/>
        </w:rPr>
      </w:pPr>
    </w:p>
    <w:p>
      <w:pPr>
        <w:ind w:left="40" w:right="79" w:firstLine="1300"/>
        <w:spacing w:after="0" w:line="259" w:lineRule="auto"/>
        <w:tabs>
          <w:tab w:leader="none" w:pos="1854" w:val="left"/>
        </w:tabs>
        <w:numPr>
          <w:ilvl w:val="2"/>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Participant’s Termination of Continuous Service. </w:t>
      </w:r>
      <w:r>
        <w:rPr>
          <w:rFonts w:ascii="Times New Roman" w:cs="Times New Roman" w:eastAsia="Times New Roman" w:hAnsi="Times New Roman"/>
          <w:sz w:val="18"/>
          <w:szCs w:val="18"/>
          <w:color w:val="auto"/>
        </w:rPr>
        <w:t>If an Award constitutes “nonqualified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deferred compensation” under Section 409A of the Code, any payment or settlement of such Award upon a termination of a Participant’s Continuous Service shall, to the extent necessary to avoid taxes under Section 409A of the Code, be made only upon the Participant’s “separation from service” within the meaning of Section 409A of the Code, whether such “separation from service” occurs upon or after the termination of the Participant’s Continuous Service.</w:t>
      </w:r>
    </w:p>
    <w:p>
      <w:pPr>
        <w:spacing w:after="0" w:line="179" w:lineRule="exact"/>
        <w:rPr>
          <w:rFonts w:ascii="Times New Roman" w:cs="Times New Roman" w:eastAsia="Times New Roman" w:hAnsi="Times New Roman"/>
          <w:sz w:val="18"/>
          <w:szCs w:val="18"/>
          <w:b w:val="1"/>
          <w:bCs w:val="1"/>
          <w:color w:val="auto"/>
        </w:rPr>
      </w:pPr>
    </w:p>
    <w:p>
      <w:pPr>
        <w:ind w:left="40" w:right="179" w:firstLine="1300"/>
        <w:spacing w:after="0" w:line="256" w:lineRule="auto"/>
        <w:tabs>
          <w:tab w:leader="none" w:pos="1854" w:val="left"/>
        </w:tabs>
        <w:numPr>
          <w:ilvl w:val="2"/>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Payments to Specified Employees. </w:t>
      </w:r>
      <w:r>
        <w:rPr>
          <w:rFonts w:ascii="Times New Roman" w:cs="Times New Roman" w:eastAsia="Times New Roman" w:hAnsi="Times New Roman"/>
          <w:sz w:val="18"/>
          <w:szCs w:val="18"/>
          <w:color w:val="auto"/>
        </w:rPr>
        <w:t>Notwithstanding any provision to the contrary in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unless the Award Agreement specifically provides otherwise), if a Participant holding an Award that constitutes nonqualified deferred compensation under Section 409A of the Code is a “specified employee” for purposes of Section 409A of the Code, no distribution or payment of any amount shall be made upon a “separation from service” before a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w:t>
      </w:r>
    </w:p>
    <w:p>
      <w:pPr>
        <w:spacing w:after="0" w:line="182" w:lineRule="exact"/>
        <w:rPr>
          <w:rFonts w:ascii="Times New Roman" w:cs="Times New Roman" w:eastAsia="Times New Roman" w:hAnsi="Times New Roman"/>
          <w:sz w:val="18"/>
          <w:szCs w:val="18"/>
          <w:b w:val="1"/>
          <w:bCs w:val="1"/>
          <w:color w:val="auto"/>
        </w:rPr>
      </w:pPr>
    </w:p>
    <w:p>
      <w:pPr>
        <w:ind w:left="40" w:right="79" w:firstLine="1300"/>
        <w:spacing w:after="0" w:line="254" w:lineRule="auto"/>
        <w:tabs>
          <w:tab w:leader="none" w:pos="1854" w:val="left"/>
        </w:tabs>
        <w:numPr>
          <w:ilvl w:val="2"/>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Administrator, in its sole discretion,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that the delivery of Common Stock or the payment of cash, upon the exercise, vesting or settlement of all or a portion of any Award may be deferred and may establish programs and procedures for deferral elections to be made by Participants. Deferrals by Participants shall be made in accordance with Section 409A of the Code. Consistent with Section 409A of the Code, the Administrator may provide for distributions while a Participant is still an Employee or otherwise providing services to the Company or an Affiliate. The Administrator is authorized to make deferrals of Awards and determine when, and in what annual percentages, a Participant may receive payments, including lump sum payments, following the Participant’s termination of Continuous Service, and implement such other terms and conditions consistent with the provisions of the Plan and in accordance with applicable law.</w:t>
      </w:r>
    </w:p>
    <w:p>
      <w:pPr>
        <w:spacing w:after="0" w:line="188" w:lineRule="exact"/>
        <w:rPr>
          <w:rFonts w:ascii="Times New Roman" w:cs="Times New Roman" w:eastAsia="Times New Roman" w:hAnsi="Times New Roman"/>
          <w:sz w:val="18"/>
          <w:szCs w:val="18"/>
          <w:b w:val="1"/>
          <w:bCs w:val="1"/>
          <w:color w:val="auto"/>
        </w:rPr>
      </w:pPr>
    </w:p>
    <w:p>
      <w:pPr>
        <w:ind w:left="40" w:right="59" w:firstLine="652"/>
        <w:spacing w:after="0" w:line="254" w:lineRule="auto"/>
        <w:tabs>
          <w:tab w:leader="none" w:pos="1206"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 Provisions. </w:t>
      </w:r>
      <w:r>
        <w:rPr>
          <w:rFonts w:ascii="Times New Roman" w:cs="Times New Roman" w:eastAsia="Times New Roman" w:hAnsi="Times New Roman"/>
          <w:sz w:val="18"/>
          <w:szCs w:val="18"/>
          <w:color w:val="auto"/>
        </w:rPr>
        <w:t>All Awards granted under the Plan shall be subject to recoupment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clawback, recovery or recoupment policy that Company may adopt, including any such policy adopted pursuant to the listing standards of any national securities exchange on which the Company’s securities are listed or pursuant to other requirements of the Dodd-Frank Wall Street Reform and Consumer Protection Act or other applicable law. In addition, the Administrator may impose such other clawback, recovery or recoupment provisions in an Award Agreement as the Administrator determines necessary or appropriate, including but not limited to a reacquisition right in respect of previously acquired shares of Common Stock or other cash or property upon the occurrence of an event constituting Cause. No recovery of compensation under such a clawback policy shall be an event giving rise to a right to resign for “good reason” or “constructive termination” (or similar term) under the Plan or any agreement with the Company.</w:t>
      </w:r>
    </w:p>
    <w:p>
      <w:pPr>
        <w:spacing w:after="0" w:line="188" w:lineRule="exact"/>
        <w:rPr>
          <w:rFonts w:ascii="Times New Roman" w:cs="Times New Roman" w:eastAsia="Times New Roman" w:hAnsi="Times New Roman"/>
          <w:sz w:val="18"/>
          <w:szCs w:val="18"/>
          <w:b w:val="1"/>
          <w:bCs w:val="1"/>
          <w:color w:val="auto"/>
        </w:rPr>
      </w:pPr>
    </w:p>
    <w:p>
      <w:pPr>
        <w:ind w:left="700" w:hanging="656"/>
        <w:spacing w:after="0"/>
        <w:tabs>
          <w:tab w:leader="none" w:pos="7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UPON CHANGES IN THE COMMON STOCK; OTHER CORPORATE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636905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0" w:name="page41"/>
    <w:bookmarkEnd w:id="40"/>
    <w:p>
      <w:pPr>
        <w:ind w:left="40" w:right="119" w:firstLine="652"/>
        <w:spacing w:after="0" w:line="259" w:lineRule="auto"/>
        <w:tabs>
          <w:tab w:leader="none" w:pos="120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Adjustments. </w:t>
      </w:r>
      <w:r>
        <w:rPr>
          <w:rFonts w:ascii="Times New Roman" w:cs="Times New Roman" w:eastAsia="Times New Roman" w:hAnsi="Times New Roman"/>
          <w:sz w:val="18"/>
          <w:szCs w:val="18"/>
          <w:color w:val="auto"/>
        </w:rPr>
        <w:t>In the event of a Capitalization Adjustment, the Administrator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appropriately and proportionately adjust (i) the class(es) and maximum number of securities subject to the Plan pursuant to Section 3(a), (ii) the class(es) and maximum number of securities that may be awarded to any person pursuant to Section 4(f), and (iii) the class(es) and number of securities and price per share of stock subject to outstanding Stock Awards. The Administrator shall make such adjustments, and its determination shall be final, binding and conclusive.</w:t>
      </w:r>
    </w:p>
    <w:p>
      <w:pPr>
        <w:spacing w:after="0" w:line="179" w:lineRule="exact"/>
        <w:rPr>
          <w:rFonts w:ascii="Times New Roman" w:cs="Times New Roman" w:eastAsia="Times New Roman" w:hAnsi="Times New Roman"/>
          <w:sz w:val="18"/>
          <w:szCs w:val="18"/>
          <w:b w:val="1"/>
          <w:bCs w:val="1"/>
          <w:color w:val="auto"/>
        </w:rPr>
      </w:pPr>
    </w:p>
    <w:p>
      <w:pPr>
        <w:ind w:left="40" w:right="119" w:firstLine="652"/>
        <w:spacing w:after="0" w:line="254" w:lineRule="auto"/>
        <w:tabs>
          <w:tab w:leader="none" w:pos="120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applicable Stock Award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event of a dissolution or liquidation of the Company, all outstanding Stock Awards (other than Stock Awards consisting of vested and outstanding shares of Common Stock not subject to a forfeiture condition or the Company’s right of repurchase) shall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provided, however, that the Administrator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88"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w:t>
      </w:r>
    </w:p>
    <w:p>
      <w:pPr>
        <w:spacing w:after="0" w:line="229" w:lineRule="exact"/>
        <w:rPr>
          <w:rFonts w:ascii="Times New Roman" w:cs="Times New Roman" w:eastAsia="Times New Roman" w:hAnsi="Times New Roman"/>
          <w:sz w:val="18"/>
          <w:szCs w:val="18"/>
          <w:b w:val="1"/>
          <w:bCs w:val="1"/>
          <w:color w:val="auto"/>
        </w:rPr>
      </w:pPr>
    </w:p>
    <w:p>
      <w:pPr>
        <w:ind w:left="40" w:right="59" w:firstLine="1300"/>
        <w:spacing w:after="0" w:line="252" w:lineRule="auto"/>
        <w:tabs>
          <w:tab w:leader="none" w:pos="1854"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Change in Control, if a Participant’s entire Award is not (A) continued in full force and effect by the Company, (B) assumed in full and continued in full force and effect by the Entity or its parent that is the surviving, purchasing or continuing corporation or other Entity in the Change in Control (the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or (C) replaced by the Acquiror with a substantially equivalent award with respect to the Acquiror’s capital stock, with appropriate adjustments as to the number of securities and exercise prices, the Award shall fully vest (and as to Options and SARs, become fully exercisable) effective immediately prior to, but conditioned on the consummation of, the Change in Control, and, except as otherwise provided in an Award Agreement evidencing an Award, for each such Award that vests subject to the attainment of one or more Performance Goals, the applicable Performance Goals shall be deemed achieved at the greater of target or actual performance (with the Performance Goals equitably adjusted to reflect a shortened Performance Period ending as of the Change in Control). For purposes of this Section 9(c), if so determined by the Administrator in its sole discretion, an Award denominated in shares of Common Stock shall be deemed assumed if, following the Change in Control, the Award confers the right to receive, subject to the terms and conditions of the Plan and the applicable Award Agreement, for each share of Common Stock subject to the Award immediately prior to the Change in Control, the consideration (whether stock, cash, other securities or property or a combination thereof) to which a holder of a share of Common Stock on the effective date of the Change in Control was entitled (and if holders were offered a choice of consideration, the type of consideration chosen by the holders of a majority of the outstanding shares of Common Stock); provided, however, that if such consideration is not solely common stock of the Acquiror, the Administrator may, with the consent of the Acquiror, provide for the consideration to be received upon the exercise or settlement of the Award, for each share of Common Stock subject to the Award, to consist solely of common stock of the Acquiror equal in Fair Market Value to the per share consideration received by holders of Common Stock pursuant to the Change in Control.</w:t>
      </w:r>
    </w:p>
    <w:p>
      <w:pPr>
        <w:spacing w:after="0" w:line="189" w:lineRule="exact"/>
        <w:rPr>
          <w:rFonts w:ascii="Times New Roman" w:cs="Times New Roman" w:eastAsia="Times New Roman" w:hAnsi="Times New Roman"/>
          <w:sz w:val="18"/>
          <w:szCs w:val="18"/>
          <w:b w:val="1"/>
          <w:bCs w:val="1"/>
          <w:color w:val="auto"/>
        </w:rPr>
      </w:pPr>
    </w:p>
    <w:p>
      <w:pPr>
        <w:ind w:left="40" w:right="199" w:firstLine="1300"/>
        <w:spacing w:after="0" w:line="258" w:lineRule="auto"/>
        <w:tabs>
          <w:tab w:leader="none" w:pos="1854"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Stock Award may be subject to additional acceleration of vesting and exercisability upon or after the termination of the Participant’s Continuous Service in connection with the consummation of a Change in Control (including within a specified period following a Change in Control) as may be provided in any written employment agreement or Stock Award Agreement between the Company or any Affiliate and the Participant or as may be otherwise determined by the Administrator.</w:t>
      </w:r>
    </w:p>
    <w:p>
      <w:pPr>
        <w:spacing w:after="0" w:line="183" w:lineRule="exact"/>
        <w:rPr>
          <w:rFonts w:ascii="Times New Roman" w:cs="Times New Roman" w:eastAsia="Times New Roman" w:hAnsi="Times New Roman"/>
          <w:sz w:val="18"/>
          <w:szCs w:val="18"/>
          <w:b w:val="1"/>
          <w:bCs w:val="1"/>
          <w:color w:val="auto"/>
        </w:rPr>
      </w:pPr>
    </w:p>
    <w:p>
      <w:pPr>
        <w:ind w:left="40" w:right="139" w:firstLine="1300"/>
        <w:spacing w:after="0" w:line="258" w:lineRule="auto"/>
        <w:tabs>
          <w:tab w:leader="none" w:pos="1854"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provision of the Plan to the contrary, with respect to an Award that constitutes “nonqualified deferred compensation” subject to the provisions of Section 409A of the Code, an event shall not be considered to be a Change in Control under the Plan unless such event is also a “change in ownership,” a “change in effective control” or a “change in the ownership of a substantial portion of the assets” of the Company, in each case within the meaning of Section 409A of the Code.</w:t>
      </w:r>
    </w:p>
    <w:p>
      <w:pPr>
        <w:spacing w:after="0" w:line="179" w:lineRule="exact"/>
        <w:rPr>
          <w:rFonts w:ascii="Times New Roman" w:cs="Times New Roman" w:eastAsia="Times New Roman" w:hAnsi="Times New Roman"/>
          <w:sz w:val="18"/>
          <w:szCs w:val="18"/>
          <w:b w:val="1"/>
          <w:bCs w:val="1"/>
          <w:color w:val="auto"/>
        </w:rPr>
      </w:pPr>
    </w:p>
    <w:p>
      <w:pPr>
        <w:ind w:left="700" w:hanging="656"/>
        <w:spacing w:after="0"/>
        <w:tabs>
          <w:tab w:leader="none" w:pos="7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TERMINATION OR SUSPENSION OF THE PLAN.</w:t>
      </w:r>
    </w:p>
    <w:p>
      <w:pPr>
        <w:spacing w:after="0" w:line="225" w:lineRule="exact"/>
        <w:rPr>
          <w:rFonts w:ascii="Times New Roman" w:cs="Times New Roman" w:eastAsia="Times New Roman" w:hAnsi="Times New Roman"/>
          <w:sz w:val="18"/>
          <w:szCs w:val="18"/>
          <w:b w:val="1"/>
          <w:bCs w:val="1"/>
          <w:color w:val="auto"/>
        </w:rPr>
      </w:pPr>
    </w:p>
    <w:p>
      <w:pPr>
        <w:ind w:left="40" w:right="299" w:firstLine="652"/>
        <w:spacing w:after="0" w:line="286" w:lineRule="auto"/>
        <w:tabs>
          <w:tab w:leader="none" w:pos="1206"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of the Plan. </w:t>
      </w:r>
      <w:r>
        <w:rPr>
          <w:rFonts w:ascii="Times New Roman" w:cs="Times New Roman" w:eastAsia="Times New Roman" w:hAnsi="Times New Roman"/>
          <w:sz w:val="18"/>
          <w:szCs w:val="18"/>
          <w:color w:val="auto"/>
        </w:rPr>
        <w:t>The Board has the power and authority to amend any provision of the Plan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provided, however, that without the approval of the Company’s shareholders given within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592455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1" w:name="page42"/>
    <w:bookmarkEnd w:id="41"/>
    <w:p>
      <w:pPr>
        <w:ind w:left="40" w:right="79"/>
        <w:spacing w:after="0" w:line="254" w:lineRule="auto"/>
        <w:rPr>
          <w:sz w:val="20"/>
          <w:szCs w:val="20"/>
          <w:color w:val="auto"/>
        </w:rPr>
      </w:pPr>
      <w:r>
        <w:rPr>
          <w:rFonts w:ascii="Times New Roman" w:cs="Times New Roman" w:eastAsia="Times New Roman" w:hAnsi="Times New Roman"/>
          <w:sz w:val="18"/>
          <w:szCs w:val="18"/>
          <w:color w:val="auto"/>
        </w:rPr>
        <w:t>before or after any such Plan amendment, the Board shall not have the right or authority (i) to increase the aggregate number of shares of Common Stock (including upon the exercise of Incentive Stock Options) that may be issued under the Plan pursuant to Section 3(a), provided that an increase that is made pursuant to Section 9(a) in connection with a Capitalization Adjustment shall not require shareholder approval and may be made by the Board, (ii) to amend Section 4(e) relating to the repricing, cancellation and re-grant of Stock Awards, (iii) to amend the Plan in any respect that requires shareholder approval under the rules of The Nasdaq Stock Market LLC (or under the rules of any other national securities exchange on which the Common Stock may subsequently be traded), or (iv) to amend the Plan in any respect that requires shareholder approval under the Code or any other applicable law.</w:t>
      </w:r>
    </w:p>
    <w:p>
      <w:pPr>
        <w:spacing w:after="0" w:line="188" w:lineRule="exact"/>
        <w:rPr>
          <w:sz w:val="20"/>
          <w:szCs w:val="20"/>
          <w:color w:val="auto"/>
        </w:rPr>
      </w:pPr>
    </w:p>
    <w:p>
      <w:pPr>
        <w:ind w:left="40" w:right="199" w:firstLine="652"/>
        <w:spacing w:after="0" w:line="262" w:lineRule="auto"/>
        <w:tabs>
          <w:tab w:leader="none" w:pos="1206"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or Suspension of the Plan. </w:t>
      </w:r>
      <w:r>
        <w:rPr>
          <w:rFonts w:ascii="Times New Roman" w:cs="Times New Roman" w:eastAsia="Times New Roman" w:hAnsi="Times New Roman"/>
          <w:sz w:val="18"/>
          <w:szCs w:val="18"/>
          <w:color w:val="auto"/>
        </w:rPr>
        <w:t>The Board may suspend or terminate the Plan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terminated sooner by the Board, the Plan shall automatically terminate on the tenth anniversary of the date that the Plan was adopted by the Board. No Awards may be granted under the Plan while the Plan is suspended or after it is terminated.</w:t>
      </w:r>
    </w:p>
    <w:p>
      <w:pPr>
        <w:spacing w:after="0" w:line="176" w:lineRule="exact"/>
        <w:rPr>
          <w:rFonts w:ascii="Times New Roman" w:cs="Times New Roman" w:eastAsia="Times New Roman" w:hAnsi="Times New Roman"/>
          <w:sz w:val="18"/>
          <w:szCs w:val="18"/>
          <w:b w:val="1"/>
          <w:bCs w:val="1"/>
          <w:color w:val="auto"/>
        </w:rPr>
      </w:pPr>
    </w:p>
    <w:p>
      <w:pPr>
        <w:jc w:val="both"/>
        <w:ind w:left="40" w:right="139" w:firstLine="652"/>
        <w:spacing w:after="0" w:line="262" w:lineRule="auto"/>
        <w:tabs>
          <w:tab w:leader="none" w:pos="1206"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Impairment of Rights upon the Plan’s Amendment, Suspension or Termination. </w:t>
      </w:r>
      <w:r>
        <w:rPr>
          <w:rFonts w:ascii="Times New Roman" w:cs="Times New Roman" w:eastAsia="Times New Roman" w:hAnsi="Times New Roman"/>
          <w:sz w:val="18"/>
          <w:szCs w:val="18"/>
          <w:color w:val="auto"/>
        </w:rPr>
        <w:t>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applicable Award Agreement, the amendment, suspension or termination of the Plan shall not impair rights and obligations under any Award that is granted prior to such amendment, suspension or termination, except with the written consent of the affected Participant.</w:t>
      </w:r>
    </w:p>
    <w:p>
      <w:pPr>
        <w:spacing w:after="0" w:line="176" w:lineRule="exact"/>
        <w:rPr>
          <w:rFonts w:ascii="Times New Roman" w:cs="Times New Roman" w:eastAsia="Times New Roman" w:hAnsi="Times New Roman"/>
          <w:sz w:val="18"/>
          <w:szCs w:val="18"/>
          <w:b w:val="1"/>
          <w:bCs w:val="1"/>
          <w:color w:val="auto"/>
        </w:rPr>
      </w:pPr>
    </w:p>
    <w:p>
      <w:pPr>
        <w:ind w:left="700" w:hanging="656"/>
        <w:spacing w:after="0"/>
        <w:tabs>
          <w:tab w:leader="none" w:pos="7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OF THE PLAN.</w:t>
      </w:r>
    </w:p>
    <w:p>
      <w:pPr>
        <w:spacing w:after="0" w:line="229" w:lineRule="exact"/>
        <w:rPr>
          <w:sz w:val="20"/>
          <w:szCs w:val="20"/>
          <w:color w:val="auto"/>
        </w:rPr>
      </w:pPr>
    </w:p>
    <w:p>
      <w:pPr>
        <w:ind w:left="40" w:right="219" w:firstLine="648"/>
        <w:spacing w:after="0" w:line="256" w:lineRule="auto"/>
        <w:rPr>
          <w:sz w:val="20"/>
          <w:szCs w:val="20"/>
          <w:color w:val="auto"/>
        </w:rPr>
      </w:pPr>
      <w:r>
        <w:rPr>
          <w:rFonts w:ascii="Times New Roman" w:cs="Times New Roman" w:eastAsia="Times New Roman" w:hAnsi="Times New Roman"/>
          <w:sz w:val="18"/>
          <w:szCs w:val="18"/>
          <w:color w:val="auto"/>
        </w:rPr>
        <w:t>The Plan shall become effective on the Effective Date. The Plan shall be submitted for the approval of the Company’s shareholders at the 2021 annual meeting of shareholders. Awards may be granted prior to such shareholder approval, provided that such Awards shall not be exercisable, shall not vest, the restrictions thereon shall not lapse and no shares of Common Stock shall be issued pursuant to such Awards prior to the date that the Plan is approved by the Company’s shareholders. If such shareholder approval is not obtained at the 2021 annual meeting of shareholders, all Awards previously granted under the Plan shall be cancelled and become null and void.</w:t>
      </w:r>
    </w:p>
    <w:p>
      <w:pPr>
        <w:spacing w:after="0" w:line="183" w:lineRule="exact"/>
        <w:rPr>
          <w:sz w:val="20"/>
          <w:szCs w:val="20"/>
          <w:color w:val="auto"/>
        </w:rPr>
      </w:pPr>
    </w:p>
    <w:p>
      <w:pPr>
        <w:ind w:left="700" w:hanging="656"/>
        <w:spacing w:after="0"/>
        <w:tabs>
          <w:tab w:leader="none" w:pos="7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CHOICE OF LAW.</w:t>
      </w:r>
    </w:p>
    <w:p>
      <w:pPr>
        <w:spacing w:after="0" w:line="229" w:lineRule="exact"/>
        <w:rPr>
          <w:sz w:val="20"/>
          <w:szCs w:val="20"/>
          <w:color w:val="auto"/>
        </w:rPr>
      </w:pPr>
    </w:p>
    <w:p>
      <w:pPr>
        <w:ind w:left="40" w:right="1039" w:firstLine="648"/>
        <w:spacing w:after="0" w:line="282" w:lineRule="auto"/>
        <w:rPr>
          <w:sz w:val="20"/>
          <w:szCs w:val="20"/>
          <w:color w:val="auto"/>
        </w:rPr>
      </w:pPr>
      <w:r>
        <w:rPr>
          <w:rFonts w:ascii="Times New Roman" w:cs="Times New Roman" w:eastAsia="Times New Roman" w:hAnsi="Times New Roman"/>
          <w:sz w:val="18"/>
          <w:szCs w:val="18"/>
          <w:color w:val="auto"/>
        </w:rPr>
        <w:t>The law of the State of California shall govern all questions concerning the construction, validity and interpretation of the Plan, without regard to that state’s conflict of laws rules.</w:t>
      </w:r>
    </w:p>
    <w:p>
      <w:pPr>
        <w:spacing w:after="0" w:line="200" w:lineRule="exact"/>
        <w:rPr>
          <w:sz w:val="20"/>
          <w:szCs w:val="20"/>
          <w:color w:val="auto"/>
        </w:rPr>
      </w:pPr>
    </w:p>
    <w:p>
      <w:pPr>
        <w:spacing w:after="0" w:line="390" w:lineRule="exact"/>
        <w:rPr>
          <w:sz w:val="20"/>
          <w:szCs w:val="20"/>
          <w:color w:val="auto"/>
        </w:rPr>
      </w:pPr>
    </w:p>
    <w:p>
      <w:pPr>
        <w:ind w:left="700" w:hanging="656"/>
        <w:spacing w:after="0"/>
        <w:tabs>
          <w:tab w:leader="none" w:pos="7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used in the Plan, the following definitions shall apply to the capitalized terms indicated below:</w:t>
      </w:r>
    </w:p>
    <w:p>
      <w:pPr>
        <w:spacing w:after="0" w:line="225"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has the meaning set forth in Section 9(c)(i).</w:t>
      </w:r>
    </w:p>
    <w:p>
      <w:pPr>
        <w:spacing w:after="0" w:line="225" w:lineRule="exact"/>
        <w:rPr>
          <w:rFonts w:ascii="Times New Roman" w:cs="Times New Roman" w:eastAsia="Times New Roman" w:hAnsi="Times New Roman"/>
          <w:sz w:val="18"/>
          <w:szCs w:val="18"/>
          <w:b w:val="1"/>
          <w:bCs w:val="1"/>
          <w:color w:val="auto"/>
        </w:rPr>
      </w:pPr>
    </w:p>
    <w:p>
      <w:pPr>
        <w:ind w:left="40" w:right="259" w:firstLine="652"/>
        <w:spacing w:after="0" w:line="282" w:lineRule="auto"/>
        <w:tabs>
          <w:tab w:leader="none" w:pos="1206"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 Committee to the extent that the Board’s power or authority under the Plan has been delegated to such Committee.</w:t>
      </w:r>
    </w:p>
    <w:p>
      <w:pPr>
        <w:spacing w:after="0" w:line="161" w:lineRule="exact"/>
        <w:rPr>
          <w:rFonts w:ascii="Times New Roman" w:cs="Times New Roman" w:eastAsia="Times New Roman" w:hAnsi="Times New Roman"/>
          <w:sz w:val="18"/>
          <w:szCs w:val="18"/>
          <w:b w:val="1"/>
          <w:bCs w:val="1"/>
          <w:color w:val="auto"/>
        </w:rPr>
      </w:pPr>
    </w:p>
    <w:p>
      <w:pPr>
        <w:ind w:left="40" w:right="79" w:firstLine="652"/>
        <w:spacing w:after="0" w:line="266" w:lineRule="auto"/>
        <w:tabs>
          <w:tab w:leader="none" w:pos="1206"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Securities Act. The Administrator shall have the authority to determine the time or times at which “parent” or “subsidiary” status is determined within the foregoing definition.</w:t>
      </w:r>
    </w:p>
    <w:p>
      <w:pPr>
        <w:spacing w:after="0" w:line="175"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 Stock Award or a Performance Cash Award.</w:t>
      </w:r>
    </w:p>
    <w:p>
      <w:pPr>
        <w:spacing w:after="0" w:line="225" w:lineRule="exact"/>
        <w:rPr>
          <w:rFonts w:ascii="Times New Roman" w:cs="Times New Roman" w:eastAsia="Times New Roman" w:hAnsi="Times New Roman"/>
          <w:sz w:val="18"/>
          <w:szCs w:val="18"/>
          <w:b w:val="1"/>
          <w:bCs w:val="1"/>
          <w:color w:val="auto"/>
        </w:rPr>
      </w:pPr>
    </w:p>
    <w:p>
      <w:pPr>
        <w:ind w:left="40" w:right="339" w:firstLine="652"/>
        <w:spacing w:after="0" w:line="282" w:lineRule="auto"/>
        <w:tabs>
          <w:tab w:leader="none" w:pos="1206"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w:t>
      </w:r>
    </w:p>
    <w:p>
      <w:pPr>
        <w:spacing w:after="0" w:line="161"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634365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2" w:name="page43"/>
    <w:bookmarkEnd w:id="42"/>
    <w:p>
      <w:pPr>
        <w:ind w:left="40" w:right="159" w:firstLine="652"/>
        <w:spacing w:after="0" w:line="254" w:lineRule="auto"/>
        <w:tabs>
          <w:tab w:leader="none" w:pos="120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Stock Award after the Effective Date without the receipt of consideration by the Company through reorganization, recapitalization, reincorporation, stock dividend, dividend in property other than cash, large nonrecurring cash dividend, stock split, reverse stock split, spin-off, split-off, liquidating dividend, combination of shares, exchange of shares, change in corporate structure or any similar equity restructuring transaction, as that term is used in Statement of Financial Accounting Standards Board Accounting Standards Codification Topic 718 (or any amendment or successor to such standard). Notwithstanding the foregoing, the conversion of any convertible securities of the Company shall not be treated as a Capitalization Adjustment.</w:t>
      </w:r>
    </w:p>
    <w:p>
      <w:pPr>
        <w:spacing w:after="0" w:line="191" w:lineRule="exact"/>
        <w:rPr>
          <w:rFonts w:ascii="Times New Roman" w:cs="Times New Roman" w:eastAsia="Times New Roman" w:hAnsi="Times New Roman"/>
          <w:sz w:val="18"/>
          <w:szCs w:val="18"/>
          <w:b w:val="1"/>
          <w:bCs w:val="1"/>
          <w:color w:val="auto"/>
        </w:rPr>
      </w:pPr>
    </w:p>
    <w:p>
      <w:pPr>
        <w:ind w:left="40" w:right="59" w:firstLine="652"/>
        <w:spacing w:after="0" w:line="253" w:lineRule="auto"/>
        <w:tabs>
          <w:tab w:leader="none" w:pos="120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have the meaning ascribed to such term in any written agreement between the Participant and the Company or an Affiliate defining such term and, in the absence of such agreement, such term shall mean, with respect to a Participant, the occurrence of any of the following events: (i) the Participant’s commission of an act of fraud, embezzlement or dishonesty that has a material adverse impact on the Company or an Affiliate; (ii) the Participant’s conviction of, or plea of “guilty” or “no contest” to, a felony; (iii) the Participant’s unauthorized use or disclosure of confidential information or trade secrets of the Company or an Affiliate that has a material adverse impact on such entity; or (iv) the Participant’s intentional misconduct that has a material adverse impact on the Company or an Affiliate.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94" w:lineRule="exact"/>
        <w:rPr>
          <w:rFonts w:ascii="Times New Roman" w:cs="Times New Roman" w:eastAsia="Times New Roman" w:hAnsi="Times New Roman"/>
          <w:sz w:val="18"/>
          <w:szCs w:val="18"/>
          <w:b w:val="1"/>
          <w:bCs w:val="1"/>
          <w:color w:val="auto"/>
        </w:rPr>
      </w:pPr>
    </w:p>
    <w:p>
      <w:pPr>
        <w:ind w:left="40" w:right="219" w:firstLine="652"/>
        <w:spacing w:after="0" w:line="282" w:lineRule="auto"/>
        <w:tabs>
          <w:tab w:leader="none" w:pos="120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161" w:lineRule="exact"/>
        <w:rPr>
          <w:rFonts w:ascii="Times New Roman" w:cs="Times New Roman" w:eastAsia="Times New Roman" w:hAnsi="Times New Roman"/>
          <w:sz w:val="18"/>
          <w:szCs w:val="18"/>
          <w:b w:val="1"/>
          <w:bCs w:val="1"/>
          <w:color w:val="auto"/>
        </w:rPr>
      </w:pPr>
    </w:p>
    <w:p>
      <w:pPr>
        <w:ind w:left="40" w:right="59" w:firstLine="1300"/>
        <w:spacing w:after="0" w:line="252" w:lineRule="auto"/>
        <w:tabs>
          <w:tab w:leader="none" w:pos="1854"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u w:val="single" w:color="auto"/>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clause) as a result of the acquisition of voting securities by the Company, and after such share acquisition, the Subject Person becomes the Owner of any additional voting securities that, assuming the repurchase or other acquisition had not occurred, increases the percentage of the then-outstanding voting securities Owned by the Subject Person over the designated percentage threshold, then a Change in Control shall be deemed to occur;</w:t>
      </w:r>
    </w:p>
    <w:p>
      <w:pPr>
        <w:spacing w:after="0" w:line="197" w:lineRule="exact"/>
        <w:rPr>
          <w:rFonts w:ascii="Times New Roman" w:cs="Times New Roman" w:eastAsia="Times New Roman" w:hAnsi="Times New Roman"/>
          <w:sz w:val="18"/>
          <w:szCs w:val="18"/>
          <w:b w:val="1"/>
          <w:bCs w:val="1"/>
          <w:color w:val="auto"/>
        </w:rPr>
      </w:pPr>
    </w:p>
    <w:p>
      <w:pPr>
        <w:ind w:left="40" w:right="119" w:firstLine="1300"/>
        <w:spacing w:after="0" w:line="255" w:lineRule="auto"/>
        <w:tabs>
          <w:tab w:leader="none" w:pos="1854"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shareholders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8" w:lineRule="exact"/>
        <w:rPr>
          <w:rFonts w:ascii="Times New Roman" w:cs="Times New Roman" w:eastAsia="Times New Roman" w:hAnsi="Times New Roman"/>
          <w:sz w:val="18"/>
          <w:szCs w:val="18"/>
          <w:b w:val="1"/>
          <w:bCs w:val="1"/>
          <w:color w:val="auto"/>
        </w:rPr>
      </w:pPr>
    </w:p>
    <w:p>
      <w:pPr>
        <w:ind w:left="40" w:right="79" w:firstLine="1300"/>
        <w:spacing w:after="0" w:line="256" w:lineRule="auto"/>
        <w:tabs>
          <w:tab w:leader="none" w:pos="1854"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 or</w:t>
      </w:r>
    </w:p>
    <w:p>
      <w:pPr>
        <w:spacing w:after="0" w:line="187" w:lineRule="exact"/>
        <w:rPr>
          <w:rFonts w:ascii="Times New Roman" w:cs="Times New Roman" w:eastAsia="Times New Roman" w:hAnsi="Times New Roman"/>
          <w:sz w:val="18"/>
          <w:szCs w:val="18"/>
          <w:b w:val="1"/>
          <w:bCs w:val="1"/>
          <w:color w:val="auto"/>
        </w:rPr>
      </w:pPr>
    </w:p>
    <w:p>
      <w:pPr>
        <w:ind w:left="40" w:right="139" w:firstLine="1300"/>
        <w:spacing w:after="0" w:line="282" w:lineRule="auto"/>
        <w:tabs>
          <w:tab w:leader="none" w:pos="1854"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at the beginning of any twelve-month period following the Effective Date of the Plan, are members of the Board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cease for any reason to constitute at least a majority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594360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 w:name="page44"/>
    <w:bookmarkEnd w:id="43"/>
    <w:p>
      <w:pPr>
        <w:ind w:left="40" w:right="139"/>
        <w:spacing w:after="0" w:line="261" w:lineRule="auto"/>
        <w:rPr>
          <w:sz w:val="20"/>
          <w:szCs w:val="20"/>
          <w:color w:val="auto"/>
        </w:rPr>
      </w:pPr>
      <w:r>
        <w:rPr>
          <w:rFonts w:ascii="Times New Roman" w:cs="Times New Roman" w:eastAsia="Times New Roman" w:hAnsi="Times New Roman"/>
          <w:sz w:val="18"/>
          <w:szCs w:val="18"/>
          <w:color w:val="auto"/>
        </w:rPr>
        <w:t>members of the Board on any subsequent date during such twelve-month period; provided, however, that if the appointment or election (or nomination for election) of any new Board member was approved or recommended by a majority vote of the members of the Incumbent Board then still in office, such new member shall, for purposes of the Plan, be considered as a member of the Incumbent Board.</w:t>
      </w:r>
    </w:p>
    <w:p>
      <w:pPr>
        <w:spacing w:after="0" w:line="180" w:lineRule="exact"/>
        <w:rPr>
          <w:sz w:val="20"/>
          <w:szCs w:val="20"/>
          <w:color w:val="auto"/>
        </w:rPr>
      </w:pPr>
    </w:p>
    <w:p>
      <w:pPr>
        <w:ind w:left="40" w:right="139"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foregoing or any other provision of the Plan, (i) the term Change in Control shall not include a sale of assets, merger or other transaction effected exclusively for the purpose of changing the domicile of the Company; and (ii) the definition of Change in Control (or any analogous term) in a written employment agreement between the Company or any Affiliate and the Participant shall supersede the foregoing definition with respect to Awards subject to such agreement; provided, however, that if no definition of Change in Control or any analogous term is set forth in such an employment agreement, the foregoing definition shall apply.</w:t>
      </w:r>
    </w:p>
    <w:p>
      <w:pPr>
        <w:spacing w:after="0" w:line="187" w:lineRule="exact"/>
        <w:rPr>
          <w:sz w:val="20"/>
          <w:szCs w:val="20"/>
          <w:color w:val="auto"/>
        </w:rPr>
      </w:pPr>
    </w:p>
    <w:p>
      <w:pPr>
        <w:jc w:val="both"/>
        <w:ind w:left="40" w:right="559" w:firstLine="652"/>
        <w:spacing w:after="0" w:line="261" w:lineRule="auto"/>
        <w:tabs>
          <w:tab w:leader="none" w:pos="1206"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79" w:lineRule="exact"/>
        <w:rPr>
          <w:rFonts w:ascii="Times New Roman" w:cs="Times New Roman" w:eastAsia="Times New Roman" w:hAnsi="Times New Roman"/>
          <w:sz w:val="18"/>
          <w:szCs w:val="18"/>
          <w:b w:val="1"/>
          <w:bCs w:val="1"/>
          <w:color w:val="auto"/>
        </w:rPr>
      </w:pPr>
    </w:p>
    <w:p>
      <w:pPr>
        <w:ind w:left="40" w:right="319" w:firstLine="652"/>
        <w:spacing w:after="0" w:line="282" w:lineRule="auto"/>
        <w:tabs>
          <w:tab w:leader="none" w:pos="1206"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two or more Directors to whom authority has been delegated by the Board in accordance with Section 2(c).</w:t>
      </w:r>
    </w:p>
    <w:p>
      <w:pPr>
        <w:spacing w:after="0" w:line="161"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Calavo Growers, Inc., a California corporation.</w:t>
      </w:r>
    </w:p>
    <w:p>
      <w:pPr>
        <w:spacing w:after="0" w:line="225" w:lineRule="exact"/>
        <w:rPr>
          <w:rFonts w:ascii="Times New Roman" w:cs="Times New Roman" w:eastAsia="Times New Roman" w:hAnsi="Times New Roman"/>
          <w:sz w:val="18"/>
          <w:szCs w:val="18"/>
          <w:b w:val="1"/>
          <w:bCs w:val="1"/>
          <w:color w:val="auto"/>
        </w:rPr>
      </w:pPr>
    </w:p>
    <w:p>
      <w:pPr>
        <w:ind w:left="40" w:right="239" w:firstLine="652"/>
        <w:spacing w:after="0" w:line="277" w:lineRule="auto"/>
        <w:tabs>
          <w:tab w:leader="none" w:pos="1206"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means any individual, including an advisor, who is engaged by the Company or an Affiliate to render bona fide consulting or advisory services to the Company or an Affiliate, provided that such services are not in connection with the offer or sale of the Company’s securities in a capital-raising transaction and that such services do not directly or indirectly promote or maintain a market for the Company’s securities. Service solely as a Director, or payment of a fee for such service, shall not cause a Director to be considered a “Consultant” for purposes of the Plan.</w:t>
      </w:r>
    </w:p>
    <w:p>
      <w:pPr>
        <w:spacing w:after="0" w:line="167" w:lineRule="exact"/>
        <w:rPr>
          <w:rFonts w:ascii="Times New Roman" w:cs="Times New Roman" w:eastAsia="Times New Roman" w:hAnsi="Times New Roman"/>
          <w:sz w:val="17"/>
          <w:szCs w:val="17"/>
          <w:b w:val="1"/>
          <w:bCs w:val="1"/>
          <w:color w:val="auto"/>
        </w:rPr>
      </w:pPr>
    </w:p>
    <w:p>
      <w:pPr>
        <w:ind w:left="40" w:right="59" w:firstLine="652"/>
        <w:spacing w:after="0" w:line="252" w:lineRule="auto"/>
        <w:tabs>
          <w:tab w:leader="none" w:pos="1206"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shall not terminate a Participant’s Continuous Service; provided, however, if the Entity for which a Participant is rendering services ceases to qualify as an Affiliate, as determined by the Administrator, in its sole discretion, such Participant’s Continuous Service shall be considered to have terminated on the date such Entity ceases to qualify as an Affiliate. To the extent permitted by law, the Administrator or the Chief Executive Officer of the Company, in that party’s sole discretion, may determine whether Continuous Service shall be considered interrupted in the case of (i) any leave of absence approved by the Administrator or Chief Executive Officer, including sick leave, military leave or any other personal leave or (ii) transfers between the Company, an Affiliate, or their successors. Notwithstanding the foregoing, a leave of absence shall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197"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40" w:right="159" w:firstLine="652"/>
        <w:spacing w:after="0" w:line="258" w:lineRule="auto"/>
        <w:tabs>
          <w:tab w:leader="none" w:pos="1206"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with respect to a Participant, the inability of such Participant to engage in any substantial gainful activity by reason of any medically determinable physical or mental impairment which can be expected to result in death or which has lasted or can be expected to last for a continuous period of not less than twelve months, as provided in Sections 22(e)(3) and 409A(a)(2)(C)(i) of the Code, and shall be determined by the Administrator on the basis of such medical evidence as the Administrator deems warranted under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608330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 w:name="page45"/>
    <w:bookmarkEnd w:id="44"/>
    <w:p>
      <w:pPr>
        <w:jc w:val="both"/>
        <w:ind w:left="40" w:right="139" w:firstLine="652"/>
        <w:spacing w:after="0" w:line="266" w:lineRule="auto"/>
        <w:tabs>
          <w:tab w:leader="none" w:pos="1206"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effective date of the Plan, which is December 9, 2020 and which is the date on which the Board approved and adopted the Plan; provided, however, that the Plan is subject to approval by the Company’s shareholders at the 2021 annual meeting of shareholders.</w:t>
      </w:r>
    </w:p>
    <w:p>
      <w:pPr>
        <w:spacing w:after="0" w:line="175" w:lineRule="exact"/>
        <w:rPr>
          <w:rFonts w:ascii="Times New Roman" w:cs="Times New Roman" w:eastAsia="Times New Roman" w:hAnsi="Times New Roman"/>
          <w:sz w:val="18"/>
          <w:szCs w:val="18"/>
          <w:b w:val="1"/>
          <w:bCs w:val="1"/>
          <w:color w:val="auto"/>
        </w:rPr>
      </w:pPr>
    </w:p>
    <w:p>
      <w:pPr>
        <w:ind w:left="40" w:right="219" w:firstLine="652"/>
        <w:spacing w:after="0" w:line="266" w:lineRule="auto"/>
        <w:tabs>
          <w:tab w:leader="none" w:pos="1206"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shall not cause a Director to be considered an “Employee” for purposes of the Plan.</w:t>
      </w:r>
    </w:p>
    <w:p>
      <w:pPr>
        <w:spacing w:after="0" w:line="175"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40" w:right="359" w:firstLine="652"/>
        <w:spacing w:after="0" w:line="282" w:lineRule="auto"/>
        <w:tabs>
          <w:tab w:leader="none" w:pos="1206"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61" w:lineRule="exact"/>
        <w:rPr>
          <w:rFonts w:ascii="Times New Roman" w:cs="Times New Roman" w:eastAsia="Times New Roman" w:hAnsi="Times New Roman"/>
          <w:sz w:val="18"/>
          <w:szCs w:val="18"/>
          <w:b w:val="1"/>
          <w:bCs w:val="1"/>
          <w:color w:val="auto"/>
        </w:rPr>
      </w:pPr>
    </w:p>
    <w:p>
      <w:pPr>
        <w:ind w:left="40" w:right="99" w:firstLine="652"/>
        <w:spacing w:after="0" w:line="255" w:lineRule="auto"/>
        <w:tabs>
          <w:tab w:leader="none" w:pos="1206"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or (iv) an Entity Owned, directly or indirectly, by the shareholders of the Company in substantially the same proportions as their Ownership of stock of the Company.</w:t>
      </w:r>
    </w:p>
    <w:p>
      <w:pPr>
        <w:spacing w:after="0" w:line="188"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225" w:lineRule="exact"/>
        <w:rPr>
          <w:rFonts w:ascii="Times New Roman" w:cs="Times New Roman" w:eastAsia="Times New Roman" w:hAnsi="Times New Roman"/>
          <w:sz w:val="18"/>
          <w:szCs w:val="18"/>
          <w:b w:val="1"/>
          <w:bCs w:val="1"/>
          <w:color w:val="auto"/>
        </w:rPr>
      </w:pPr>
    </w:p>
    <w:p>
      <w:pPr>
        <w:ind w:left="40" w:right="119" w:firstLine="1300"/>
        <w:spacing w:after="0" w:line="258" w:lineRule="auto"/>
        <w:tabs>
          <w:tab w:leader="none" w:pos="1854"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of a share of Common Stock shall be, unless otherwise determined by the Administrator, the closing sales price for such stock as quoted on such exchange or market (or the exchange or market with the greatest volume of trading in the Common Stock) on the date of determination, as reported in a source the Administrator deems reliable;</w:t>
      </w:r>
    </w:p>
    <w:p>
      <w:pPr>
        <w:spacing w:after="0" w:line="183" w:lineRule="exact"/>
        <w:rPr>
          <w:rFonts w:ascii="Times New Roman" w:cs="Times New Roman" w:eastAsia="Times New Roman" w:hAnsi="Times New Roman"/>
          <w:sz w:val="18"/>
          <w:szCs w:val="18"/>
          <w:b w:val="1"/>
          <w:bCs w:val="1"/>
          <w:color w:val="auto"/>
        </w:rPr>
      </w:pPr>
    </w:p>
    <w:p>
      <w:pPr>
        <w:ind w:left="40" w:right="119" w:firstLine="1300"/>
        <w:spacing w:after="0" w:line="266" w:lineRule="auto"/>
        <w:tabs>
          <w:tab w:leader="none" w:pos="1854"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by the Administrator, if there is no closing sales price for the Common Stock on the date of determination, then the Fair Market Value shall be the closing selling price on the last preceding date for which such quotation exists; and</w:t>
      </w:r>
    </w:p>
    <w:p>
      <w:pPr>
        <w:spacing w:after="0" w:line="175" w:lineRule="exact"/>
        <w:rPr>
          <w:rFonts w:ascii="Times New Roman" w:cs="Times New Roman" w:eastAsia="Times New Roman" w:hAnsi="Times New Roman"/>
          <w:sz w:val="18"/>
          <w:szCs w:val="18"/>
          <w:b w:val="1"/>
          <w:bCs w:val="1"/>
          <w:color w:val="auto"/>
        </w:rPr>
      </w:pPr>
    </w:p>
    <w:p>
      <w:pPr>
        <w:ind w:left="40" w:right="139" w:firstLine="1300"/>
        <w:spacing w:after="0" w:line="282" w:lineRule="auto"/>
        <w:tabs>
          <w:tab w:leader="none" w:pos="1854"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shall be determined by the Administrator in good faith and in a manner that complies with Sections 409A and 422 of the Code.</w:t>
      </w:r>
    </w:p>
    <w:p>
      <w:pPr>
        <w:spacing w:after="0" w:line="161"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 Value Award</w:t>
      </w:r>
      <w:r>
        <w:rPr>
          <w:rFonts w:ascii="Times New Roman" w:cs="Times New Roman" w:eastAsia="Times New Roman" w:hAnsi="Times New Roman"/>
          <w:sz w:val="18"/>
          <w:szCs w:val="18"/>
          <w:color w:val="auto"/>
        </w:rPr>
        <w:t>” has the meaning set forth in Section 3(b)(i).</w:t>
      </w:r>
    </w:p>
    <w:p>
      <w:pPr>
        <w:spacing w:after="0" w:line="225" w:lineRule="exact"/>
        <w:rPr>
          <w:rFonts w:ascii="Times New Roman" w:cs="Times New Roman" w:eastAsia="Times New Roman" w:hAnsi="Times New Roman"/>
          <w:sz w:val="18"/>
          <w:szCs w:val="18"/>
          <w:b w:val="1"/>
          <w:bCs w:val="1"/>
          <w:color w:val="auto"/>
        </w:rPr>
      </w:pPr>
    </w:p>
    <w:p>
      <w:pPr>
        <w:ind w:left="40" w:right="179" w:firstLine="652"/>
        <w:spacing w:after="0" w:line="282" w:lineRule="auto"/>
        <w:tabs>
          <w:tab w:leader="none" w:pos="1206"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granted pursuant to Section 5 of the Plan that is intended to be, and qualifies as, an “incentive stock option” within the meaning of Section 422 of the Code.</w:t>
      </w:r>
    </w:p>
    <w:p>
      <w:pPr>
        <w:spacing w:after="0" w:line="161"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has the meaning set forth in Section 13(i)(iv).</w:t>
      </w:r>
    </w:p>
    <w:p>
      <w:pPr>
        <w:spacing w:after="0" w:line="225" w:lineRule="exact"/>
        <w:rPr>
          <w:sz w:val="20"/>
          <w:szCs w:val="20"/>
          <w:color w:val="auto"/>
        </w:rPr>
      </w:pPr>
    </w:p>
    <w:p>
      <w:pPr>
        <w:ind w:left="1340" w:hanging="648"/>
        <w:spacing w:after="0"/>
        <w:tabs>
          <w:tab w:leader="none" w:pos="1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Director who not an Employee.</w:t>
      </w:r>
    </w:p>
    <w:p>
      <w:pPr>
        <w:spacing w:after="0" w:line="225" w:lineRule="exact"/>
        <w:rPr>
          <w:rFonts w:ascii="Times New Roman" w:cs="Times New Roman" w:eastAsia="Times New Roman" w:hAnsi="Times New Roman"/>
          <w:sz w:val="18"/>
          <w:szCs w:val="18"/>
          <w:b w:val="1"/>
          <w:bCs w:val="1"/>
          <w:color w:val="auto"/>
        </w:rPr>
      </w:pPr>
    </w:p>
    <w:p>
      <w:pPr>
        <w:ind w:left="40" w:right="319" w:firstLine="652"/>
        <w:spacing w:after="0" w:line="282" w:lineRule="auto"/>
        <w:tabs>
          <w:tab w:leader="none" w:pos="133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any option granted pursuant to Section 5 of the Plan that does not qualify as an Incentive Stock Option.</w:t>
      </w:r>
    </w:p>
    <w:p>
      <w:pPr>
        <w:spacing w:after="0" w:line="161" w:lineRule="exact"/>
        <w:rPr>
          <w:rFonts w:ascii="Times New Roman" w:cs="Times New Roman" w:eastAsia="Times New Roman" w:hAnsi="Times New Roman"/>
          <w:sz w:val="18"/>
          <w:szCs w:val="18"/>
          <w:b w:val="1"/>
          <w:bCs w:val="1"/>
          <w:color w:val="auto"/>
        </w:rPr>
      </w:pPr>
    </w:p>
    <w:p>
      <w:pPr>
        <w:ind w:left="1220" w:hanging="528"/>
        <w:spacing w:after="0"/>
        <w:tabs>
          <w:tab w:leader="none" w:pos="12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w:t>
      </w:r>
    </w:p>
    <w:p>
      <w:pPr>
        <w:spacing w:after="0" w:line="27" w:lineRule="exact"/>
        <w:rPr>
          <w:rFonts w:ascii="Times New Roman" w:cs="Times New Roman" w:eastAsia="Times New Roman" w:hAnsi="Times New Roman"/>
          <w:sz w:val="18"/>
          <w:szCs w:val="18"/>
          <w:b w:val="1"/>
          <w:bCs w:val="1"/>
          <w:color w:val="auto"/>
        </w:rPr>
      </w:pPr>
    </w:p>
    <w:p>
      <w:pPr>
        <w:ind w:left="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Exchange Act.</w:t>
      </w:r>
    </w:p>
    <w:p>
      <w:pPr>
        <w:spacing w:after="0" w:line="206" w:lineRule="exact"/>
        <w:rPr>
          <w:rFonts w:ascii="Times New Roman" w:cs="Times New Roman" w:eastAsia="Times New Roman" w:hAnsi="Times New Roman"/>
          <w:sz w:val="18"/>
          <w:szCs w:val="18"/>
          <w:b w:val="1"/>
          <w:bCs w:val="1"/>
          <w:color w:val="auto"/>
        </w:rPr>
      </w:pPr>
    </w:p>
    <w:p>
      <w:pPr>
        <w:ind w:left="40" w:right="719" w:firstLine="652"/>
        <w:spacing w:after="0" w:line="282" w:lineRule="auto"/>
        <w:tabs>
          <w:tab w:leader="none" w:pos="133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594360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 w:name="page46"/>
    <w:bookmarkEnd w:id="45"/>
    <w:p>
      <w:pPr>
        <w:ind w:left="40" w:right="319" w:firstLine="652"/>
        <w:spacing w:after="0" w:line="266" w:lineRule="auto"/>
        <w:tabs>
          <w:tab w:leader="none" w:pos="1206"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means a written agreement between the Company and an Optionholder evidencing the terms and conditions of an Option grant. Each Option Agreement shall be subject to the terms and conditions of the Plan.</w:t>
      </w:r>
    </w:p>
    <w:p>
      <w:pPr>
        <w:spacing w:after="0" w:line="175" w:lineRule="exact"/>
        <w:rPr>
          <w:rFonts w:ascii="Times New Roman" w:cs="Times New Roman" w:eastAsia="Times New Roman" w:hAnsi="Times New Roman"/>
          <w:sz w:val="18"/>
          <w:szCs w:val="18"/>
          <w:b w:val="1"/>
          <w:bCs w:val="1"/>
          <w:color w:val="auto"/>
        </w:rPr>
      </w:pPr>
    </w:p>
    <w:p>
      <w:pPr>
        <w:ind w:left="40" w:right="279" w:firstLine="652"/>
        <w:spacing w:after="0" w:line="282" w:lineRule="auto"/>
        <w:tabs>
          <w:tab w:leader="none" w:pos="1206"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61" w:lineRule="exact"/>
        <w:rPr>
          <w:rFonts w:ascii="Times New Roman" w:cs="Times New Roman" w:eastAsia="Times New Roman" w:hAnsi="Times New Roman"/>
          <w:sz w:val="18"/>
          <w:szCs w:val="18"/>
          <w:b w:val="1"/>
          <w:bCs w:val="1"/>
          <w:color w:val="auto"/>
        </w:rPr>
      </w:pPr>
    </w:p>
    <w:p>
      <w:pPr>
        <w:ind w:left="40" w:right="59" w:firstLine="652"/>
        <w:spacing w:after="0" w:line="282" w:lineRule="auto"/>
        <w:tabs>
          <w:tab w:leader="none" w:pos="1336"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Stock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6(d).</w:t>
      </w:r>
    </w:p>
    <w:p>
      <w:pPr>
        <w:spacing w:after="0" w:line="161" w:lineRule="exact"/>
        <w:rPr>
          <w:rFonts w:ascii="Times New Roman" w:cs="Times New Roman" w:eastAsia="Times New Roman" w:hAnsi="Times New Roman"/>
          <w:sz w:val="18"/>
          <w:szCs w:val="18"/>
          <w:b w:val="1"/>
          <w:bCs w:val="1"/>
          <w:color w:val="auto"/>
        </w:rPr>
      </w:pPr>
    </w:p>
    <w:p>
      <w:pPr>
        <w:ind w:left="40" w:right="319" w:firstLine="652"/>
        <w:spacing w:after="0" w:line="266" w:lineRule="auto"/>
        <w:tabs>
          <w:tab w:leader="none" w:pos="1336"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Stock Award Agreement</w:t>
      </w:r>
      <w:r>
        <w:rPr>
          <w:rFonts w:ascii="Times New Roman" w:cs="Times New Roman" w:eastAsia="Times New Roman" w:hAnsi="Times New Roman"/>
          <w:sz w:val="18"/>
          <w:szCs w:val="18"/>
          <w:color w:val="auto"/>
        </w:rPr>
        <w:t>” means a written agreement between the Company and a holder of an Other Stock Award evidencing the terms and conditions of an Other Stock Award grant. Each Other Stock Award Agreement shall be subject to the terms and conditions of the Plan.</w:t>
      </w:r>
    </w:p>
    <w:p>
      <w:pPr>
        <w:spacing w:after="0" w:line="175" w:lineRule="exact"/>
        <w:rPr>
          <w:rFonts w:ascii="Times New Roman" w:cs="Times New Roman" w:eastAsia="Times New Roman" w:hAnsi="Times New Roman"/>
          <w:sz w:val="18"/>
          <w:szCs w:val="18"/>
          <w:b w:val="1"/>
          <w:bCs w:val="1"/>
          <w:color w:val="auto"/>
        </w:rPr>
      </w:pPr>
    </w:p>
    <w:p>
      <w:pPr>
        <w:ind w:left="40" w:right="79" w:firstLine="652"/>
        <w:spacing w:after="0" w:line="261" w:lineRule="auto"/>
        <w:tabs>
          <w:tab w:leader="none" w:pos="1206"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means a Director who is (i) a “non-employee director” within the meaning of Rule 16b-3 under the Exchange Act and (ii) an “independent director” under applicable rules of The Nasdaq Stock Market LLC (or under the rules of any other national securities exchange on which the Common Stock may subsequently be traded), including the independence rules of such stock exchange relating to compensation committee members.</w:t>
      </w:r>
    </w:p>
    <w:p>
      <w:pPr>
        <w:spacing w:after="0" w:line="179" w:lineRule="exact"/>
        <w:rPr>
          <w:rFonts w:ascii="Times New Roman" w:cs="Times New Roman" w:eastAsia="Times New Roman" w:hAnsi="Times New Roman"/>
          <w:sz w:val="18"/>
          <w:szCs w:val="18"/>
          <w:b w:val="1"/>
          <w:bCs w:val="1"/>
          <w:color w:val="auto"/>
        </w:rPr>
      </w:pPr>
    </w:p>
    <w:p>
      <w:pPr>
        <w:ind w:left="40" w:right="179" w:firstLine="652"/>
        <w:spacing w:after="0" w:line="261" w:lineRule="auto"/>
        <w:tabs>
          <w:tab w:leader="none" w:pos="1206"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means that a person or Entity owns, owned, is the owner of or has acquired ownership of securities, directly or indirectly, through any contract, arrangement, understanding, relationship or otherwise and has or shares voting power, which includes the power to vote or to direct the voting, with respect to such securities.</w:t>
      </w:r>
    </w:p>
    <w:p>
      <w:pPr>
        <w:spacing w:after="0" w:line="179" w:lineRule="exact"/>
        <w:rPr>
          <w:rFonts w:ascii="Times New Roman" w:cs="Times New Roman" w:eastAsia="Times New Roman" w:hAnsi="Times New Roman"/>
          <w:sz w:val="18"/>
          <w:szCs w:val="18"/>
          <w:b w:val="1"/>
          <w:bCs w:val="1"/>
          <w:color w:val="auto"/>
        </w:rPr>
      </w:pPr>
    </w:p>
    <w:p>
      <w:pPr>
        <w:ind w:left="40" w:right="359" w:firstLine="652"/>
        <w:spacing w:after="0" w:line="282" w:lineRule="auto"/>
        <w:tabs>
          <w:tab w:leader="none" w:pos="1336"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 person to whom an Award is granted pursuant to the Plan or, if applicable, such other person who holds an outstanding Stock Award.</w:t>
      </w:r>
    </w:p>
    <w:p>
      <w:pPr>
        <w:spacing w:after="0" w:line="161" w:lineRule="exact"/>
        <w:rPr>
          <w:rFonts w:ascii="Times New Roman" w:cs="Times New Roman" w:eastAsia="Times New Roman" w:hAnsi="Times New Roman"/>
          <w:sz w:val="18"/>
          <w:szCs w:val="18"/>
          <w:b w:val="1"/>
          <w:bCs w:val="1"/>
          <w:color w:val="auto"/>
        </w:rPr>
      </w:pPr>
    </w:p>
    <w:p>
      <w:pPr>
        <w:ind w:left="40" w:right="599" w:firstLine="652"/>
        <w:spacing w:after="0" w:line="282" w:lineRule="auto"/>
        <w:tabs>
          <w:tab w:leader="none" w:pos="1206"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Cash Award</w:t>
      </w:r>
      <w:r>
        <w:rPr>
          <w:rFonts w:ascii="Times New Roman" w:cs="Times New Roman" w:eastAsia="Times New Roman" w:hAnsi="Times New Roman"/>
          <w:sz w:val="18"/>
          <w:szCs w:val="18"/>
          <w:color w:val="auto"/>
        </w:rPr>
        <w:t>” means an award of cash granted pursuant to the terms and conditions of Section (6)(c)(ii).</w:t>
      </w:r>
    </w:p>
    <w:p>
      <w:pPr>
        <w:spacing w:after="0" w:line="161" w:lineRule="exact"/>
        <w:rPr>
          <w:rFonts w:ascii="Times New Roman" w:cs="Times New Roman" w:eastAsia="Times New Roman" w:hAnsi="Times New Roman"/>
          <w:sz w:val="18"/>
          <w:szCs w:val="18"/>
          <w:b w:val="1"/>
          <w:bCs w:val="1"/>
          <w:color w:val="auto"/>
        </w:rPr>
      </w:pPr>
    </w:p>
    <w:p>
      <w:pPr>
        <w:ind w:left="40" w:right="119" w:firstLine="652"/>
        <w:spacing w:after="0" w:line="267" w:lineRule="auto"/>
        <w:tabs>
          <w:tab w:leader="none" w:pos="1336" w:val="left"/>
        </w:tabs>
        <w:numPr>
          <w:ilvl w:val="1"/>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Criteria</w:t>
      </w:r>
      <w:r>
        <w:rPr>
          <w:rFonts w:ascii="Times New Roman" w:cs="Times New Roman" w:eastAsia="Times New Roman" w:hAnsi="Times New Roman"/>
          <w:sz w:val="17"/>
          <w:szCs w:val="17"/>
          <w:color w:val="auto"/>
        </w:rPr>
        <w:t>” means the one or more criteria that the Administrator shall select for purposes of establishing the Performance Goals for a Performance Period. The Performance Criteria that shall be used to establish such Performance Goals may be based on any one of, or combination of, the following as determined by the Administrator: (i) earnings (including earnings per share and net earnings); (ii) earnings before interest, taxes and depreciation; (iii) earnings before interest, taxes, depreciation and amortization; (iv) total shareholder return; (v) return on equity or average shareholders’ equity; (vi) return on assets, investment or capital employed; (vii) stock price performance; (viii) margin (including gross margin); (ix) income (before or after taxes); (x) operating income; (xi) operating income after taxes; (xii) pre-tax profit, operating profit or net operating profit; (xiii) operating cash flow; (xiv) sales or revenue targets; (xv) increases in revenue; (xvi) expenses and cost reduction goals; (xvii) improvement in or attainment of working capital levels; (xviii) economic value added (or an equivalent metric); (xix) market share (in the aggregate or by segment); (xx) cash flow; (xxi) cash flow per share; (xxii) debt levels or debt reduction; (xxiii) objective measures of productivity and operating efficiency; (xxiv) performance of business acquisitions; (xxv) measures of customer satisfaction or retention;</w:t>
      </w:r>
    </w:p>
    <w:p>
      <w:pPr>
        <w:ind w:left="40" w:right="99" w:firstLine="4"/>
        <w:spacing w:after="0" w:line="253" w:lineRule="auto"/>
        <w:tabs>
          <w:tab w:leader="none" w:pos="5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compliance with applicable laws and regulations and applicable accounting requirements; (xxvii) investor relations activities and success; (xxviii) shareholders’ equity; (xxix) capital expenditures; (xxx) measures of workforce diversity or retention; (xxxi) growth of net income or operating income; and (xxxii) any other measures of performance selected by the Administrator.</w:t>
      </w:r>
    </w:p>
    <w:p>
      <w:pPr>
        <w:spacing w:after="0" w:line="188" w:lineRule="exact"/>
        <w:rPr>
          <w:rFonts w:ascii="Times New Roman" w:cs="Times New Roman" w:eastAsia="Times New Roman" w:hAnsi="Times New Roman"/>
          <w:sz w:val="18"/>
          <w:szCs w:val="18"/>
          <w:color w:val="auto"/>
        </w:rPr>
      </w:pPr>
    </w:p>
    <w:p>
      <w:pPr>
        <w:ind w:left="40" w:right="239" w:firstLine="652"/>
        <w:spacing w:after="0" w:line="254" w:lineRule="auto"/>
        <w:tabs>
          <w:tab w:leader="none" w:pos="1336"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means, for a Performance Period, the one or more goals established by the Administrator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Administrator (i) in the Award Agreement at the time the Award is granted or (ii) in such other document setting forth the Performance Goals at the time the Performance Goals are established, the Administrator may, in its sole discretion, make appropriate adjustments in the method of calculating the attainment of Performance Goals for a Performance Period as follows: (A) to exclude restructuring and/or other nonrecurring charges; (B) to exclude exchange rate effects, as applicable, for non-U.S. dollar denominated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611505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 w:name="page47"/>
    <w:bookmarkEnd w:id="46"/>
    <w:p>
      <w:pPr>
        <w:ind w:left="40" w:right="59"/>
        <w:spacing w:after="0" w:line="252" w:lineRule="auto"/>
        <w:rPr>
          <w:sz w:val="20"/>
          <w:szCs w:val="20"/>
          <w:color w:val="auto"/>
        </w:rPr>
      </w:pPr>
      <w:r>
        <w:rPr>
          <w:rFonts w:ascii="Times New Roman" w:cs="Times New Roman" w:eastAsia="Times New Roman" w:hAnsi="Times New Roman"/>
          <w:sz w:val="18"/>
          <w:szCs w:val="18"/>
          <w:color w:val="auto"/>
        </w:rPr>
        <w:t>Goals; (C) to exclude the effects of changes to generally accepted accounting principles; (D) to exclude the effects of any statutory adjustments to corporate tax rates; (E) to exclude the effects of any “extraordinary items” as determined under generally accepted accounting principles; (F) to exclude the dilutive effects of acquisitions or joint ventures; (G) to assume that any business divested by the Company achieved performance objectives at targeted levels during the balance of a Performance Period following such divestiture; (H)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shareholders other than regular cash dividends; (I) to exclude the effects of stock-based compensation and/or the award of bonuses under the Company’s bonus plans; (J) to exclude expenses incurred in the acquisition or disposition of businesses; and (K) to exclude the effect of any other unusual, non-recurring gain or loss or other extraordinary item. In addition, the Administrator retains the sole discretion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97" w:lineRule="exact"/>
        <w:rPr>
          <w:sz w:val="20"/>
          <w:szCs w:val="20"/>
          <w:color w:val="auto"/>
        </w:rPr>
      </w:pPr>
    </w:p>
    <w:p>
      <w:pPr>
        <w:ind w:left="40" w:right="99" w:firstLine="652"/>
        <w:spacing w:after="0" w:line="261" w:lineRule="auto"/>
        <w:tabs>
          <w:tab w:leader="none" w:pos="133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the period of time selected by the Administrator over which the attainment of one or more Performance Goals will be measured for the purpose of determining a Participant’s right to and the payment of a Performance Stock Award or a Performance Cash Award. Performance Periods may be of varying and overlapping duration, at the sole discretion of the Administrator.</w:t>
      </w:r>
    </w:p>
    <w:p>
      <w:pPr>
        <w:spacing w:after="0" w:line="179" w:lineRule="exact"/>
        <w:rPr>
          <w:rFonts w:ascii="Times New Roman" w:cs="Times New Roman" w:eastAsia="Times New Roman" w:hAnsi="Times New Roman"/>
          <w:sz w:val="18"/>
          <w:szCs w:val="18"/>
          <w:b w:val="1"/>
          <w:bCs w:val="1"/>
          <w:color w:val="auto"/>
        </w:rPr>
      </w:pPr>
    </w:p>
    <w:p>
      <w:pPr>
        <w:ind w:left="1340" w:hanging="648"/>
        <w:spacing w:after="0"/>
        <w:tabs>
          <w:tab w:leader="none" w:pos="134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Stock Award</w:t>
      </w:r>
      <w:r>
        <w:rPr>
          <w:rFonts w:ascii="Times New Roman" w:cs="Times New Roman" w:eastAsia="Times New Roman" w:hAnsi="Times New Roman"/>
          <w:sz w:val="17"/>
          <w:szCs w:val="17"/>
          <w:color w:val="auto"/>
        </w:rPr>
        <w:t>” means a Stock Award granted under the terms and conditions of Section 6(c)</w:t>
      </w:r>
    </w:p>
    <w:p>
      <w:pPr>
        <w:spacing w:after="0" w:line="38" w:lineRule="exact"/>
        <w:rPr>
          <w:rFonts w:ascii="Times New Roman" w:cs="Times New Roman" w:eastAsia="Times New Roman" w:hAnsi="Times New Roman"/>
          <w:sz w:val="17"/>
          <w:szCs w:val="17"/>
          <w:b w:val="1"/>
          <w:bCs w:val="1"/>
          <w:color w:val="auto"/>
        </w:rPr>
      </w:pPr>
    </w:p>
    <w:p>
      <w:pPr>
        <w:ind w:left="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w:t>
      </w:r>
    </w:p>
    <w:p>
      <w:pPr>
        <w:spacing w:after="0" w:line="206" w:lineRule="exact"/>
        <w:rPr>
          <w:rFonts w:ascii="Times New Roman" w:cs="Times New Roman" w:eastAsia="Times New Roman" w:hAnsi="Times New Roman"/>
          <w:sz w:val="17"/>
          <w:szCs w:val="17"/>
          <w:b w:val="1"/>
          <w:bCs w:val="1"/>
          <w:color w:val="auto"/>
        </w:rPr>
      </w:pPr>
    </w:p>
    <w:p>
      <w:pPr>
        <w:ind w:left="1340" w:hanging="648"/>
        <w:spacing w:after="0"/>
        <w:tabs>
          <w:tab w:leader="none" w:pos="13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Calavo Growers, Inc. 2020 Equity Incentive Plan, as it may be amended from time to</w:t>
      </w:r>
    </w:p>
    <w:p>
      <w:pPr>
        <w:spacing w:after="0" w:line="27" w:lineRule="exact"/>
        <w:rPr>
          <w:rFonts w:ascii="Times New Roman" w:cs="Times New Roman" w:eastAsia="Times New Roman" w:hAnsi="Times New Roman"/>
          <w:sz w:val="18"/>
          <w:szCs w:val="18"/>
          <w:b w:val="1"/>
          <w:bCs w:val="1"/>
          <w:color w:val="auto"/>
        </w:rPr>
      </w:pPr>
    </w:p>
    <w:p>
      <w:pPr>
        <w:ind w:left="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w:t>
      </w:r>
    </w:p>
    <w:p>
      <w:pPr>
        <w:spacing w:after="0" w:line="206" w:lineRule="exact"/>
        <w:rPr>
          <w:rFonts w:ascii="Times New Roman" w:cs="Times New Roman" w:eastAsia="Times New Roman" w:hAnsi="Times New Roman"/>
          <w:sz w:val="18"/>
          <w:szCs w:val="18"/>
          <w:b w:val="1"/>
          <w:bCs w:val="1"/>
          <w:color w:val="auto"/>
        </w:rPr>
      </w:pPr>
    </w:p>
    <w:p>
      <w:pPr>
        <w:ind w:left="40" w:right="339" w:firstLine="652"/>
        <w:spacing w:after="0" w:line="282" w:lineRule="auto"/>
        <w:tabs>
          <w:tab w:leader="none" w:pos="120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Award</w:t>
      </w:r>
      <w:r>
        <w:rPr>
          <w:rFonts w:ascii="Times New Roman" w:cs="Times New Roman" w:eastAsia="Times New Roman" w:hAnsi="Times New Roman"/>
          <w:sz w:val="18"/>
          <w:szCs w:val="18"/>
          <w:color w:val="auto"/>
        </w:rPr>
        <w:t>” means an award of shares of Common Stock which is granted pursuant to the terms and conditions of Section 6(a).</w:t>
      </w:r>
    </w:p>
    <w:p>
      <w:pPr>
        <w:spacing w:after="0" w:line="161" w:lineRule="exact"/>
        <w:rPr>
          <w:rFonts w:ascii="Times New Roman" w:cs="Times New Roman" w:eastAsia="Times New Roman" w:hAnsi="Times New Roman"/>
          <w:sz w:val="18"/>
          <w:szCs w:val="18"/>
          <w:b w:val="1"/>
          <w:bCs w:val="1"/>
          <w:color w:val="auto"/>
        </w:rPr>
      </w:pPr>
    </w:p>
    <w:p>
      <w:pPr>
        <w:ind w:left="40" w:right="219" w:firstLine="652"/>
        <w:spacing w:after="0" w:line="266" w:lineRule="auto"/>
        <w:tabs>
          <w:tab w:leader="none" w:pos="120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Award Agreement</w:t>
      </w:r>
      <w:r>
        <w:rPr>
          <w:rFonts w:ascii="Times New Roman" w:cs="Times New Roman" w:eastAsia="Times New Roman" w:hAnsi="Times New Roman"/>
          <w:sz w:val="18"/>
          <w:szCs w:val="18"/>
          <w:color w:val="auto"/>
        </w:rPr>
        <w:t>” means a written agreement between the Company and a holder of a Restricted Stock Award evidencing the terms and conditions of a Restricted Stock Award grant. Each Restricted Stock Award Agreement shall be subject to the terms and conditions of the Plan.</w:t>
      </w:r>
    </w:p>
    <w:p>
      <w:pPr>
        <w:spacing w:after="0" w:line="175" w:lineRule="exact"/>
        <w:rPr>
          <w:rFonts w:ascii="Times New Roman" w:cs="Times New Roman" w:eastAsia="Times New Roman" w:hAnsi="Times New Roman"/>
          <w:sz w:val="18"/>
          <w:szCs w:val="18"/>
          <w:b w:val="1"/>
          <w:bCs w:val="1"/>
          <w:color w:val="auto"/>
        </w:rPr>
      </w:pPr>
    </w:p>
    <w:p>
      <w:pPr>
        <w:ind w:left="40" w:right="419" w:firstLine="652"/>
        <w:spacing w:after="0" w:line="282" w:lineRule="auto"/>
        <w:tabs>
          <w:tab w:leader="none" w:pos="120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 Award</w:t>
      </w:r>
      <w:r>
        <w:rPr>
          <w:rFonts w:ascii="Times New Roman" w:cs="Times New Roman" w:eastAsia="Times New Roman" w:hAnsi="Times New Roman"/>
          <w:sz w:val="18"/>
          <w:szCs w:val="18"/>
          <w:color w:val="auto"/>
        </w:rPr>
        <w:t>” means a right to receive shares of Common Stock (and/or cash or other consideration of equal value) which is granted pursuant to the terms and conditions of Section 6(b).</w:t>
      </w:r>
    </w:p>
    <w:p>
      <w:pPr>
        <w:spacing w:after="0" w:line="161" w:lineRule="exact"/>
        <w:rPr>
          <w:rFonts w:ascii="Times New Roman" w:cs="Times New Roman" w:eastAsia="Times New Roman" w:hAnsi="Times New Roman"/>
          <w:sz w:val="18"/>
          <w:szCs w:val="18"/>
          <w:b w:val="1"/>
          <w:bCs w:val="1"/>
          <w:color w:val="auto"/>
        </w:rPr>
      </w:pPr>
    </w:p>
    <w:p>
      <w:pPr>
        <w:ind w:left="40" w:right="139" w:firstLine="652"/>
        <w:spacing w:after="0" w:line="266" w:lineRule="auto"/>
        <w:tabs>
          <w:tab w:leader="none" w:pos="133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 Award Agreement</w:t>
      </w:r>
      <w:r>
        <w:rPr>
          <w:rFonts w:ascii="Times New Roman" w:cs="Times New Roman" w:eastAsia="Times New Roman" w:hAnsi="Times New Roman"/>
          <w:sz w:val="18"/>
          <w:szCs w:val="18"/>
          <w:color w:val="auto"/>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spacing w:after="0" w:line="175" w:lineRule="exact"/>
        <w:rPr>
          <w:rFonts w:ascii="Times New Roman" w:cs="Times New Roman" w:eastAsia="Times New Roman" w:hAnsi="Times New Roman"/>
          <w:sz w:val="18"/>
          <w:szCs w:val="18"/>
          <w:b w:val="1"/>
          <w:bCs w:val="1"/>
          <w:color w:val="auto"/>
        </w:rPr>
      </w:pPr>
    </w:p>
    <w:p>
      <w:pPr>
        <w:ind w:left="1340" w:hanging="648"/>
        <w:spacing w:after="0"/>
        <w:tabs>
          <w:tab w:leader="none" w:pos="13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1340" w:hanging="648"/>
        <w:spacing w:after="0"/>
        <w:tabs>
          <w:tab w:leader="none" w:pos="13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has the meaning set forth in Section 3(a).</w:t>
      </w:r>
    </w:p>
    <w:p>
      <w:pPr>
        <w:spacing w:after="0" w:line="225" w:lineRule="exact"/>
        <w:rPr>
          <w:rFonts w:ascii="Times New Roman" w:cs="Times New Roman" w:eastAsia="Times New Roman" w:hAnsi="Times New Roman"/>
          <w:sz w:val="18"/>
          <w:szCs w:val="18"/>
          <w:b w:val="1"/>
          <w:bCs w:val="1"/>
          <w:color w:val="auto"/>
        </w:rPr>
      </w:pPr>
    </w:p>
    <w:p>
      <w:pPr>
        <w:ind w:left="40" w:right="99" w:firstLine="652"/>
        <w:spacing w:after="0" w:line="282" w:lineRule="auto"/>
        <w:tabs>
          <w:tab w:leader="none" w:pos="133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5.</w:t>
      </w:r>
    </w:p>
    <w:p>
      <w:pPr>
        <w:spacing w:after="0" w:line="161" w:lineRule="exact"/>
        <w:rPr>
          <w:rFonts w:ascii="Times New Roman" w:cs="Times New Roman" w:eastAsia="Times New Roman" w:hAnsi="Times New Roman"/>
          <w:sz w:val="18"/>
          <w:szCs w:val="18"/>
          <w:b w:val="1"/>
          <w:bCs w:val="1"/>
          <w:color w:val="auto"/>
        </w:rPr>
      </w:pPr>
    </w:p>
    <w:p>
      <w:pPr>
        <w:ind w:left="40" w:right="79" w:firstLine="652"/>
        <w:spacing w:after="0" w:line="266" w:lineRule="auto"/>
        <w:tabs>
          <w:tab w:leader="none" w:pos="133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175" w:lineRule="exact"/>
        <w:rPr>
          <w:rFonts w:ascii="Times New Roman" w:cs="Times New Roman" w:eastAsia="Times New Roman" w:hAnsi="Times New Roman"/>
          <w:sz w:val="18"/>
          <w:szCs w:val="18"/>
          <w:b w:val="1"/>
          <w:bCs w:val="1"/>
          <w:color w:val="auto"/>
        </w:rPr>
      </w:pPr>
    </w:p>
    <w:p>
      <w:pPr>
        <w:jc w:val="both"/>
        <w:ind w:left="40" w:right="119" w:firstLine="652"/>
        <w:spacing w:after="0" w:line="266" w:lineRule="auto"/>
        <w:tabs>
          <w:tab w:leader="none" w:pos="120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Award</w:t>
      </w:r>
      <w:r>
        <w:rPr>
          <w:rFonts w:ascii="Times New Roman" w:cs="Times New Roman" w:eastAsia="Times New Roman" w:hAnsi="Times New Roman"/>
          <w:sz w:val="18"/>
          <w:szCs w:val="18"/>
          <w:color w:val="auto"/>
        </w:rPr>
        <w:t>” means an Incentive Stock Option, a Nonstatutory Stock Option, a Restricted Stock Award, a Restricted Stock Unit Award, a Stock Appreciation Right, a Performance Stock Award or any Other Stock Award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7" w:name="page48"/>
    <w:bookmarkEnd w:id="47"/>
    <w:p>
      <w:pPr>
        <w:ind w:left="40" w:right="359" w:firstLine="652"/>
        <w:spacing w:after="0" w:line="266" w:lineRule="auto"/>
        <w:tabs>
          <w:tab w:leader="none" w:pos="1336"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Award Agreement</w:t>
      </w:r>
      <w:r>
        <w:rPr>
          <w:rFonts w:ascii="Times New Roman" w:cs="Times New Roman" w:eastAsia="Times New Roman" w:hAnsi="Times New Roman"/>
          <w:sz w:val="18"/>
          <w:szCs w:val="18"/>
          <w:color w:val="auto"/>
        </w:rPr>
        <w:t>” means a written agreement between the Company and a Participant evidencing the terms and conditions of a Stock Award grant. Each Stock Award Agreement shall be subject to the terms and conditions of the Plan.</w:t>
      </w:r>
    </w:p>
    <w:p>
      <w:pPr>
        <w:spacing w:after="0" w:line="175" w:lineRule="exact"/>
        <w:rPr>
          <w:rFonts w:ascii="Times New Roman" w:cs="Times New Roman" w:eastAsia="Times New Roman" w:hAnsi="Times New Roman"/>
          <w:sz w:val="18"/>
          <w:szCs w:val="18"/>
          <w:b w:val="1"/>
          <w:bCs w:val="1"/>
          <w:color w:val="auto"/>
        </w:rPr>
      </w:pPr>
    </w:p>
    <w:p>
      <w:pPr>
        <w:ind w:left="1340" w:hanging="648"/>
        <w:spacing w:after="0"/>
        <w:tabs>
          <w:tab w:leader="none" w:pos="13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Person</w:t>
      </w:r>
      <w:r>
        <w:rPr>
          <w:rFonts w:ascii="Times New Roman" w:cs="Times New Roman" w:eastAsia="Times New Roman" w:hAnsi="Times New Roman"/>
          <w:sz w:val="18"/>
          <w:szCs w:val="18"/>
          <w:color w:val="auto"/>
        </w:rPr>
        <w:t>” has the meaning set forth in Section 13(i)(i).</w:t>
      </w:r>
    </w:p>
    <w:p>
      <w:pPr>
        <w:spacing w:after="0" w:line="225" w:lineRule="exact"/>
        <w:rPr>
          <w:rFonts w:ascii="Times New Roman" w:cs="Times New Roman" w:eastAsia="Times New Roman" w:hAnsi="Times New Roman"/>
          <w:sz w:val="18"/>
          <w:szCs w:val="18"/>
          <w:b w:val="1"/>
          <w:bCs w:val="1"/>
          <w:color w:val="auto"/>
        </w:rPr>
      </w:pPr>
    </w:p>
    <w:p>
      <w:pPr>
        <w:jc w:val="both"/>
        <w:ind w:left="40" w:right="79" w:firstLine="652"/>
        <w:spacing w:after="0" w:line="256" w:lineRule="auto"/>
        <w:tabs>
          <w:tab w:leader="none" w:pos="1336"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87" w:lineRule="exact"/>
        <w:rPr>
          <w:rFonts w:ascii="Times New Roman" w:cs="Times New Roman" w:eastAsia="Times New Roman" w:hAnsi="Times New Roman"/>
          <w:sz w:val="18"/>
          <w:szCs w:val="18"/>
          <w:b w:val="1"/>
          <w:bCs w:val="1"/>
          <w:color w:val="auto"/>
        </w:rPr>
      </w:pPr>
    </w:p>
    <w:p>
      <w:pPr>
        <w:ind w:left="40" w:right="219" w:firstLine="652"/>
        <w:spacing w:after="0" w:line="266" w:lineRule="auto"/>
        <w:tabs>
          <w:tab w:leader="none" w:pos="1336"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 Percent Shareholder</w:t>
      </w:r>
      <w:r>
        <w:rPr>
          <w:rFonts w:ascii="Times New Roman" w:cs="Times New Roman" w:eastAsia="Times New Roman" w:hAnsi="Times New Roman"/>
          <w:sz w:val="18"/>
          <w:szCs w:val="18"/>
          <w:color w:val="auto"/>
        </w:rPr>
        <w:t>” means a person who Owns (or is deemed to Own pursuant to Section 424(d) of the Code) stock possessing more than ten percent of the total combined voting power of all classes of stock of the Company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8" w:name="page49"/>
    <w:bookmarkEnd w:id="4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Lecil E. Cole, certify that:</w:t>
      </w:r>
    </w:p>
    <w:p>
      <w:pPr>
        <w:spacing w:after="0" w:line="235" w:lineRule="exact"/>
        <w:rPr>
          <w:sz w:val="20"/>
          <w:szCs w:val="20"/>
          <w:color w:val="auto"/>
        </w:rPr>
      </w:pPr>
    </w:p>
    <w:p>
      <w:pPr>
        <w:ind w:left="700" w:hanging="656"/>
        <w:spacing w:after="0"/>
        <w:tabs>
          <w:tab w:leader="none" w:pos="7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34" w:lineRule="exact"/>
        <w:rPr>
          <w:rFonts w:ascii="Times New Roman" w:cs="Times New Roman" w:eastAsia="Times New Roman" w:hAnsi="Times New Roman"/>
          <w:sz w:val="16"/>
          <w:szCs w:val="16"/>
          <w:color w:val="auto"/>
        </w:rPr>
      </w:pPr>
    </w:p>
    <w:p>
      <w:pPr>
        <w:ind w:left="700" w:right="179" w:hanging="656"/>
        <w:spacing w:after="0" w:line="281" w:lineRule="auto"/>
        <w:tabs>
          <w:tab w:leader="none" w:pos="7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700" w:right="239" w:hanging="656"/>
        <w:spacing w:after="0" w:line="281" w:lineRule="auto"/>
        <w:tabs>
          <w:tab w:leader="none" w:pos="7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700" w:right="539" w:hanging="656"/>
        <w:spacing w:after="0" w:line="281" w:lineRule="auto"/>
        <w:tabs>
          <w:tab w:leader="none" w:pos="7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1340" w:right="79" w:hanging="648"/>
        <w:spacing w:after="0" w:line="275" w:lineRule="auto"/>
        <w:tabs>
          <w:tab w:leader="none" w:pos="134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6"/>
          <w:szCs w:val="16"/>
          <w:color w:val="auto"/>
        </w:rPr>
      </w:pPr>
    </w:p>
    <w:p>
      <w:pPr>
        <w:ind w:left="1340" w:right="119" w:hanging="648"/>
        <w:spacing w:after="0" w:line="275" w:lineRule="auto"/>
        <w:tabs>
          <w:tab w:leader="none" w:pos="134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2" w:lineRule="exact"/>
        <w:rPr>
          <w:rFonts w:ascii="Times New Roman" w:cs="Times New Roman" w:eastAsia="Times New Roman" w:hAnsi="Times New Roman"/>
          <w:sz w:val="16"/>
          <w:szCs w:val="16"/>
          <w:color w:val="auto"/>
        </w:rPr>
      </w:pPr>
    </w:p>
    <w:p>
      <w:pPr>
        <w:ind w:left="1340" w:right="159" w:hanging="648"/>
        <w:spacing w:after="0" w:line="281" w:lineRule="auto"/>
        <w:tabs>
          <w:tab w:leader="none" w:pos="134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40" w:right="179" w:hanging="648"/>
        <w:spacing w:after="0" w:line="281" w:lineRule="auto"/>
        <w:tabs>
          <w:tab w:leader="none" w:pos="134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81" w:lineRule="auto"/>
        <w:tabs>
          <w:tab w:leader="none" w:pos="134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Date: June 9, 2025</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Lecil E. Cole</w:t>
            </w:r>
          </w:p>
        </w:tc>
      </w:tr>
      <w:tr>
        <w:trPr>
          <w:trHeight w:val="185"/>
        </w:trPr>
        <w:tc>
          <w:tcPr>
            <w:tcW w:w="446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Lecil E. Cole</w:t>
            </w:r>
          </w:p>
        </w:tc>
      </w:tr>
      <w:tr>
        <w:trPr>
          <w:trHeight w:val="210"/>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(Principal Executive Officer)</w:t>
            </w:r>
          </w:p>
        </w:tc>
      </w:tr>
      <w:tr>
        <w:trPr>
          <w:trHeight w:val="958"/>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25" w:right="1440" w:bottom="1440" w:gutter="0" w:footer="0" w:header="0"/>
        </w:sectPr>
      </w:pPr>
    </w:p>
    <w:bookmarkStart w:id="49" w:name="page50"/>
    <w:bookmarkEnd w:id="4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James Snyder, certify that:</w:t>
      </w:r>
    </w:p>
    <w:p>
      <w:pPr>
        <w:spacing w:after="0" w:line="235" w:lineRule="exact"/>
        <w:rPr>
          <w:sz w:val="20"/>
          <w:szCs w:val="20"/>
          <w:color w:val="auto"/>
        </w:rPr>
      </w:pPr>
    </w:p>
    <w:p>
      <w:pPr>
        <w:ind w:left="700" w:hanging="656"/>
        <w:spacing w:after="0"/>
        <w:tabs>
          <w:tab w:leader="none" w:pos="7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34" w:lineRule="exact"/>
        <w:rPr>
          <w:rFonts w:ascii="Times New Roman" w:cs="Times New Roman" w:eastAsia="Times New Roman" w:hAnsi="Times New Roman"/>
          <w:sz w:val="16"/>
          <w:szCs w:val="16"/>
          <w:color w:val="auto"/>
        </w:rPr>
      </w:pPr>
    </w:p>
    <w:p>
      <w:pPr>
        <w:ind w:left="700" w:right="179" w:hanging="656"/>
        <w:spacing w:after="0" w:line="281" w:lineRule="auto"/>
        <w:tabs>
          <w:tab w:leader="none" w:pos="7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700" w:right="239" w:hanging="656"/>
        <w:spacing w:after="0" w:line="281" w:lineRule="auto"/>
        <w:tabs>
          <w:tab w:leader="none" w:pos="7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700" w:right="539" w:hanging="656"/>
        <w:spacing w:after="0" w:line="281" w:lineRule="auto"/>
        <w:tabs>
          <w:tab w:leader="none" w:pos="7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1340" w:right="79" w:hanging="648"/>
        <w:spacing w:after="0" w:line="275" w:lineRule="auto"/>
        <w:tabs>
          <w:tab w:leader="none" w:pos="134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6"/>
          <w:szCs w:val="16"/>
          <w:color w:val="auto"/>
        </w:rPr>
      </w:pPr>
    </w:p>
    <w:p>
      <w:pPr>
        <w:ind w:left="1340" w:right="119" w:hanging="648"/>
        <w:spacing w:after="0" w:line="275" w:lineRule="auto"/>
        <w:tabs>
          <w:tab w:leader="none" w:pos="134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2" w:lineRule="exact"/>
        <w:rPr>
          <w:rFonts w:ascii="Times New Roman" w:cs="Times New Roman" w:eastAsia="Times New Roman" w:hAnsi="Times New Roman"/>
          <w:sz w:val="16"/>
          <w:szCs w:val="16"/>
          <w:color w:val="auto"/>
        </w:rPr>
      </w:pPr>
    </w:p>
    <w:p>
      <w:pPr>
        <w:ind w:left="1340" w:right="159" w:hanging="648"/>
        <w:spacing w:after="0" w:line="281" w:lineRule="auto"/>
        <w:tabs>
          <w:tab w:leader="none" w:pos="134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40" w:right="179" w:hanging="648"/>
        <w:spacing w:after="0" w:line="281" w:lineRule="auto"/>
        <w:tabs>
          <w:tab w:leader="none" w:pos="134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81" w:lineRule="auto"/>
        <w:tabs>
          <w:tab w:leader="none" w:pos="134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Date: June 9, 2025</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James Snyder</w:t>
            </w:r>
          </w:p>
        </w:tc>
      </w:tr>
      <w:tr>
        <w:trPr>
          <w:trHeight w:val="185"/>
        </w:trPr>
        <w:tc>
          <w:tcPr>
            <w:tcW w:w="446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James Snyder</w:t>
            </w:r>
          </w:p>
        </w:tc>
      </w:tr>
      <w:tr>
        <w:trPr>
          <w:trHeight w:val="210"/>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r>
        <w:trPr>
          <w:trHeight w:val="958"/>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25" w:right="1440" w:bottom="1440" w:gutter="0" w:footer="0" w:header="0"/>
        </w:sectPr>
      </w:pPr>
    </w:p>
    <w:bookmarkStart w:id="50" w:name="page51"/>
    <w:bookmarkEnd w:id="5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WRITTEN STATEMENT OF CHIEF EXECUTIVE OFFICER AND CHIEF FINANCIAL OFFICER</w:t>
      </w:r>
    </w:p>
    <w:p>
      <w:pPr>
        <w:spacing w:after="0" w:line="212"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The undersigned Chief Executive Officer and Chief Financial Officer of Calavo Growers, Inc. (the “Company”), each hereby certifies, pursuant to 18 U.S.C. Section 1350, as adopted pursuant to Section 906 of the Sarbanes-Oxley Act of 2002, that, to his knowledge, the Company’s Quarterly Report on Form 10-Q for the quarter ended April 30, 2025,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June 9, 2025</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Lecil E. Cole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James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James Snyder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1171575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4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o"/>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lowerRoman"/>
      <w:start w:val="1"/>
    </w:lvl>
  </w:abstractNum>
  <w:abstractNum w:abstractNumId="15">
    <w:nsid w:val="3804823E"/>
    <w:multiLevelType w:val="hybridMultilevel"/>
    <w:lvl w:ilvl="0">
      <w:lvlJc w:val="left"/>
      <w:lvlText w:val="%1"/>
      <w:numFmt w:val="decimal"/>
      <w:start w:val="101"/>
    </w:lvl>
  </w:abstractNum>
  <w:abstractNum w:abstractNumId="16">
    <w:nsid w:val="77465F01"/>
    <w:multiLevelType w:val="hybridMultilevel"/>
    <w:lvl w:ilvl="0">
      <w:lvlJc w:val="left"/>
      <w:lvlText w:val="*"/>
      <w:numFmt w:val="bullet"/>
      <w:start w:val="1"/>
    </w:lvl>
    <w:lvl w:ilvl="1">
      <w:lvlJc w:val="left"/>
      <w:lvlText w:val="%2"/>
      <w:numFmt w:val="decimal"/>
      <w:start w:val="104"/>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2463B9EA"/>
    <w:multiLevelType w:val="hybridMultilevel"/>
    <w:lvl w:ilvl="0">
      <w:lvlJc w:val="left"/>
      <w:lvlText w:val="%1"/>
      <w:numFmt w:val="lowerLetter"/>
      <w:start w:val="1"/>
    </w:lvl>
    <w:lvl w:ilvl="1">
      <w:lvlJc w:val="left"/>
      <w:lvlText w:val="(%2)"/>
      <w:numFmt w:val="lowerRoman"/>
      <w:start w:val="5"/>
    </w:lvl>
  </w:abstractNum>
  <w:abstractNum w:abstractNumId="20">
    <w:nsid w:val="5E884ADC"/>
    <w:multiLevelType w:val="hybridMultilevel"/>
    <w:lvl w:ilvl="0">
      <w:lvlJc w:val="left"/>
      <w:lvlText w:val="(%1)"/>
      <w:numFmt w:val="lowerLetter"/>
      <w:start w:val="3"/>
    </w:lvl>
    <w:lvl w:ilvl="1">
      <w:lvlJc w:val="left"/>
      <w:lvlText w:val="(%2)"/>
      <w:numFmt w:val="lowerRoman"/>
      <w:start w:val="1"/>
    </w:lvl>
  </w:abstractNum>
  <w:abstractNum w:abstractNumId="21">
    <w:nsid w:val="51EAD36B"/>
    <w:multiLevelType w:val="hybridMultilevel"/>
    <w:lvl w:ilvl="0">
      <w:lvlJc w:val="left"/>
      <w:lvlText w:val="%1"/>
      <w:numFmt w:val="lowerLetter"/>
      <w:start w:val="1"/>
    </w:lvl>
    <w:lvl w:ilvl="1">
      <w:lvlJc w:val="left"/>
      <w:lvlText w:val="(%2)"/>
      <w:numFmt w:val="lowerLetter"/>
      <w:start w:val="6"/>
    </w:lvl>
  </w:abstractNum>
  <w:abstractNum w:abstractNumId="22">
    <w:nsid w:val="2D517796"/>
    <w:multiLevelType w:val="hybridMultilevel"/>
    <w:lvl w:ilvl="0">
      <w:lvlJc w:val="left"/>
      <w:lvlText w:val="(%1)"/>
      <w:numFmt w:val="lowerLetter"/>
      <w:start w:val="35"/>
    </w:lvl>
    <w:lvl w:ilvl="1">
      <w:lvlJc w:val="left"/>
      <w:lvlText w:val="%2"/>
      <w:numFmt w:val="lowerLetter"/>
      <w:start w:val="1"/>
    </w:lvl>
  </w:abstractNum>
  <w:abstractNum w:abstractNumId="23">
    <w:nsid w:val="580BD78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
    <w:nsid w:val="153EA438"/>
    <w:multiLevelType w:val="hybridMultilevel"/>
    <w:lvl w:ilvl="0">
      <w:lvlJc w:val="left"/>
      <w:lvlText w:val="%1"/>
      <w:numFmt w:val="decimal"/>
      <w:start w:val="1"/>
    </w:lvl>
    <w:lvl w:ilvl="1">
      <w:lvlJc w:val="left"/>
      <w:lvlText w:val="(%2)"/>
      <w:numFmt w:val="lowerLetter"/>
      <w:start w:val="1"/>
    </w:lvl>
  </w:abstractNum>
  <w:abstractNum w:abstractNumId="25">
    <w:nsid w:val="3855585C"/>
    <w:multiLevelType w:val="hybridMultilevel"/>
    <w:lvl w:ilvl="0">
      <w:lvlJc w:val="left"/>
      <w:lvlText w:val="%1."/>
      <w:numFmt w:val="decimal"/>
      <w:start w:val="5"/>
    </w:lvl>
    <w:lvl w:ilvl="1">
      <w:lvlJc w:val="left"/>
      <w:lvlText w:val="%2"/>
      <w:numFmt w:val="lowerLetter"/>
      <w:start w:val="1"/>
    </w:lvl>
  </w:abstractNum>
  <w:abstractNum w:abstractNumId="26">
    <w:nsid w:val="70A64E2A"/>
    <w:multiLevelType w:val="hybridMultilevel"/>
    <w:lvl w:ilvl="0">
      <w:lvlJc w:val="left"/>
      <w:lvlText w:val="(%1)"/>
      <w:numFmt w:val="lowerLetter"/>
      <w:start w:val="1"/>
    </w:lvl>
    <w:lvl w:ilvl="1">
      <w:lvlJc w:val="left"/>
      <w:lvlText w:val="(%2)"/>
      <w:numFmt w:val="lowerRoman"/>
      <w:start w:val="1"/>
    </w:lvl>
  </w:abstractNum>
  <w:abstractNum w:abstractNumId="27">
    <w:nsid w:val="6A2342EC"/>
    <w:multiLevelType w:val="hybridMultilevel"/>
    <w:lvl w:ilvl="0">
      <w:lvlJc w:val="left"/>
      <w:lvlText w:val="%1"/>
      <w:numFmt w:val="lowerLetter"/>
      <w:start w:val="1"/>
    </w:lvl>
    <w:lvl w:ilvl="1">
      <w:lvlJc w:val="left"/>
      <w:lvlText w:val="(%2)"/>
      <w:numFmt w:val="lowerLetter"/>
      <w:start w:val="22"/>
    </w:lvl>
  </w:abstractNum>
  <w:abstractNum w:abstractNumId="28">
    <w:nsid w:val="2A487CB0"/>
    <w:multiLevelType w:val="hybridMultilevel"/>
    <w:lvl w:ilvl="0">
      <w:lvlJc w:val="left"/>
      <w:lvlText w:val="(%1)"/>
      <w:numFmt w:val="lowerLetter"/>
      <w:start w:val="4"/>
    </w:lvl>
    <w:lvl w:ilvl="1">
      <w:lvlJc w:val="left"/>
      <w:lvlText w:val="(%2)"/>
      <w:numFmt w:val="lowerLetter"/>
      <w:start w:val="9"/>
    </w:lvl>
  </w:abstractNum>
  <w:abstractNum w:abstractNumId="29">
    <w:nsid w:val="1D4ED43B"/>
    <w:multiLevelType w:val="hybridMultilevel"/>
    <w:lvl w:ilvl="0">
      <w:lvlJc w:val="left"/>
      <w:lvlText w:val="%1"/>
      <w:numFmt w:val="lowerLetter"/>
      <w:start w:val="1"/>
    </w:lvl>
    <w:lvl w:ilvl="1">
      <w:lvlJc w:val="left"/>
      <w:lvlText w:val="(%2)"/>
      <w:numFmt w:val="lowerRoman"/>
      <w:start w:val="2"/>
    </w:lvl>
  </w:abstractNum>
  <w:abstractNum w:abstractNumId="30">
    <w:nsid w:val="725A06FB"/>
    <w:multiLevelType w:val="hybridMultilevel"/>
    <w:lvl w:ilvl="0">
      <w:lvlJc w:val="left"/>
      <w:lvlText w:val="(%1)"/>
      <w:numFmt w:val="lowerLetter"/>
      <w:start w:val="6"/>
    </w:lvl>
    <w:lvl w:ilvl="1">
      <w:lvlJc w:val="left"/>
      <w:lvlText w:val="%2"/>
      <w:numFmt w:val="lowerRoman"/>
      <w:start w:val="1"/>
    </w:lvl>
  </w:abstractNum>
  <w:abstractNum w:abstractNumId="31">
    <w:nsid w:val="2CD89A32"/>
    <w:multiLevelType w:val="hybridMultilevel"/>
    <w:lvl w:ilvl="0">
      <w:lvlJc w:val="left"/>
      <w:lvlText w:val="%1"/>
      <w:numFmt w:val="decimal"/>
      <w:start w:val="1"/>
    </w:lvl>
    <w:lvl w:ilvl="1">
      <w:lvlJc w:val="left"/>
      <w:lvlText w:val="(%2)"/>
      <w:numFmt w:val="lowerLetter"/>
      <w:start w:val="8"/>
    </w:lvl>
  </w:abstractNum>
  <w:abstractNum w:abstractNumId="32">
    <w:nsid w:val="57E4CCAF"/>
    <w:multiLevelType w:val="hybridMultilevel"/>
    <w:lvl w:ilvl="0">
      <w:lvlJc w:val="left"/>
      <w:lvlText w:val="%1."/>
      <w:numFmt w:val="decimal"/>
      <w:start w:val="6"/>
    </w:lvl>
    <w:lvl w:ilvl="1">
      <w:lvlJc w:val="left"/>
      <w:lvlText w:val="(%2)"/>
      <w:numFmt w:val="lowerLetter"/>
      <w:start w:val="1"/>
    </w:lvl>
  </w:abstractNum>
  <w:abstractNum w:abstractNumId="33">
    <w:nsid w:val="7A6D8D3C"/>
    <w:multiLevelType w:val="hybridMultilevel"/>
    <w:lvl w:ilvl="0">
      <w:lvlJc w:val="left"/>
      <w:lvlText w:val="%1"/>
      <w:numFmt w:val="lowerLetter"/>
      <w:start w:val="1"/>
    </w:lvl>
    <w:lvl w:ilvl="1">
      <w:lvlJc w:val="left"/>
      <w:lvlText w:val="(%2)"/>
      <w:numFmt w:val="lowerRoman"/>
      <w:start w:val="1"/>
    </w:lvl>
  </w:abstractNum>
  <w:abstractNum w:abstractNumId="34">
    <w:nsid w:val="4B588F54"/>
    <w:multiLevelType w:val="hybridMultilevel"/>
    <w:lvl w:ilvl="0">
      <w:lvlJc w:val="left"/>
      <w:lvlText w:val="(%1)"/>
      <w:numFmt w:val="lowerLetter"/>
      <w:start w:val="2"/>
    </w:lvl>
    <w:lvl w:ilvl="1">
      <w:lvlJc w:val="left"/>
      <w:lvlText w:val="(%2)"/>
      <w:numFmt w:val="lowerRoman"/>
      <w:start w:val="1"/>
    </w:lvl>
  </w:abstractNum>
  <w:abstractNum w:abstractNumId="35">
    <w:nsid w:val="542289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6">
    <w:nsid w:val="6DE91B1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7">
    <w:nsid w:val="38437FD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8">
    <w:nsid w:val="7644A45C"/>
    <w:multiLevelType w:val="hybridMultilevel"/>
    <w:lvl w:ilvl="0">
      <w:lvlJc w:val="left"/>
      <w:lvlText w:val="%1."/>
      <w:numFmt w:val="decimal"/>
      <w:start w:val="8"/>
    </w:lvl>
    <w:lvl w:ilvl="1">
      <w:lvlJc w:val="left"/>
      <w:lvlText w:val="(%2)"/>
      <w:numFmt w:val="lowerLetter"/>
      <w:start w:val="1"/>
    </w:lvl>
  </w:abstractNum>
  <w:abstractNum w:abstractNumId="39">
    <w:nsid w:val="32FFF902"/>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40">
    <w:nsid w:val="684A481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1">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
    <w:nsid w:val="749ABB4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3">
    <w:nsid w:val="3DC240FB"/>
    <w:multiLevelType w:val="hybridMultilevel"/>
    <w:lvl w:ilvl="0">
      <w:lvlJc w:val="left"/>
      <w:lvlText w:val="%1"/>
      <w:numFmt w:val="decimal"/>
      <w:start w:val="1"/>
    </w:lvl>
    <w:lvl w:ilvl="1">
      <w:lvlJc w:val="left"/>
      <w:lvlText w:val="(%2)"/>
      <w:numFmt w:val="lowerLetter"/>
      <w:start w:val="2"/>
    </w:lvl>
  </w:abstractNum>
  <w:abstractNum w:abstractNumId="44">
    <w:nsid w:val="1BA026FA"/>
    <w:multiLevelType w:val="hybridMultilevel"/>
    <w:lvl w:ilvl="0">
      <w:lvlJc w:val="left"/>
      <w:lvlText w:val="%1."/>
      <w:numFmt w:val="decimal"/>
      <w:start w:val="11"/>
    </w:lvl>
    <w:lvl w:ilvl="1">
      <w:lvlJc w:val="left"/>
      <w:lvlText w:val="%2"/>
      <w:numFmt w:val="lowerLetter"/>
      <w:start w:val="1"/>
    </w:lvl>
  </w:abstractNum>
  <w:abstractNum w:abstractNumId="45">
    <w:nsid w:val="79A1DEAA"/>
    <w:multiLevelType w:val="hybridMultilevel"/>
    <w:lvl w:ilvl="0">
      <w:lvlJc w:val="left"/>
      <w:lvlText w:val="%1."/>
      <w:numFmt w:val="decimal"/>
      <w:start w:val="12"/>
    </w:lvl>
  </w:abstractNum>
  <w:abstractNum w:abstractNumId="46">
    <w:nsid w:val="75C6C33A"/>
    <w:multiLevelType w:val="hybridMultilevel"/>
    <w:lvl w:ilvl="0">
      <w:lvlJc w:val="left"/>
      <w:lvlText w:val="%1."/>
      <w:numFmt w:val="decimal"/>
      <w:start w:val="13"/>
    </w:lvl>
    <w:lvl w:ilvl="1">
      <w:lvlJc w:val="left"/>
      <w:lvlText w:val="(%2)"/>
      <w:numFmt w:val="lowerLetter"/>
      <w:start w:val="1"/>
    </w:lvl>
  </w:abstractNum>
  <w:abstractNum w:abstractNumId="47">
    <w:nsid w:val="12E685FB"/>
    <w:multiLevelType w:val="hybridMultilevel"/>
    <w:lvl w:ilvl="0">
      <w:lvlJc w:val="left"/>
      <w:lvlText w:val="(%1)"/>
      <w:numFmt w:val="lowerLetter"/>
      <w:start w:val="7"/>
    </w:lvl>
    <w:lvl w:ilvl="1">
      <w:lvlJc w:val="left"/>
      <w:lvlText w:val="(%2)"/>
      <w:numFmt w:val="lowerRoman"/>
      <w:start w:val="1"/>
    </w:lvl>
  </w:abstractNum>
  <w:abstractNum w:abstractNumId="48">
    <w:nsid w:val="70C6A529"/>
    <w:multiLevelType w:val="hybridMultilevel"/>
    <w:lvl w:ilvl="0">
      <w:lvlJc w:val="left"/>
      <w:lvlText w:val="(%1)"/>
      <w:numFmt w:val="lowerLetter"/>
      <w:start w:val="10"/>
    </w:lvl>
  </w:abstractNum>
  <w:abstractNum w:abstractNumId="49">
    <w:nsid w:val="520EEDD1"/>
    <w:multiLevelType w:val="hybridMultilevel"/>
    <w:lvl w:ilvl="0">
      <w:lvlJc w:val="left"/>
      <w:lvlText w:val="(%1)"/>
      <w:numFmt w:val="lowerLetter"/>
      <w:start w:val="18"/>
    </w:lvl>
    <w:lvl w:ilvl="1">
      <w:lvlJc w:val="left"/>
      <w:lvlText w:val="(%2)"/>
      <w:numFmt w:val="lowerRoman"/>
      <w:start w:val="1"/>
    </w:lvl>
  </w:abstractNum>
  <w:abstractNum w:abstractNumId="50">
    <w:nsid w:val="374A3FE6"/>
    <w:multiLevelType w:val="hybridMultilevel"/>
    <w:lvl w:ilvl="0">
      <w:lvlJc w:val="left"/>
      <w:lvlText w:val="(%1)"/>
      <w:numFmt w:val="lowerLetter"/>
      <w:start w:val="27"/>
    </w:lvl>
  </w:abstractNum>
  <w:abstractNum w:abstractNumId="51">
    <w:nsid w:val="4F4EF005"/>
    <w:multiLevelType w:val="hybridMultilevel"/>
    <w:lvl w:ilvl="0">
      <w:lvlJc w:val="left"/>
      <w:lvlText w:val="%1"/>
      <w:numFmt w:val="lowerRoman"/>
      <w:start w:val="1"/>
    </w:lvl>
    <w:lvl w:ilvl="1">
      <w:lvlJc w:val="left"/>
      <w:lvlText w:val="(%2)"/>
      <w:numFmt w:val="lowerLetter"/>
      <w:start w:val="31"/>
    </w:lvl>
  </w:abstractNum>
  <w:abstractNum w:abstractNumId="52">
    <w:nsid w:val="23F9C13C"/>
    <w:multiLevelType w:val="hybridMultilevel"/>
    <w:lvl w:ilvl="0">
      <w:lvlJc w:val="left"/>
      <w:lvlText w:val="(%1)"/>
      <w:numFmt w:val="lowerRoman"/>
      <w:start w:val="26"/>
    </w:lvl>
    <w:lvl w:ilvl="1">
      <w:lvlJc w:val="left"/>
      <w:lvlText w:val="(%2)"/>
      <w:numFmt w:val="lowerLetter"/>
      <w:start w:val="40"/>
    </w:lvl>
  </w:abstractNum>
  <w:abstractNum w:abstractNumId="53">
    <w:nsid w:val="649BB77C"/>
    <w:multiLevelType w:val="hybridMultilevel"/>
    <w:lvl w:ilvl="0">
      <w:lvlJc w:val="left"/>
      <w:lvlText w:val="(%1)"/>
      <w:numFmt w:val="lowerLetter"/>
      <w:start w:val="41"/>
    </w:lvl>
  </w:abstractNum>
  <w:abstractNum w:abstractNumId="54">
    <w:nsid w:val="275AC794"/>
    <w:multiLevelType w:val="hybridMultilevel"/>
    <w:lvl w:ilvl="0">
      <w:lvlJc w:val="left"/>
      <w:lvlText w:val="(%1)"/>
      <w:numFmt w:val="lowerLetter"/>
      <w:start w:val="53"/>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39" Type="http://schemas.openxmlformats.org/officeDocument/2006/relationships/hyperlink" Target="https://www.sec.gov/Archives/edgar/data/1133470/000110465925040249/tm251325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2025-06-09T15:21:09Z</dcterms:created>
  <dcterms:modified xsi:type="dcterms:W3CDTF">2025-06-09T15:21:09Z</dcterms:modified>
</cp:coreProperties>
</file>