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-224155</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30,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76"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62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0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r>
      <w:tr>
        <w:trPr>
          <w:trHeight w:val="164"/>
        </w:trPr>
        <w:tc>
          <w:tcPr>
            <w:tcW w:w="6620" w:type="dxa"/>
            <w:vAlign w:val="bottom"/>
            <w:gridSpan w:val="5"/>
          </w:tcPr>
          <w:p>
            <w:pPr>
              <w:ind w:left="150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00" w:type="dxa"/>
            <w:vAlign w:val="bottom"/>
          </w:tcPr>
          <w:p>
            <w:pPr>
              <w:jc w:val="center"/>
              <w:ind w:right="1344"/>
              <w:spacing w:after="0"/>
              <w:rPr>
                <w:sz w:val="20"/>
                <w:szCs w:val="20"/>
                <w:color w:val="auto"/>
              </w:rPr>
            </w:pPr>
            <w:r>
              <w:rPr>
                <w:rFonts w:ascii="Times New Roman" w:cs="Times New Roman" w:eastAsia="Times New Roman" w:hAnsi="Times New Roman"/>
                <w:sz w:val="13"/>
                <w:szCs w:val="13"/>
                <w:color w:val="auto"/>
                <w:w w:val="93"/>
              </w:rPr>
              <w:t>(Zip Code)</w:t>
            </w:r>
          </w:p>
        </w:tc>
      </w:tr>
      <w:tr>
        <w:trPr>
          <w:trHeight w:val="592"/>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tcPr>
          <w:p>
            <w:pPr>
              <w:jc w:val="center"/>
              <w:ind w:left="1304"/>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4"/>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3"/>
          </w:tcPr>
          <w:p>
            <w:pPr>
              <w:jc w:val="center"/>
              <w:ind w:left="784"/>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00" w:type="dxa"/>
            <w:vAlign w:val="bottom"/>
          </w:tcPr>
          <w:p>
            <w:pPr>
              <w:spacing w:after="0"/>
              <w:rPr>
                <w:sz w:val="14"/>
                <w:szCs w:val="14"/>
                <w:color w:val="auto"/>
              </w:rPr>
            </w:pPr>
          </w:p>
        </w:tc>
      </w:tr>
      <w:tr>
        <w:trPr>
          <w:trHeight w:val="511"/>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3"/>
          </w:tcPr>
          <w:p>
            <w:pPr>
              <w:jc w:val="center"/>
              <w:ind w:left="76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00" w:type="dxa"/>
            <w:vAlign w:val="bottom"/>
          </w:tcPr>
          <w:p>
            <w:pPr>
              <w:spacing w:after="0"/>
              <w:rPr>
                <w:sz w:val="24"/>
                <w:szCs w:val="24"/>
                <w:color w:val="auto"/>
              </w:rPr>
            </w:pPr>
          </w:p>
        </w:tc>
      </w:tr>
      <w:tr>
        <w:trPr>
          <w:trHeight w:val="164"/>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80" w:type="dxa"/>
            <w:vAlign w:val="bottom"/>
            <w:gridSpan w:val="4"/>
          </w:tcPr>
          <w:p>
            <w:pPr>
              <w:jc w:val="center"/>
              <w:ind w:right="268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r>
      <w:tr>
        <w:trPr>
          <w:trHeight w:val="455"/>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0"/>
        </w:trPr>
        <w:tc>
          <w:tcPr>
            <w:tcW w:w="27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Title of each class</w:t>
            </w:r>
          </w:p>
        </w:tc>
        <w:tc>
          <w:tcPr>
            <w:tcW w:w="388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color w:val="auto"/>
              </w:rPr>
              <w:t>Trading Symbol(s)</w:t>
            </w:r>
          </w:p>
        </w:tc>
        <w:tc>
          <w:tcPr>
            <w:tcW w:w="3600" w:type="dxa"/>
            <w:vAlign w:val="bottom"/>
          </w:tcPr>
          <w:p>
            <w:pPr>
              <w:jc w:val="center"/>
              <w:ind w:right="284"/>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3600" w:type="dxa"/>
            <w:vAlign w:val="bottom"/>
          </w:tcPr>
          <w:p>
            <w:pPr>
              <w:spacing w:after="0"/>
              <w:rPr>
                <w:sz w:val="3"/>
                <w:szCs w:val="3"/>
                <w:color w:val="auto"/>
              </w:rPr>
            </w:pPr>
          </w:p>
        </w:tc>
      </w:tr>
      <w:tr>
        <w:trPr>
          <w:trHeight w:val="210"/>
        </w:trPr>
        <w:tc>
          <w:tcPr>
            <w:tcW w:w="2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center"/>
              <w:ind w:right="284"/>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00" w:lineRule="exact"/>
        <w:rPr>
          <w:sz w:val="24"/>
          <w:szCs w:val="24"/>
          <w:color w:val="auto"/>
        </w:rPr>
      </w:pPr>
    </w:p>
    <w:p>
      <w:pPr>
        <w:ind w:right="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44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2" w:lineRule="exact"/>
        <w:rPr>
          <w:sz w:val="24"/>
          <w:szCs w:val="24"/>
          <w:color w:val="auto"/>
        </w:rPr>
      </w:pPr>
    </w:p>
    <w:p>
      <w:pPr>
        <w:ind w:right="2020"/>
        <w:spacing w:after="0" w:line="2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April 30, 2022 was 17,742,140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201295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252730</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64135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2" w:lineRule="exact"/>
        <w:rPr>
          <w:sz w:val="20"/>
          <w:szCs w:val="20"/>
          <w:color w:val="auto"/>
        </w:rPr>
      </w:pPr>
    </w:p>
    <w:p>
      <w:pPr>
        <w:ind w:left="40" w:right="59" w:firstLine="202"/>
        <w:spacing w:after="0" w:line="250" w:lineRule="auto"/>
        <w:rPr>
          <w:sz w:val="20"/>
          <w:szCs w:val="20"/>
          <w:color w:val="auto"/>
        </w:rPr>
      </w:pPr>
      <w:r>
        <w:rPr>
          <w:rFonts w:ascii="Times New Roman" w:cs="Times New Roman" w:eastAsia="Times New Roman" w:hAnsi="Times New Roman"/>
          <w:sz w:val="17"/>
          <w:szCs w:val="17"/>
          <w:color w:val="auto"/>
        </w:rPr>
        <w:t>This Quarterly Report on Form 10-Q, including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80" w:lineRule="exact"/>
        <w:rPr>
          <w:sz w:val="20"/>
          <w:szCs w:val="20"/>
          <w:color w:val="auto"/>
        </w:rPr>
      </w:pPr>
    </w:p>
    <w:p>
      <w:pPr>
        <w:ind w:left="40" w:right="59" w:firstLine="256"/>
        <w:spacing w:after="0" w:line="249"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of our future management team to work together successfully; the impact of Project Uno initiatives on our business, results of operations, and financial condition, including uncertainty as to whether the desired effects will be achieved;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increases in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including personnel that have not yet been hired, and the ability of our future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00" w:lineRule="exact"/>
        <w:rPr>
          <w:sz w:val="20"/>
          <w:szCs w:val="20"/>
          <w:color w:val="auto"/>
        </w:rPr>
      </w:pPr>
    </w:p>
    <w:p>
      <w:pPr>
        <w:spacing w:after="0" w:line="251" w:lineRule="exact"/>
        <w:rPr>
          <w:sz w:val="20"/>
          <w:szCs w:val="20"/>
          <w:color w:val="auto"/>
        </w:rPr>
      </w:pPr>
    </w:p>
    <w:p>
      <w:pPr>
        <w:ind w:left="40" w:right="59" w:firstLine="256"/>
        <w:spacing w:after="0" w:line="256"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2021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79"/>
        <w:spacing w:after="0" w:line="281" w:lineRule="auto"/>
        <w:rPr>
          <w:sz w:val="20"/>
          <w:szCs w:val="20"/>
          <w:color w:val="auto"/>
        </w:rPr>
      </w:pPr>
      <w:r>
        <w:rPr>
          <w:rFonts w:ascii="Times New Roman" w:cs="Times New Roman" w:eastAsia="Times New Roman" w:hAnsi="Times New Roman"/>
          <w:sz w:val="17"/>
          <w:szCs w:val="17"/>
          <w:color w:val="auto"/>
        </w:rPr>
        <w:t>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30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53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5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Consolidated Condensed Balance Sheets – April 30, 2022 and October 31,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 xml:space="preserve">Consolidated Condensed Statements of Operations – Three </w:t>
            </w:r>
            <w:r>
              <w:rPr>
                <w:rFonts w:ascii="Times New Roman" w:cs="Times New Roman" w:eastAsia="Times New Roman" w:hAnsi="Times New Roman"/>
                <w:sz w:val="17"/>
                <w:szCs w:val="17"/>
                <w:color w:val="0000EE"/>
              </w:rPr>
              <w:t>and Six</w:t>
            </w:r>
            <w:r>
              <w:rPr>
                <w:rFonts w:ascii="Times New Roman" w:cs="Times New Roman" w:eastAsia="Times New Roman" w:hAnsi="Times New Roman"/>
                <w:sz w:val="16"/>
                <w:szCs w:val="16"/>
                <w:color w:val="0000EE"/>
              </w:rPr>
              <w:t xml:space="preserve"> Months Ended April 30, 2022 and 2021</w:t>
            </w:r>
          </w:p>
        </w:tc>
        <w:tc>
          <w:tcPr>
            <w:tcW w:w="6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Consolidated Condensed Statements of Cash Flows –Six Months Ended April 30, 2022 and 2021</w:t>
            </w:r>
          </w:p>
        </w:tc>
        <w:tc>
          <w:tcPr>
            <w:tcW w:w="142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Consolidated Condensed Statements of Shareholders’ Equity – Three and Six Months Ended April 30, 2022 and 2021</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Notes to Consolidated Condensed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90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4"/>
              </w:rPr>
              <w:t>Item 5.</w:t>
            </w: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9"/>
        </w:trPr>
        <w:tc>
          <w:tcPr>
            <w:tcW w:w="52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6.</w:t>
            </w:r>
          </w:p>
        </w:tc>
        <w:tc>
          <w:tcPr>
            <w:tcW w:w="160" w:type="dxa"/>
            <w:vAlign w:val="bottom"/>
          </w:tcPr>
          <w:p>
            <w:pPr>
              <w:spacing w:after="0"/>
              <w:rPr>
                <w:sz w:val="24"/>
                <w:szCs w:val="24"/>
                <w:color w:val="auto"/>
              </w:rPr>
            </w:pPr>
          </w:p>
        </w:tc>
        <w:tc>
          <w:tcPr>
            <w:tcW w:w="772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4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704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6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$4,569 (2022) and $4,816 (2021)</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to suppliers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Limoneira Company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44,745</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468,292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to growers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payable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pursuant to credit facilities, long-term</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 shares authorized; 17,742 and 17,686 shares</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April 30, 2022 and October 31, 2021, respectively)</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223,767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226,883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468,292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445,402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7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condensed financial statements.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276,821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605,510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497,399</w:t>
            </w:r>
          </w:p>
        </w:tc>
        <w:tc>
          <w:tcPr>
            <w:tcW w:w="2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254,221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570,541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456,960</w:t>
            </w:r>
          </w:p>
        </w:tc>
        <w:tc>
          <w:tcPr>
            <w:tcW w:w="20" w:type="dxa"/>
            <w:vAlign w:val="bottom"/>
            <w:tcBorders>
              <w:bottom w:val="single" w:sz="8" w:color="CCEEFF"/>
            </w:tcBorders>
          </w:tcPr>
          <w:p>
            <w:pPr>
              <w:spacing w:after="0"/>
              <w:rPr>
                <w:sz w:val="18"/>
                <w:szCs w:val="18"/>
                <w:color w:val="auto"/>
              </w:rPr>
            </w:pP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40,439</w:t>
            </w:r>
          </w:p>
        </w:tc>
        <w:tc>
          <w:tcPr>
            <w:tcW w:w="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27,857</w:t>
            </w:r>
          </w:p>
        </w:tc>
        <w:tc>
          <w:tcPr>
            <w:tcW w:w="20" w:type="dxa"/>
            <w:vAlign w:val="bottom"/>
          </w:tcPr>
          <w:p>
            <w:pPr>
              <w:spacing w:after="0"/>
              <w:rPr>
                <w:sz w:val="18"/>
                <w:szCs w:val="18"/>
                <w:color w:val="auto"/>
              </w:rPr>
            </w:pPr>
          </w:p>
        </w:tc>
      </w:tr>
      <w:tr>
        <w:trPr>
          <w:trHeight w:val="243"/>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charges related to RFG Florida facility closure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Temecula packinghouse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net gain (loss) on Limoneira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shd w:val="clear" w:color="auto" w:fill="CCEEFF"/>
          </w:tcPr>
          <w:p>
            <w:pPr>
              <w:spacing w:after="0"/>
              <w:rPr>
                <w:sz w:val="18"/>
                <w:szCs w:val="18"/>
                <w:color w:val="auto"/>
              </w:rPr>
            </w:pPr>
          </w:p>
        </w:tc>
      </w:tr>
      <w:tr>
        <w:trPr>
          <w:trHeight w:val="178"/>
        </w:trPr>
        <w:tc>
          <w:tcPr>
            <w:tcW w:w="51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Income (loss) before income taxes and loss from unconsolidated</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entities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unconsolidated entities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Add: Net loss attributable to noncontrolling interest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CCEEFF"/>
            </w:tcBorders>
          </w:tcPr>
          <w:p>
            <w:pPr>
              <w:spacing w:after="0"/>
              <w:rPr>
                <w:sz w:val="18"/>
                <w:szCs w:val="18"/>
                <w:color w:val="auto"/>
              </w:rPr>
            </w:pPr>
          </w:p>
        </w:tc>
      </w:tr>
      <w:tr>
        <w:trPr>
          <w:trHeight w:val="209"/>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 w:type="dxa"/>
            <w:vAlign w:val="bottom"/>
          </w:tcPr>
          <w:p>
            <w:pPr>
              <w:spacing w:after="0"/>
              <w:rPr>
                <w:sz w:val="22"/>
                <w:szCs w:val="22"/>
                <w:color w:val="auto"/>
              </w:rPr>
            </w:pPr>
          </w:p>
        </w:tc>
      </w:tr>
      <w:tr>
        <w:trPr>
          <w:trHeight w:val="196"/>
        </w:trPr>
        <w:tc>
          <w:tcPr>
            <w:tcW w:w="510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6"/>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20" w:type="dxa"/>
            <w:vAlign w:val="bottom"/>
            <w:tcBorders>
              <w:bottom w:val="single" w:sz="8" w:color="CCEEFF"/>
            </w:tcBorders>
          </w:tcPr>
          <w:p>
            <w:pPr>
              <w:spacing w:after="0"/>
              <w:rPr>
                <w:sz w:val="22"/>
                <w:szCs w:val="22"/>
                <w:color w:val="auto"/>
              </w:rPr>
            </w:pPr>
          </w:p>
        </w:tc>
      </w:tr>
      <w:tr>
        <w:trPr>
          <w:trHeight w:val="197"/>
        </w:trPr>
        <w:tc>
          <w:tcPr>
            <w:tcW w:w="510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17,659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17,668</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8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(4,436)</w:t>
            </w:r>
          </w:p>
        </w:tc>
        <w:tc>
          <w:tcPr>
            <w:tcW w:w="1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14,031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 from unconsolidated entities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net loss (gain) on Limoneira shares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(7,095)</w:t>
            </w:r>
          </w:p>
        </w:tc>
        <w:tc>
          <w:tcPr>
            <w:tcW w:w="0" w:type="dxa"/>
            <w:vAlign w:val="bottom"/>
          </w:tcPr>
          <w:p>
            <w:pPr>
              <w:spacing w:after="0"/>
              <w:rPr>
                <w:sz w:val="1"/>
                <w:szCs w:val="1"/>
                <w:color w:val="auto"/>
              </w:rPr>
            </w:pPr>
          </w:p>
        </w:tc>
      </w:tr>
      <w:tr>
        <w:trPr>
          <w:trHeight w:val="148"/>
        </w:trPr>
        <w:tc>
          <w:tcPr>
            <w:tcW w:w="6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and non-cash charges related to closure of RFG Florida facility</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(24,287)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(26,400)</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(12,950)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(11,579)</w:t>
            </w:r>
          </w:p>
        </w:tc>
        <w:tc>
          <w:tcPr>
            <w:tcW w:w="0" w:type="dxa"/>
            <w:vAlign w:val="bottom"/>
          </w:tcPr>
          <w:p>
            <w:pPr>
              <w:spacing w:after="0"/>
              <w:rPr>
                <w:sz w:val="1"/>
                <w:szCs w:val="1"/>
                <w:color w:val="auto"/>
              </w:rPr>
            </w:pPr>
          </w:p>
        </w:tc>
      </w:tr>
      <w:tr>
        <w:trPr>
          <w:trHeight w:val="149"/>
        </w:trPr>
        <w:tc>
          <w:tcPr>
            <w:tcW w:w="6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148"/>
        </w:trPr>
        <w:tc>
          <w:tcPr>
            <w:tcW w:w="6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(5,126)</w:t>
            </w:r>
          </w:p>
        </w:tc>
        <w:tc>
          <w:tcPr>
            <w:tcW w:w="0" w:type="dxa"/>
            <w:vAlign w:val="bottom"/>
          </w:tcPr>
          <w:p>
            <w:pPr>
              <w:spacing w:after="0"/>
              <w:rPr>
                <w:sz w:val="1"/>
                <w:szCs w:val="1"/>
                <w:color w:val="auto"/>
              </w:rPr>
            </w:pPr>
          </w:p>
        </w:tc>
      </w:tr>
      <w:tr>
        <w:trPr>
          <w:trHeight w:val="148"/>
        </w:trPr>
        <w:tc>
          <w:tcPr>
            <w:tcW w:w="6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29,072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16,302</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21,332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(3,787)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(7,659)</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Infrastructure advance to tomato growers</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0" w:type="dxa"/>
            <w:vAlign w:val="bottom"/>
          </w:tcPr>
          <w:p>
            <w:pPr>
              <w:spacing w:after="0"/>
              <w:rPr>
                <w:sz w:val="1"/>
                <w:szCs w:val="1"/>
                <w:color w:val="auto"/>
              </w:rPr>
            </w:pPr>
          </w:p>
        </w:tc>
      </w:tr>
      <w:tr>
        <w:trPr>
          <w:trHeight w:val="142"/>
        </w:trPr>
        <w:tc>
          <w:tcPr>
            <w:tcW w:w="684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(3,787)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(8,985)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(20,330)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(20,343)</w:t>
            </w: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168,800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(164,600)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(150,900)</w:t>
            </w:r>
          </w:p>
        </w:tc>
        <w:tc>
          <w:tcPr>
            <w:tcW w:w="0" w:type="dxa"/>
            <w:vAlign w:val="bottom"/>
          </w:tcPr>
          <w:p>
            <w:pPr>
              <w:spacing w:after="0"/>
              <w:rPr>
                <w:sz w:val="1"/>
                <w:szCs w:val="1"/>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48"/>
        </w:trPr>
        <w:tc>
          <w:tcPr>
            <w:tcW w:w="6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14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(17,134)</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411</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3,266</w:t>
            </w:r>
          </w:p>
        </w:tc>
        <w:tc>
          <w:tcPr>
            <w:tcW w:w="3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5,582</w:t>
            </w:r>
          </w:p>
        </w:tc>
        <w:tc>
          <w:tcPr>
            <w:tcW w:w="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4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878</w:t>
            </w:r>
          </w:p>
        </w:tc>
        <w:tc>
          <w:tcPr>
            <w:tcW w:w="3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522</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CONDENSED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5"/>
        </w:trPr>
        <w:tc>
          <w:tcPr>
            <w:tcW w:w="4240" w:type="dxa"/>
            <w:vAlign w:val="bottom"/>
          </w:tcPr>
          <w:p>
            <w:pPr>
              <w:spacing w:after="0"/>
              <w:rPr>
                <w:sz w:val="13"/>
                <w:szCs w:val="13"/>
                <w:color w:val="auto"/>
              </w:rPr>
            </w:pP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3"/>
                <w:szCs w:val="13"/>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28"/>
        </w:trPr>
        <w:tc>
          <w:tcPr>
            <w:tcW w:w="424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1"/>
                <w:szCs w:val="11"/>
                <w:color w:val="auto"/>
              </w:rPr>
            </w:pPr>
          </w:p>
        </w:tc>
        <w:tc>
          <w:tcPr>
            <w:tcW w:w="5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4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2020</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89,512</w:t>
            </w:r>
          </w:p>
        </w:tc>
        <w:tc>
          <w:tcPr>
            <w:tcW w:w="3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256,002</w:t>
            </w: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 equity awards</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(467)</w:t>
            </w: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907</w:t>
            </w: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 contribution</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5,277</w:t>
            </w:r>
          </w:p>
        </w:tc>
      </w:tr>
      <w:tr>
        <w:trPr>
          <w:trHeight w:val="168"/>
        </w:trPr>
        <w:tc>
          <w:tcPr>
            <w:tcW w:w="42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2021</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17,686</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165,487</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94,789</w:t>
            </w:r>
          </w:p>
        </w:tc>
        <w:tc>
          <w:tcPr>
            <w:tcW w:w="1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1,432</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261,726</w:t>
            </w:r>
          </w:p>
        </w:tc>
      </w:tr>
      <w:tr>
        <w:trPr>
          <w:trHeight w:val="115"/>
        </w:trPr>
        <w:tc>
          <w:tcPr>
            <w:tcW w:w="42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Stock compensation expense</w:t>
            </w: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1,357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1,357</w:t>
            </w:r>
          </w:p>
        </w:tc>
      </w:tr>
      <w:tr>
        <w:trPr>
          <w:trHeight w:val="117"/>
        </w:trPr>
        <w:tc>
          <w:tcPr>
            <w:tcW w:w="42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awards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(135)</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35"/>
        </w:trPr>
        <w:tc>
          <w:tcPr>
            <w:tcW w:w="4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 contribution</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4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8,841</w:t>
            </w:r>
          </w:p>
        </w:tc>
      </w:tr>
      <w:tr>
        <w:trPr>
          <w:trHeight w:val="128"/>
        </w:trPr>
        <w:tc>
          <w:tcPr>
            <w:tcW w:w="42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2021</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17,684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166,709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103,630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271,742</w:t>
            </w:r>
          </w:p>
        </w:tc>
      </w:tr>
      <w:tr>
        <w:trPr>
          <w:trHeight w:val="20"/>
        </w:trPr>
        <w:tc>
          <w:tcPr>
            <w:tcW w:w="4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5"/>
        </w:trPr>
        <w:tc>
          <w:tcPr>
            <w:tcW w:w="4220" w:type="dxa"/>
            <w:vAlign w:val="bottom"/>
          </w:tcPr>
          <w:p>
            <w:pPr>
              <w:spacing w:after="0"/>
              <w:rPr>
                <w:sz w:val="13"/>
                <w:szCs w:val="13"/>
                <w:color w:val="auto"/>
              </w:rPr>
            </w:pPr>
          </w:p>
        </w:tc>
        <w:tc>
          <w:tcPr>
            <w:tcW w:w="146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29"/>
        </w:trPr>
        <w:tc>
          <w:tcPr>
            <w:tcW w:w="4220" w:type="dxa"/>
            <w:vAlign w:val="bottom"/>
          </w:tcPr>
          <w:p>
            <w:pPr>
              <w:spacing w:after="0"/>
              <w:rPr>
                <w:sz w:val="11"/>
                <w:szCs w:val="11"/>
                <w:color w:val="auto"/>
              </w:rPr>
            </w:pPr>
          </w:p>
        </w:tc>
        <w:tc>
          <w:tcPr>
            <w:tcW w:w="70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80" w:type="dxa"/>
            <w:vAlign w:val="bottom"/>
          </w:tcPr>
          <w:p>
            <w:pPr>
              <w:spacing w:after="0"/>
              <w:rPr>
                <w:sz w:val="11"/>
                <w:szCs w:val="11"/>
                <w:color w:val="auto"/>
              </w:rPr>
            </w:pPr>
          </w:p>
        </w:tc>
        <w:tc>
          <w:tcPr>
            <w:tcW w:w="90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1"/>
                <w:szCs w:val="11"/>
                <w:color w:val="auto"/>
              </w:rPr>
            </w:pPr>
          </w:p>
        </w:tc>
        <w:tc>
          <w:tcPr>
            <w:tcW w:w="520" w:type="dxa"/>
            <w:vAlign w:val="bottom"/>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4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October 31, 2021</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17,686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168,133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57,364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1,368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226,883</w:t>
            </w:r>
          </w:p>
        </w:tc>
      </w:tr>
      <w:tr>
        <w:trPr>
          <w:trHeight w:val="135"/>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and income tax benefit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 of min. withholding of taxes on net share settlement of equity awards</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556</w:t>
            </w:r>
          </w:p>
        </w:tc>
      </w:tr>
      <w:tr>
        <w:trPr>
          <w:trHeight w:val="135"/>
        </w:trPr>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 contribution</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r>
      <w:tr>
        <w:trPr>
          <w:trHeight w:val="135"/>
        </w:trPr>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(4,043)</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(4,043)</w:t>
            </w:r>
          </w:p>
        </w:tc>
      </w:tr>
      <w:tr>
        <w:trPr>
          <w:trHeight w:val="169"/>
        </w:trPr>
        <w:tc>
          <w:tcPr>
            <w:tcW w:w="422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31, 2022</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17,716</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168,692</w:t>
            </w:r>
          </w:p>
        </w:tc>
        <w:tc>
          <w:tcPr>
            <w:tcW w:w="1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53,321</w:t>
            </w:r>
          </w:p>
        </w:tc>
        <w:tc>
          <w:tcPr>
            <w:tcW w:w="1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1,251</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223,282</w:t>
            </w:r>
          </w:p>
        </w:tc>
      </w:tr>
      <w:tr>
        <w:trPr>
          <w:trHeight w:val="115"/>
        </w:trPr>
        <w:tc>
          <w:tcPr>
            <w:tcW w:w="42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Stock compensation expense</w:t>
            </w: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812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812</w:t>
            </w:r>
          </w:p>
        </w:tc>
      </w:tr>
      <w:tr>
        <w:trPr>
          <w:trHeight w:val="135"/>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stock issued</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42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5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awards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35"/>
        </w:trPr>
        <w:tc>
          <w:tcPr>
            <w:tcW w:w="42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 contribution</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r>
      <w:tr>
        <w:trPr>
          <w:trHeight w:val="135"/>
        </w:trPr>
        <w:tc>
          <w:tcPr>
            <w:tcW w:w="4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(191)</w:t>
            </w:r>
          </w:p>
        </w:tc>
      </w:tr>
      <w:tr>
        <w:trPr>
          <w:trHeight w:val="128"/>
        </w:trPr>
        <w:tc>
          <w:tcPr>
            <w:tcW w:w="42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2022</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17,742</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169,453</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53,130</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1,166</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223,767</w:t>
            </w:r>
          </w:p>
        </w:tc>
      </w:tr>
      <w:tr>
        <w:trPr>
          <w:trHeight w:val="20"/>
        </w:trPr>
        <w:tc>
          <w:tcPr>
            <w:tcW w:w="4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Renaissance Food Group (RFG) and Calavo Foods.</w:t>
      </w:r>
    </w:p>
    <w:p>
      <w:pPr>
        <w:spacing w:after="0" w:line="188" w:lineRule="exact"/>
        <w:rPr>
          <w:sz w:val="20"/>
          <w:szCs w:val="20"/>
          <w:color w:val="auto"/>
        </w:rPr>
      </w:pPr>
    </w:p>
    <w:p>
      <w:pPr>
        <w:ind w:left="40" w:right="159" w:firstLine="259"/>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2021.</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right="99" w:firstLine="225"/>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issued ASU 2019-12, "Income Taxes (Topic 740): Simplifying the Accounting for Income Taxes," which amends and simplifies the accounting for income taxes by removing certain exceptions and providing new guidance to reduce complexity in certain aspects of the current guidance. This guidance was adopted by the Company during the first quarter of 2022 and did not impact the Company’s financial statements or related disclosures.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219" w:firstLine="259"/>
        <w:spacing w:after="0" w:line="254" w:lineRule="auto"/>
        <w:rPr>
          <w:sz w:val="20"/>
          <w:szCs w:val="20"/>
          <w:color w:val="auto"/>
        </w:rPr>
      </w:pPr>
      <w:r>
        <w:rPr>
          <w:rFonts w:ascii="Times New Roman" w:cs="Times New Roman" w:eastAsia="Times New Roman" w:hAnsi="Times New Roman"/>
          <w:sz w:val="18"/>
          <w:szCs w:val="18"/>
          <w:color w:val="auto"/>
        </w:rPr>
        <w:t>We report our operations in three different business segments: (1) Fresh products, (2) RFG, and (3) Calavo Foods. These three business segments are presented based on how information is used by our Chief Executive Officer (our Chief Operating Decision Maker) to measure performance and allocate resources. The Fresh products segment includes operations that involve the distribution of avocados and other fresh produce products. The RFG segment represents operations related to the manufacturing and distribution of fresh-cut fruit, fresh-cut vegetables, and prepared foods. The Calavo Foods segment represents operations related to the purchase, manufacturing, and distribution of prepared avocado products, including guacamole, and salsa. Selling, general and administrative expenses, as well as other non-operating income/expense items, are evaluated by our Chief Executive Officer in the aggregate. We do not allocate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assets, or specifically identify them, to our operating segments. The sales data in the following tables is presented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tcBorders>
              <w:bottom w:val="single" w:sz="8" w:color="auto"/>
            </w:tcBorders>
            <w:gridSpan w:val="20"/>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April 30, 2022</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60" w:type="dxa"/>
            <w:vAlign w:val="bottom"/>
            <w:tcBorders>
              <w:bottom w:val="single" w:sz="8" w:color="auto"/>
            </w:tcBorders>
            <w:gridSpan w:val="2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April 30,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RFG</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$ 191,754</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$ 191,754</w:t>
            </w: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$ 146,359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146,359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17,353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17,353</w:t>
            </w:r>
          </w:p>
        </w:tc>
        <w:tc>
          <w:tcPr>
            <w:tcW w:w="40" w:type="dxa"/>
            <w:vAlign w:val="bottom"/>
          </w:tcPr>
          <w:p>
            <w:pPr>
              <w:spacing w:after="0"/>
              <w:rPr>
                <w:sz w:val="17"/>
                <w:szCs w:val="17"/>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13,433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2,743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8</w:t>
            </w:r>
          </w:p>
        </w:tc>
        <w:tc>
          <w:tcPr>
            <w:tcW w:w="40" w:type="dxa"/>
            <w:vAlign w:val="bottom"/>
          </w:tcPr>
          <w:p>
            <w:pPr>
              <w:spacing w:after="0"/>
              <w:rPr>
                <w:sz w:val="17"/>
                <w:szCs w:val="17"/>
                <w:color w:val="auto"/>
              </w:rPr>
            </w:pPr>
          </w:p>
        </w:tc>
        <w:tc>
          <w:tcPr>
            <w:tcW w:w="7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48,829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26,777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26,777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27,380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20,809</w:t>
            </w:r>
          </w:p>
        </w:tc>
        <w:tc>
          <w:tcPr>
            <w:tcW w:w="40" w:type="dxa"/>
            <w:vAlign w:val="bottom"/>
            <w:shd w:val="clear" w:color="auto" w:fill="CCEEFF"/>
          </w:tcPr>
          <w:p>
            <w:pPr>
              <w:spacing w:after="0"/>
              <w:rPr>
                <w:sz w:val="17"/>
                <w:szCs w:val="17"/>
                <w:color w:val="auto"/>
              </w:rPr>
            </w:pP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20,915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40" w:type="dxa"/>
            <w:vAlign w:val="bottom"/>
          </w:tcPr>
          <w:p>
            <w:pPr>
              <w:spacing w:after="0"/>
              <w:rPr>
                <w:sz w:val="17"/>
                <w:szCs w:val="17"/>
                <w:color w:val="auto"/>
              </w:rPr>
            </w:pP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211,858</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102,986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336,056</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162,565</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21,611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281,187</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(861)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(1,397)</w:t>
            </w:r>
          </w:p>
        </w:tc>
        <w:tc>
          <w:tcPr>
            <w:tcW w:w="860" w:type="dxa"/>
            <w:vAlign w:val="bottom"/>
            <w:gridSpan w:val="8"/>
          </w:tcPr>
          <w:p>
            <w:pPr>
              <w:jc w:val="right"/>
              <w:ind w:right="40"/>
              <w:spacing w:after="0"/>
              <w:rPr>
                <w:sz w:val="20"/>
                <w:szCs w:val="20"/>
                <w:color w:val="auto"/>
              </w:rPr>
            </w:pPr>
            <w:r>
              <w:rPr>
                <w:rFonts w:ascii="Times New Roman" w:cs="Times New Roman" w:eastAsia="Times New Roman" w:hAnsi="Times New Roman"/>
                <w:sz w:val="16"/>
                <w:szCs w:val="16"/>
                <w:color w:val="auto"/>
              </w:rPr>
              <w:t>(3,085)</w:t>
            </w:r>
          </w:p>
        </w:tc>
        <w:tc>
          <w:tcPr>
            <w:tcW w:w="880" w:type="dxa"/>
            <w:vAlign w:val="bottom"/>
            <w:gridSpan w:val="8"/>
          </w:tcPr>
          <w:p>
            <w:pPr>
              <w:jc w:val="right"/>
              <w:ind w:right="60"/>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(2,476)</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(1,067)</w:t>
            </w:r>
          </w:p>
        </w:tc>
        <w:tc>
          <w:tcPr>
            <w:tcW w:w="86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(1,553)</w:t>
            </w:r>
          </w:p>
        </w:tc>
        <w:tc>
          <w:tcPr>
            <w:tcW w:w="88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(1,890)</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$ 210,511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6"/>
              </w:rPr>
              <w:t>$ 102,159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9"/>
              </w:rPr>
              <w:t>$ 18,748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6"/>
              </w:rPr>
              <w:t>$ 331,418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$ 160,969</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96,289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99"/>
              </w:rPr>
              <w:t>$ 19,563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0"/>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April 30, 2022</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2"/>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Six months ended April 30,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RFG</w:t>
            </w:r>
          </w:p>
        </w:tc>
        <w:tc>
          <w:tcPr>
            <w:tcW w:w="80" w:type="dxa"/>
            <w:vAlign w:val="bottom"/>
          </w:tcPr>
          <w:p>
            <w:pPr>
              <w:spacing w:after="0"/>
              <w:rPr>
                <w:sz w:val="23"/>
                <w:szCs w:val="23"/>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Fresh</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Calavo</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Foods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$ 342,258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$ 342,258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$ 250,130</w:t>
            </w:r>
          </w:p>
        </w:tc>
        <w:tc>
          <w:tcPr>
            <w:tcW w:w="40" w:type="dxa"/>
            <w:vAlign w:val="bottom"/>
            <w:shd w:val="clear" w:color="auto" w:fill="CCEEFF"/>
          </w:tcPr>
          <w:p>
            <w:pPr>
              <w:spacing w:after="0"/>
              <w:rPr>
                <w:sz w:val="17"/>
                <w:szCs w:val="17"/>
                <w:color w:val="auto"/>
              </w:rPr>
            </w:pPr>
          </w:p>
        </w:tc>
        <w:tc>
          <w:tcPr>
            <w:tcW w:w="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250,130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27,340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27,340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22,619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5,397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454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Fresh-cut fruit</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92,202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Fresh-cut vegetables</w:t>
            </w:r>
          </w:p>
        </w:tc>
        <w:tc>
          <w:tcPr>
            <w:tcW w:w="8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54,863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54,863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Prepared products</w:t>
            </w: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52,198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80" w:type="dxa"/>
            <w:vAlign w:val="bottom"/>
          </w:tcPr>
          <w:p>
            <w:pPr>
              <w:spacing w:after="0"/>
              <w:rPr>
                <w:sz w:val="17"/>
                <w:szCs w:val="17"/>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375,414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40,043</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614,720</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278,600</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188,262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39,161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506,023</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(1,832)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(1,340)</w:t>
            </w:r>
          </w:p>
        </w:tc>
        <w:tc>
          <w:tcPr>
            <w:tcW w:w="60" w:type="dxa"/>
            <w:vAlign w:val="bottom"/>
          </w:tcPr>
          <w:p>
            <w:pPr>
              <w:spacing w:after="0"/>
              <w:rPr>
                <w:sz w:val="17"/>
                <w:szCs w:val="17"/>
                <w:color w:val="auto"/>
              </w:rPr>
            </w:pPr>
          </w:p>
        </w:tc>
        <w:tc>
          <w:tcPr>
            <w:tcW w:w="700" w:type="dxa"/>
            <w:vAlign w:val="bottom"/>
            <w:gridSpan w:val="5"/>
          </w:tcPr>
          <w:p>
            <w:pPr>
              <w:jc w:val="right"/>
              <w:ind w:right="8"/>
              <w:spacing w:after="0"/>
              <w:rPr>
                <w:sz w:val="20"/>
                <w:szCs w:val="20"/>
                <w:color w:val="auto"/>
              </w:rPr>
            </w:pPr>
            <w:r>
              <w:rPr>
                <w:rFonts w:ascii="Times New Roman" w:cs="Times New Roman" w:eastAsia="Times New Roman" w:hAnsi="Times New Roman"/>
                <w:sz w:val="16"/>
                <w:szCs w:val="16"/>
                <w:color w:val="auto"/>
              </w:rPr>
              <w:t>(3,100)</w:t>
            </w:r>
          </w:p>
        </w:tc>
        <w:tc>
          <w:tcPr>
            <w:tcW w:w="40" w:type="dxa"/>
            <w:vAlign w:val="bottom"/>
          </w:tcPr>
          <w:p>
            <w:pPr>
              <w:spacing w:after="0"/>
              <w:rPr>
                <w:sz w:val="17"/>
                <w:szCs w:val="17"/>
                <w:color w:val="auto"/>
              </w:rPr>
            </w:pPr>
          </w:p>
        </w:tc>
        <w:tc>
          <w:tcPr>
            <w:tcW w:w="82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40" w:type="dxa"/>
            <w:vAlign w:val="bottom"/>
          </w:tcPr>
          <w:p>
            <w:pPr>
              <w:spacing w:after="0"/>
              <w:rPr>
                <w:sz w:val="17"/>
                <w:szCs w:val="17"/>
                <w:color w:val="auto"/>
              </w:rPr>
            </w:pPr>
          </w:p>
        </w:tc>
        <w:tc>
          <w:tcPr>
            <w:tcW w:w="78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(1,455)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(1,667)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(5,089)</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inter-company eliminations</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(1,848)</w:t>
            </w:r>
          </w:p>
        </w:tc>
        <w:tc>
          <w:tcPr>
            <w:tcW w:w="40" w:type="dxa"/>
            <w:vAlign w:val="bottom"/>
            <w:shd w:val="clear" w:color="auto" w:fill="CCEEFF"/>
          </w:tcPr>
          <w:p>
            <w:pPr>
              <w:spacing w:after="0"/>
              <w:rPr>
                <w:sz w:val="17"/>
                <w:szCs w:val="17"/>
                <w:color w:val="auto"/>
              </w:rPr>
            </w:pPr>
          </w:p>
        </w:tc>
        <w:tc>
          <w:tcPr>
            <w:tcW w:w="8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(2,292)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(3,535)</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6"/>
              </w:rPr>
              <w:t>$ 372,492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6"/>
              </w:rPr>
              <w:t>$ 197,923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6"/>
              </w:rPr>
              <w:t>$ 35,095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9"/>
              </w:rPr>
              <w:t>$ 605,510</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$ 275,902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color w:val="auto"/>
              </w:rPr>
              <w:t>$ 186,595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99"/>
              </w:rPr>
              <w:t>$ 34,902</w:t>
            </w:r>
          </w:p>
        </w:tc>
        <w:tc>
          <w:tcPr>
            <w:tcW w:w="8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Fresh</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RFG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20" w:type="dxa"/>
            <w:vAlign w:val="bottom"/>
          </w:tcPr>
          <w:p>
            <w:pPr>
              <w:spacing w:after="0"/>
              <w:rPr>
                <w:sz w:val="24"/>
                <w:szCs w:val="24"/>
                <w:color w:val="auto"/>
              </w:rPr>
            </w:pPr>
          </w:p>
        </w:tc>
        <w:tc>
          <w:tcPr>
            <w:tcW w:w="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Interco.</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7"/>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5"/>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Foods</w:t>
            </w:r>
          </w:p>
        </w:tc>
        <w:tc>
          <w:tcPr>
            <w:tcW w:w="20" w:type="dxa"/>
            <w:vAlign w:val="bottom"/>
          </w:tcPr>
          <w:p>
            <w:pPr>
              <w:spacing w:after="0"/>
              <w:rPr>
                <w:sz w:val="12"/>
                <w:szCs w:val="12"/>
                <w:color w:val="auto"/>
              </w:rPr>
            </w:pPr>
          </w:p>
        </w:tc>
        <w:tc>
          <w:tcPr>
            <w:tcW w:w="82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Elimins.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gridSpan w:val="5"/>
          </w:tcPr>
          <w:p>
            <w:pPr>
              <w:spacing w:after="0"/>
              <w:rPr>
                <w:sz w:val="2"/>
                <w:szCs w:val="2"/>
                <w:color w:val="auto"/>
              </w:rPr>
            </w:pPr>
          </w:p>
        </w:tc>
        <w:tc>
          <w:tcPr>
            <w:tcW w:w="140" w:type="dxa"/>
            <w:vAlign w:val="bottom"/>
            <w:gridSpan w:val="3"/>
          </w:tcPr>
          <w:p>
            <w:pPr>
              <w:spacing w:after="0"/>
              <w:rPr>
                <w:sz w:val="2"/>
                <w:szCs w:val="2"/>
                <w:color w:val="auto"/>
              </w:rPr>
            </w:pPr>
          </w:p>
        </w:tc>
        <w:tc>
          <w:tcPr>
            <w:tcW w:w="700" w:type="dxa"/>
            <w:vAlign w:val="bottom"/>
            <w:tcBorders>
              <w:bottom w:val="single" w:sz="8" w:color="auto"/>
            </w:tcBorders>
            <w:gridSpan w:val="6"/>
          </w:tcPr>
          <w:p>
            <w:pPr>
              <w:spacing w:after="0"/>
              <w:rPr>
                <w:sz w:val="2"/>
                <w:szCs w:val="2"/>
                <w:color w:val="auto"/>
              </w:rPr>
            </w:pPr>
          </w:p>
        </w:tc>
        <w:tc>
          <w:tcPr>
            <w:tcW w:w="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680" w:type="dxa"/>
            <w:vAlign w:val="bottom"/>
            <w:tcBorders>
              <w:bottom w:val="single" w:sz="8" w:color="auto"/>
            </w:tcBorders>
            <w:gridSpan w:val="3"/>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1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w:t>
            </w:r>
          </w:p>
        </w:tc>
        <w:tc>
          <w:tcPr>
            <w:tcW w:w="140" w:type="dxa"/>
            <w:vAlign w:val="bottom"/>
            <w:gridSpan w:val="3"/>
            <w:vMerge w:val="continue"/>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$ 210,997</w:t>
            </w:r>
          </w:p>
        </w:tc>
        <w:tc>
          <w:tcPr>
            <w:tcW w:w="100" w:type="dxa"/>
            <w:vAlign w:val="bottom"/>
          </w:tcPr>
          <w:p>
            <w:pPr>
              <w:spacing w:after="0"/>
              <w:rPr>
                <w:sz w:val="18"/>
                <w:szCs w:val="18"/>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$ 102,159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$ 19,815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(1,553)</w:t>
            </w:r>
          </w:p>
        </w:tc>
        <w:tc>
          <w:tcPr>
            <w:tcW w:w="80" w:type="dxa"/>
            <w:vAlign w:val="bottom"/>
          </w:tcPr>
          <w:p>
            <w:pPr>
              <w:spacing w:after="0"/>
              <w:rPr>
                <w:sz w:val="18"/>
                <w:szCs w:val="18"/>
                <w:color w:val="auto"/>
              </w:rPr>
            </w:pPr>
          </w:p>
        </w:tc>
        <w:tc>
          <w:tcPr>
            <w:tcW w:w="16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331,418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309,677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tcPr>
          <w:p>
            <w:pPr>
              <w:spacing w:after="0"/>
              <w:rPr>
                <w:sz w:val="21"/>
                <w:szCs w:val="21"/>
                <w:color w:val="auto"/>
              </w:rPr>
            </w:pPr>
          </w:p>
        </w:tc>
        <w:tc>
          <w:tcPr>
            <w:tcW w:w="160" w:type="dxa"/>
            <w:vAlign w:val="bottom"/>
            <w:tcBorders>
              <w:top w:val="single" w:sz="8" w:color="auto"/>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$ 161,686</w:t>
            </w:r>
          </w:p>
        </w:tc>
        <w:tc>
          <w:tcPr>
            <w:tcW w:w="1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$ 20,736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(1,890)</w:t>
            </w:r>
          </w:p>
        </w:tc>
        <w:tc>
          <w:tcPr>
            <w:tcW w:w="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276,821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146,678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94,001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254,221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Fresh</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Calavo</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Interco.</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6"/>
        </w:trPr>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8"/>
              </w:rPr>
              <w:t>products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RFG</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Foods</w:t>
            </w:r>
          </w:p>
        </w:tc>
        <w:tc>
          <w:tcPr>
            <w:tcW w:w="1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Elimins.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9"/>
                <w:szCs w:val="19"/>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40" w:type="dxa"/>
            <w:vAlign w:val="bottom"/>
            <w:gridSpan w:val="10"/>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2022</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197,923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605,510</w:t>
            </w:r>
          </w:p>
        </w:tc>
        <w:tc>
          <w:tcPr>
            <w:tcW w:w="20" w:type="dxa"/>
            <w:vAlign w:val="bottom"/>
          </w:tcPr>
          <w:p>
            <w:pPr>
              <w:spacing w:after="0"/>
              <w:rPr>
                <w:sz w:val="21"/>
                <w:szCs w:val="21"/>
                <w:color w:val="auto"/>
              </w:rPr>
            </w:pP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343,760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196,331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(2,938)</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570,541</w:t>
            </w:r>
          </w:p>
        </w:tc>
        <w:tc>
          <w:tcPr>
            <w:tcW w:w="20" w:type="dxa"/>
            <w:vAlign w:val="bottom"/>
            <w:shd w:val="clear" w:color="auto" w:fill="CCEEFF"/>
          </w:tcPr>
          <w:p>
            <w:pPr>
              <w:spacing w:after="0"/>
              <w:rPr>
                <w:sz w:val="21"/>
                <w:szCs w:val="21"/>
                <w:color w:val="auto"/>
              </w:rPr>
            </w:pPr>
          </w:p>
        </w:tc>
      </w:tr>
      <w:tr>
        <w:trPr>
          <w:trHeight w:val="249"/>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29,822</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34,969</w:t>
            </w:r>
          </w:p>
        </w:tc>
        <w:tc>
          <w:tcPr>
            <w:tcW w:w="20" w:type="dxa"/>
            <w:vAlign w:val="bottom"/>
            <w:tcBorders>
              <w:bottom w:val="single" w:sz="8" w:color="CCEEFF"/>
            </w:tcBorders>
          </w:tcPr>
          <w:p>
            <w:pPr>
              <w:spacing w:after="0"/>
              <w:rPr>
                <w:sz w:val="21"/>
                <w:szCs w:val="21"/>
                <w:color w:val="auto"/>
              </w:rPr>
            </w:pPr>
          </w:p>
        </w:tc>
      </w:tr>
      <w:tr>
        <w:trPr>
          <w:trHeight w:val="197"/>
        </w:trPr>
        <w:tc>
          <w:tcPr>
            <w:tcW w:w="4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186,595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497,399</w:t>
            </w:r>
          </w:p>
        </w:tc>
        <w:tc>
          <w:tcPr>
            <w:tcW w:w="20" w:type="dxa"/>
            <w:vAlign w:val="bottom"/>
            <w:shd w:val="clear" w:color="auto" w:fill="CCEEFF"/>
          </w:tcPr>
          <w:p>
            <w:pPr>
              <w:spacing w:after="0"/>
              <w:rPr>
                <w:sz w:val="21"/>
                <w:szCs w:val="2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184,329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(3,535)</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456,960</w:t>
            </w:r>
          </w:p>
        </w:tc>
        <w:tc>
          <w:tcPr>
            <w:tcW w:w="20" w:type="dxa"/>
            <w:vAlign w:val="bottom"/>
          </w:tcPr>
          <w:p>
            <w:pPr>
              <w:spacing w:after="0"/>
              <w:rPr>
                <w:sz w:val="21"/>
                <w:szCs w:val="21"/>
                <w:color w:val="auto"/>
              </w:rPr>
            </w:pPr>
          </w:p>
        </w:tc>
      </w:tr>
      <w:tr>
        <w:trPr>
          <w:trHeight w:val="209"/>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180"/>
        <w:spacing w:after="0" w:line="256" w:lineRule="auto"/>
        <w:rPr>
          <w:sz w:val="20"/>
          <w:szCs w:val="20"/>
          <w:color w:val="auto"/>
        </w:rPr>
      </w:pPr>
      <w:r>
        <w:rPr>
          <w:rFonts w:ascii="Times New Roman" w:cs="Times New Roman" w:eastAsia="Times New Roman" w:hAnsi="Times New Roman"/>
          <w:sz w:val="18"/>
          <w:szCs w:val="18"/>
          <w:color w:val="auto"/>
        </w:rPr>
        <w:t>For the three months ended April 30, 2022 and 2021, intercompany sales and cost of sales of $0.5 million and $0.7 million between Fresh products and RFG were eliminated. For the three months ended April 30, 2022 and 2021, intercompany sales and cost of sales of $1.1 million and $1.2 million between Calavo Foods and RFG were eliminated. For the six months ended April 30, 2022 and 2021, intercompany sales and cost of sales of $1.1 million and $1.2 million between Fresh products and RFG were eliminated. For the six months ended April 30, 2022 and 2021, intercompany sales and cost of sales of $1.8 million and $2.3 million between Calavo Foods and RFG were eliminated.</w:t>
      </w:r>
    </w:p>
    <w:p>
      <w:pPr>
        <w:spacing w:after="0" w:line="12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$8.3 million, and $8.8 million for the three months ended April 30, 2022 and 2021. Sales to customers outside the U.S. were approximately $15.4 million, and $16.9 million for the six months ended April 30, 2022 and 2021.</w:t>
      </w:r>
    </w:p>
    <w:p>
      <w:pPr>
        <w:spacing w:after="0" w:line="176" w:lineRule="exact"/>
        <w:rPr>
          <w:sz w:val="20"/>
          <w:szCs w:val="20"/>
          <w:color w:val="auto"/>
        </w:rPr>
      </w:pPr>
    </w:p>
    <w:p>
      <w:pPr>
        <w:ind w:left="40" w:right="139" w:firstLine="270"/>
        <w:spacing w:after="0" w:line="253"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losses in the current quarter. These losses were due primarily to certain long-term net peso receivables. Foreign currency remeasurement losses, net of gains, for the three months ended April 30, 2022 and 2021 was $0.3 million and $0.5 million. Foreign currency remeasurement losses, net of gains, for the six months ended April 30, 2022 was $0.9 million. Foreign currency remeasurement gains, net of losses, for the six months ended April 30, 2021 was $0.6 million.</w:t>
      </w:r>
    </w:p>
    <w:p>
      <w:pPr>
        <w:spacing w:after="0" w:line="127" w:lineRule="exact"/>
        <w:rPr>
          <w:sz w:val="20"/>
          <w:szCs w:val="20"/>
          <w:color w:val="auto"/>
        </w:rPr>
      </w:pPr>
    </w:p>
    <w:p>
      <w:pPr>
        <w:ind w:left="40" w:right="839" w:firstLine="259"/>
        <w:spacing w:after="0" w:line="282" w:lineRule="auto"/>
        <w:rPr>
          <w:sz w:val="20"/>
          <w:szCs w:val="20"/>
          <w:color w:val="auto"/>
        </w:rPr>
      </w:pPr>
      <w:r>
        <w:rPr>
          <w:rFonts w:ascii="Times New Roman" w:cs="Times New Roman" w:eastAsia="Times New Roman" w:hAnsi="Times New Roman"/>
          <w:sz w:val="18"/>
          <w:szCs w:val="18"/>
          <w:color w:val="auto"/>
        </w:rPr>
        <w:t>Long-lived assets attributed to geographic areas as of April 30, 2022 and October 31, 2021, are as follows (in thousands):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2022</w:t>
            </w:r>
          </w:p>
        </w:tc>
        <w:tc>
          <w:tcPr>
            <w:tcW w:w="3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114,778</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34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118,280</w:t>
            </w:r>
          </w:p>
        </w:tc>
      </w:tr>
      <w:tr>
        <w:trPr>
          <w:trHeight w:val="873"/>
        </w:trPr>
        <w:tc>
          <w:tcPr>
            <w:tcW w:w="2820" w:type="dxa"/>
            <w:vAlign w:val="bottom"/>
          </w:tcPr>
          <w:p>
            <w:pPr>
              <w:spacing w:after="0"/>
              <w:rPr>
                <w:sz w:val="24"/>
                <w:szCs w:val="24"/>
                <w:color w:val="auto"/>
              </w:rPr>
            </w:pPr>
          </w:p>
        </w:tc>
        <w:tc>
          <w:tcPr>
            <w:tcW w:w="32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0"/>
        </w:trPr>
        <w:tc>
          <w:tcPr>
            <w:tcW w:w="28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Inventories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300"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$ 53,617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$0.4 million and $0.2 million in slow moving and obsolete packing supply inventory as of April 30, 2022 and October 31, 2021.</w:t>
      </w:r>
    </w:p>
    <w:p>
      <w:pPr>
        <w:spacing w:after="0" w:line="176"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119" w:firstLine="259"/>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months ended April 30, 2022 and 2021, the aggregate amount of avocados procured from entities owned or controlled by members of our Board of Directors was $1.4 million and $5.0 million. For the six months ended April 30, 2022 and 2021, the aggregate amount of avocados procured from entities owned or controlled by members of our Board of Directors was $1.6 million and $5.0 million. Amounts payable to these Board members were $0.5 million as of April 30, 2022. We did not have any amounts payable to these Board members as of October 31, 2021.</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Limoneira</w:t>
      </w:r>
    </w:p>
    <w:p>
      <w:pPr>
        <w:spacing w:after="0" w:line="227"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three months ended April 30, 2022 and 2021, we received $0.1 million as dividend income from Limoneira Company (Limoneira). During the six months ended April 30, 2022 and 2021, we received $0.2 million as dividend income from Limoneira. In addition, we lease office space from Limoneira for our corporate office. We paid rent expense to Limoneira totaling $0.1 million for the three months ended April 30, 2022 and 2021. We paid rent expense to Limoneira totaling $0.2 million for the six months ended April 30, 2022 and 2021. Harold Edwards, who resigned as a member of our Board of Directors in February 2022, is the Chief Executive Officer of Limoneira Company. As of April 30, 2022, we own approximately 9% of Limoneira’s outstanding shares. In February 2022, Limoneira ended its marketing agreement with Calavo. The termination of this agreement is not expected to have a significant effect on either sales or results of operations.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have an equal one-half ownership interest in Don Memo. Pursuant to a management service agreement, Belher, through its officers and employees, has day-to-day power and authority to manage the operations.</w:t>
      </w:r>
    </w:p>
    <w:p>
      <w:pPr>
        <w:spacing w:after="0" w:line="176"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As of April 30, 2022, and October 31, 2021, we had an investment of $3.8 million and $4.3 million,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April 30, 2022 and October 31, 2021, we had outstanding advances of $4.2 million and $4.2 million to Don Memo. In October 2020, we entered into an infrastructure loan agreement with Don Memo for up to $2.4 million secured by certain property and equipment of Don Memo. This infrastructure loan accrues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55" w:lineRule="auto"/>
        <w:rPr>
          <w:sz w:val="20"/>
          <w:szCs w:val="20"/>
          <w:color w:val="auto"/>
        </w:rPr>
      </w:pPr>
      <w:r>
        <w:rPr>
          <w:rFonts w:ascii="Times New Roman" w:cs="Times New Roman" w:eastAsia="Times New Roman" w:hAnsi="Times New Roman"/>
          <w:sz w:val="18"/>
          <w:szCs w:val="18"/>
          <w:color w:val="auto"/>
        </w:rPr>
        <w:t>interest at 7.25%. In October 2020, we funded $0.7 million related to this loan agreement, and we funded an additional $0.7 million, and $0.6 million in the first, and second quarters of fiscal 2021, for a total outstanding balance at April 30, 2022 of $2.0 million ($0.4 million is included in prepaids and other current assets and $1.6 million in other assets). This infrastructure loan agreement will mature in fiscal 2024. During the three months ended April 30, 2022 and 2021, we incurred $0.5 million and $0.4 million of cost of sales to Don Memo pursuant to our purchase consignment agreement. During the six months ended April 30, 2022 and 2021, we incurred $3.9 million and $3.9 million of cost of sales to Don Memo pursuant to our purchase consignment agreement.</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159" w:firstLine="259"/>
        <w:spacing w:after="0" w:line="252" w:lineRule="auto"/>
        <w:rPr>
          <w:sz w:val="20"/>
          <w:szCs w:val="20"/>
          <w:color w:val="auto"/>
        </w:rPr>
      </w:pPr>
      <w:r>
        <w:rPr>
          <w:rFonts w:ascii="Times New Roman" w:cs="Times New Roman" w:eastAsia="Times New Roman" w:hAnsi="Times New Roman"/>
          <w:sz w:val="18"/>
          <w:szCs w:val="18"/>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totaling $1.8 million and $4.5 million as of April 30, 2022 and October 31, 2021, which are netted against the grower payable. In addition, we had infrastructure advances due from Belher of $0.9 million as of April 30, 2022 and October 31, 2021. These infrastructure advances were recorded as a receivable in prepaid and other current assets as of April 30, 2022 and October 31, 2021. In July 2021, we made a bridge loan of $3.5 million to Belher. This loan is secured by certain farmland in Mexico and accrues interest at 10%. In the first quarter of fiscal 2022, this loan was amended to be due with installments of $0.9 million on July 31, 2022, $0.9 million on July 31, 2023 and $1.7 million on July 31, 2024. This bridge loan has been recorded as $0.9 million in prepaid expenses and other current assets and $2.6 million in other assets. As part of this amended loan agreement, we can withhold payments on both the infrastructure advances and the bridge loan through the netting against the grower payable due to Belher. For the three and six months ended April 30, 2022, we withheld $1.0 million from payments to Belher to offset infrastructure advances and the bridge loan repayments. During the three months ended April 30, 2022 and 2021, we incurred $14.6 million and $11.2 million of cost of sales to Belher pursuant to our purchase consignment agreement. During the three months ended April 30, 2022 and 2021, we incurred $18.0 million and $14.5 million of cost of sales to Belher pursuant to our purchase consignment agreement.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April 30, 2022, this entity was approximately 83% owned by Calavo and was consolidated in our financial statements. Avocados de Jalisco built a packinghouse located in Jalisco, Mexico, which began operations in June of 2017. During the three months ended April 30, 2021 we purchased approximately $1.0 million of avocados from the partners of Avocados de Jalisco. During the six months ended April 30, 2022 and 2021, we purchased approximately $3.5 million and $3.2 million of avocados from the partners of Avocados de Jalisco.</w:t>
      </w:r>
    </w:p>
    <w:p>
      <w:pPr>
        <w:spacing w:after="0" w:line="19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Other assets and Intangibles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32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(see note 11)</w:t>
            </w:r>
          </w:p>
        </w:tc>
        <w:tc>
          <w:tcPr>
            <w:tcW w:w="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$ 39,830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 to Agricola Belher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to Agricola Belher</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$ 44,745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620" w:type="dxa"/>
            <w:vAlign w:val="bottom"/>
            <w:tcBorders>
              <w:bottom w:val="single" w:sz="8" w:color="auto"/>
            </w:tcBorders>
          </w:tcPr>
          <w:p>
            <w:pPr>
              <w:spacing w:after="0"/>
              <w:rPr>
                <w:sz w:val="15"/>
                <w:szCs w:val="15"/>
                <w:color w:val="auto"/>
              </w:rPr>
            </w:pPr>
          </w:p>
        </w:tc>
      </w:tr>
      <w:tr>
        <w:trPr>
          <w:trHeight w:val="227"/>
        </w:trPr>
        <w:tc>
          <w:tcPr>
            <w:tcW w:w="29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16"/>
        </w:trPr>
        <w:tc>
          <w:tcPr>
            <w:tcW w:w="29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Accum.</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Book</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Book</w:t>
            </w:r>
          </w:p>
        </w:tc>
      </w:tr>
      <w:tr>
        <w:trPr>
          <w:trHeight w:val="199"/>
        </w:trPr>
        <w:tc>
          <w:tcPr>
            <w:tcW w:w="29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(10,681)$ 6,659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$ 7,351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Brand name intangibles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indefinite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(14,313)</w:t>
            </w:r>
            <w:r>
              <w:rPr>
                <w:rFonts w:ascii="Times New Roman" w:cs="Times New Roman" w:eastAsia="Times New Roman" w:hAnsi="Times New Roman"/>
                <w:sz w:val="18"/>
                <w:szCs w:val="18"/>
                <w:color w:val="auto"/>
              </w:rPr>
              <w:t>$ 7,992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$ 8,769</w:t>
            </w:r>
          </w:p>
        </w:tc>
      </w:tr>
      <w:tr>
        <w:trPr>
          <w:trHeight w:val="20"/>
        </w:trPr>
        <w:tc>
          <w:tcPr>
            <w:tcW w:w="2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319" w:firstLine="259"/>
        <w:spacing w:after="0" w:line="282" w:lineRule="auto"/>
        <w:rPr>
          <w:sz w:val="20"/>
          <w:szCs w:val="20"/>
          <w:color w:val="auto"/>
        </w:rPr>
      </w:pPr>
      <w:r>
        <w:rPr>
          <w:rFonts w:ascii="Times New Roman" w:cs="Times New Roman" w:eastAsia="Times New Roman" w:hAnsi="Times New Roman"/>
          <w:sz w:val="18"/>
          <w:szCs w:val="18"/>
          <w:color w:val="auto"/>
        </w:rPr>
        <w:t>We anticipate recording amortization expense of $0.8 million for the remainder of fiscal 2022, $1.5 million for fiscal year 2023, $1.5 million for fiscal year 2024, $1.5 million for fiscal year 2025, and $2.4 million thereafter.</w:t>
      </w:r>
    </w:p>
    <w:p>
      <w:pPr>
        <w:spacing w:after="0" w:line="158"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On December 13, 2021, certain of our officers were granted a total of 5,355 restricted shares. These shares have full voting rights and participate in dividends as if unrestricted. The closing price of our stock on such date was $40.53. These shares vest over two years, on an annual basis, beginning December 13, 2022. These shares were granted pursuant to our 2020 Plan. The total recognized stock-based compensation expense for these grants was less than $0.1 million for the three and six months ended April 30, 2022.</w:t>
      </w:r>
    </w:p>
    <w:p>
      <w:pPr>
        <w:spacing w:after="0" w:line="183" w:lineRule="exact"/>
        <w:rPr>
          <w:sz w:val="20"/>
          <w:szCs w:val="20"/>
          <w:color w:val="auto"/>
        </w:rPr>
      </w:pPr>
    </w:p>
    <w:p>
      <w:pPr>
        <w:ind w:left="40" w:right="79" w:firstLine="304"/>
        <w:spacing w:after="0" w:line="258" w:lineRule="auto"/>
        <w:rPr>
          <w:sz w:val="20"/>
          <w:szCs w:val="20"/>
          <w:color w:val="auto"/>
        </w:rPr>
      </w:pPr>
      <w:r>
        <w:rPr>
          <w:rFonts w:ascii="Times New Roman" w:cs="Times New Roman" w:eastAsia="Times New Roman" w:hAnsi="Times New Roman"/>
          <w:sz w:val="18"/>
          <w:szCs w:val="18"/>
          <w:color w:val="auto"/>
        </w:rPr>
        <w:t>On January 3, 2022, all 10 of our current directors were granted 2,814 restricted shares each (for a total of 28,140 shares). These shares have full voting rights and participate in dividends as if unrestricted. The closing share price of our stock on such grant date was $42.64. As of January 3, 2023, these shares will vest and become unrestricted subject to the continued service of the director. The total recognized stock-based compensation expense for these grants was $0.3 million and $0.4 million for the three and six months ended April 30, 2022.</w:t>
      </w:r>
    </w:p>
    <w:p>
      <w:pPr>
        <w:spacing w:after="0" w:line="183" w:lineRule="exact"/>
        <w:rPr>
          <w:sz w:val="20"/>
          <w:szCs w:val="20"/>
          <w:color w:val="auto"/>
        </w:rPr>
      </w:pPr>
    </w:p>
    <w:p>
      <w:pPr>
        <w:ind w:left="40" w:right="59" w:firstLine="315"/>
        <w:spacing w:after="0" w:line="261" w:lineRule="auto"/>
        <w:rPr>
          <w:sz w:val="20"/>
          <w:szCs w:val="20"/>
          <w:color w:val="auto"/>
        </w:rPr>
      </w:pPr>
      <w:r>
        <w:rPr>
          <w:rFonts w:ascii="Times New Roman" w:cs="Times New Roman" w:eastAsia="Times New Roman" w:hAnsi="Times New Roman"/>
          <w:sz w:val="18"/>
          <w:szCs w:val="18"/>
          <w:color w:val="auto"/>
        </w:rPr>
        <w:t>On January 20, 2022, one of our current directors was granted 1,500 unrestricted shares as a component of her compensation for services rendered during the 2021 fiscal year. The closing share price of our stock on such grant date was $41.73. The stock-based compensation expense for this grant was recognized in total upon grant and aggregated $0.1 million for the three and six months ended April 30, 2022.</w:t>
      </w:r>
    </w:p>
    <w:p>
      <w:pPr>
        <w:spacing w:after="0" w:line="180" w:lineRule="exact"/>
        <w:rPr>
          <w:sz w:val="20"/>
          <w:szCs w:val="20"/>
          <w:color w:val="auto"/>
        </w:rPr>
      </w:pPr>
    </w:p>
    <w:p>
      <w:pPr>
        <w:jc w:val="both"/>
        <w:ind w:left="40" w:right="179" w:firstLine="315"/>
        <w:spacing w:after="0" w:line="261" w:lineRule="auto"/>
        <w:rPr>
          <w:sz w:val="20"/>
          <w:szCs w:val="20"/>
          <w:color w:val="auto"/>
        </w:rPr>
      </w:pPr>
      <w:r>
        <w:rPr>
          <w:rFonts w:ascii="Times New Roman" w:cs="Times New Roman" w:eastAsia="Times New Roman" w:hAnsi="Times New Roman"/>
          <w:sz w:val="18"/>
          <w:szCs w:val="18"/>
          <w:color w:val="auto"/>
        </w:rPr>
        <w:t>On February 1, 2022, Brian Kocher, our new Chief Executive Officer, was granted 28,993 of restricted shares as part of his employment agreement. The closing share price of our stock on such grant date was $41.39. These shares will vest over three years on an annual basis, beginning February 1, 2023. The total recognized stock-based compensation expense for this grant was $0.1 million for the three and six months ended April 30,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82" w:lineRule="auto"/>
        <w:rPr>
          <w:sz w:val="20"/>
          <w:szCs w:val="20"/>
          <w:color w:val="auto"/>
        </w:rPr>
      </w:pPr>
      <w:r>
        <w:rPr>
          <w:rFonts w:ascii="Times New Roman" w:cs="Times New Roman" w:eastAsia="Times New Roman" w:hAnsi="Times New Roman"/>
          <w:sz w:val="18"/>
          <w:szCs w:val="18"/>
          <w:color w:val="auto"/>
        </w:rPr>
        <w:t>A combined summary of restricted stock award activity, related to our 2011 and 2020 Plans, is as follows (in thousands, except for per share amounts):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was $0.8 million and $1.4 million for the three months ended April 30, 2022 and 2021. The total recognized stock-based compensation expense for restricted stock was $1.4 million and $2.3 million for the six months ended April 30, 2022 and 2021. Total unrecognized stock-based compensation expense totaled $1.5 million as of April 30, 2022 and will be amortized through fiscal year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On April 1, 2022, we issued RSUs for officers and other members of management as part of our long-term incentive plan. The RSUs are time-based and vest annually in equal amounts over a three-year period. The PRSUs are based on three-year cumulative performance targets of net sales, adjusted EBITDA and return on invested capital and vest entirely at the third anniversary. We granted 34,269 shares of RSUs and 27,547 shares of PRSUs at a grant stock price of $37.49. Based on our current projections, we recognized approximately $0.1 million of stock-based compensation for the three and six months ended April 30, 2022. As of April 30, 2022, there was $2.3 million of unrecognized stock-based compensation costs related to non-vested RSUs and PRSUs, which the Company expects to recognize over a weighted-average period of 2.5 years. The total fair value of the restricted stock units at April 30, 2022, is approximately $2.3 million.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w:t>
      </w:r>
    </w:p>
    <w:p>
      <w:pPr>
        <w:spacing w:after="0" w:line="68" w:lineRule="exact"/>
        <w:rPr>
          <w:sz w:val="20"/>
          <w:szCs w:val="20"/>
          <w:color w:val="auto"/>
        </w:rPr>
      </w:pPr>
    </w:p>
    <w:p>
      <w:pPr>
        <w:ind w:left="40" w:right="79" w:firstLine="259"/>
        <w:spacing w:after="0" w:line="266" w:lineRule="auto"/>
        <w:rPr>
          <w:sz w:val="20"/>
          <w:szCs w:val="20"/>
          <w:color w:val="auto"/>
        </w:rPr>
      </w:pPr>
      <w:r>
        <w:rPr>
          <w:rFonts w:ascii="Times New Roman" w:cs="Times New Roman" w:eastAsia="Times New Roman" w:hAnsi="Times New Roman"/>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76" w:lineRule="exact"/>
        <w:rPr>
          <w:sz w:val="20"/>
          <w:szCs w:val="20"/>
          <w:color w:val="auto"/>
        </w:rPr>
      </w:pPr>
    </w:p>
    <w:p>
      <w:pPr>
        <w:ind w:left="40" w:right="759" w:firstLine="25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related to our 2011 and 2020 Plans, is as follows (in thousands, except for weighted-average exercise price):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April 30, 2022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At April 30, 2022, outstanding and exercisable stock options had a weighted-average remaining contractual term of 2.9 years. The total recognized and unrecognized stock-based compensation expense was insignificant for the three and six months ended April 30,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w:t>
      </w:r>
    </w:p>
    <w:p>
      <w:pPr>
        <w:spacing w:after="0" w:line="229"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On December 3, 2021, we paid a $1.15 per share dividend in the aggregate amount of $20.3 million to shareholders of record on November 12, 2021.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2011 Assessment</w:t>
      </w:r>
    </w:p>
    <w:p>
      <w:pPr>
        <w:spacing w:after="0" w:line="232" w:lineRule="exact"/>
        <w:rPr>
          <w:sz w:val="20"/>
          <w:szCs w:val="20"/>
          <w:color w:val="auto"/>
        </w:rPr>
      </w:pPr>
    </w:p>
    <w:p>
      <w:pPr>
        <w:ind w:left="40" w:right="159" w:firstLine="259"/>
        <w:spacing w:after="0" w:line="281" w:lineRule="auto"/>
        <w:rPr>
          <w:sz w:val="20"/>
          <w:szCs w:val="20"/>
          <w:color w:val="auto"/>
        </w:rPr>
      </w:pPr>
      <w:r>
        <w:rPr>
          <w:rFonts w:ascii="Times New Roman" w:cs="Times New Roman" w:eastAsia="Times New Roman" w:hAnsi="Times New Roman"/>
          <w:sz w:val="17"/>
          <w:szCs w:val="17"/>
          <w:color w:val="auto"/>
        </w:rPr>
        <w:t>On June 16, 2021 Calavo reached a settlement agreement with the Ministry of Finance and Administration of the government of the State of Michoacan, Mexico (MFM) regarding a 2011 Assessment of approximately $2.2 billion Mexican pesos related to income tax, flat rate business tax and value added tax. Calavo agreed to pay approximately $47.8 million Mexican pesos (approximately $2.4 million USD) as a full and final settlement of all taxes, fines, and penalties.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2013 Assessment</w:t>
      </w:r>
    </w:p>
    <w:p>
      <w:pPr>
        <w:spacing w:after="0" w:line="232" w:lineRule="exact"/>
        <w:rPr>
          <w:sz w:val="20"/>
          <w:szCs w:val="20"/>
          <w:color w:val="auto"/>
        </w:rPr>
      </w:pPr>
    </w:p>
    <w:p>
      <w:pPr>
        <w:ind w:left="40" w:right="159" w:firstLine="259"/>
        <w:spacing w:after="0" w:line="254"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 During the period from our third fiscal quarter of 2017 through our third fiscal quarter of 2018, we attempted to resolve our case with the SAT through the conclusive agreement submitted before PRODECON (Mexican Tax Ombudsman), having several working meetings attended by representatives of the SAT, Calavo de Mexico (CDM) and the PRODECON. However, we were unable to materially resolve our case with the SAT through the PRODECON process.</w:t>
      </w:r>
    </w:p>
    <w:p>
      <w:pPr>
        <w:spacing w:after="0" w:line="192"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As a result, in July 2018, the SAT’s local office in Uruapan issued to CDM a final tax assessment (the “2013 Assessment”) totaling approximately $2.6 billion Mexican pesos (which includes annual adjustments for inflation, and equals approximately $129.5 million USD at April 30, 2022) related to Income Tax, Flat Rate Business Tax, and value added tax, related to this fiscal 2013 tax audit. This amount has been adjusted for inflation as of April 30, 2022 to the amount of $3.08 billion Mexican pesos (approx. $153.5 million USD). Additionally, the tax authorities have determined that we owe our employee’s profit-sharing liability, totaling approximately $118 million Mexican pesos (approx. $5.9 million USD at April 30, 2022).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right="79" w:firstLine="259"/>
        <w:spacing w:after="0" w:line="267" w:lineRule="auto"/>
        <w:rPr>
          <w:sz w:val="20"/>
          <w:szCs w:val="20"/>
          <w:color w:val="auto"/>
        </w:rPr>
      </w:pPr>
      <w:r>
        <w:rPr>
          <w:rFonts w:ascii="Times New Roman" w:cs="Times New Roman" w:eastAsia="Times New Roman" w:hAnsi="Times New Roman"/>
          <w:sz w:val="18"/>
          <w:szCs w:val="18"/>
          <w:color w:val="auto"/>
        </w:rPr>
        <w:t xml:space="preserve">On August 27, 2021, we filed a formal complaint, or </w:t>
      </w:r>
      <w:r>
        <w:rPr>
          <w:rFonts w:ascii="Times New Roman" w:cs="Times New Roman" w:eastAsia="Times New Roman" w:hAnsi="Times New Roman"/>
          <w:sz w:val="18"/>
          <w:szCs w:val="18"/>
          <w:i w:val="1"/>
          <w:iCs w:val="1"/>
          <w:color w:val="auto"/>
        </w:rPr>
        <w:t>queja</w:t>
      </w:r>
      <w:r>
        <w:rPr>
          <w:rFonts w:ascii="Times New Roman" w:cs="Times New Roman" w:eastAsia="Times New Roman" w:hAnsi="Times New Roman"/>
          <w:sz w:val="18"/>
          <w:szCs w:val="18"/>
          <w:color w:val="auto"/>
        </w:rPr>
        <w:t>, (the “Complaint”) before the PRODECON to request its assistance with having the SAT act upon the Reconsideration. The Complaint was withdrawn in September, but may still be reinstated if deemed appropriate in the future.</w:t>
      </w:r>
    </w:p>
    <w:p>
      <w:pPr>
        <w:spacing w:after="0" w:line="175" w:lineRule="exact"/>
        <w:rPr>
          <w:sz w:val="20"/>
          <w:szCs w:val="20"/>
          <w:color w:val="auto"/>
        </w:rPr>
      </w:pPr>
    </w:p>
    <w:p>
      <w:pPr>
        <w:ind w:left="40" w:right="359" w:firstLine="259"/>
        <w:spacing w:after="0" w:line="257"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620" w:hanging="321"/>
        <w:spacing w:after="0" w:line="234"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1620" w:hanging="321"/>
        <w:spacing w:after="0" w:line="231" w:lineRule="auto"/>
        <w:tabs>
          <w:tab w:leader="none" w:pos="162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183" w:lineRule="exact"/>
        <w:rPr>
          <w:sz w:val="20"/>
          <w:szCs w:val="20"/>
          <w:color w:val="auto"/>
        </w:rPr>
      </w:pPr>
    </w:p>
    <w:p>
      <w:pPr>
        <w:ind w:left="40" w:right="139" w:firstLine="259"/>
        <w:spacing w:after="0" w:line="258" w:lineRule="auto"/>
        <w:rPr>
          <w:sz w:val="20"/>
          <w:szCs w:val="20"/>
          <w:color w:val="auto"/>
        </w:rPr>
      </w:pPr>
      <w:r>
        <w:rPr>
          <w:rFonts w:ascii="Times New Roman" w:cs="Times New Roman" w:eastAsia="Times New Roman" w:hAnsi="Times New Roman"/>
          <w:sz w:val="18"/>
          <w:szCs w:val="18"/>
          <w:color w:val="auto"/>
        </w:rPr>
        <w:t>On September 22, 2021, we had an initial in-person meeting with the SAT in Mexico City to formally present and discuss the Reconsideration. The SAT agreed to review our Reconsideration in more detail; however, on January 3, 2022, the SAT formally rejected our request for the Reconsideration. In response to this rejection, on January 21, 2022, we filed an injunction suit (</w:t>
      </w:r>
      <w:r>
        <w:rPr>
          <w:rFonts w:ascii="Times New Roman" w:cs="Times New Roman" w:eastAsia="Times New Roman" w:hAnsi="Times New Roman"/>
          <w:sz w:val="18"/>
          <w:szCs w:val="18"/>
          <w:i w:val="1"/>
          <w:iCs w:val="1"/>
          <w:color w:val="auto"/>
        </w:rPr>
        <w:t>the “Amparo”</w:t>
      </w:r>
      <w:r>
        <w:rPr>
          <w:rFonts w:ascii="Times New Roman" w:cs="Times New Roman" w:eastAsia="Times New Roman" w:hAnsi="Times New Roman"/>
          <w:sz w:val="18"/>
          <w:szCs w:val="18"/>
          <w:color w:val="auto"/>
        </w:rPr>
        <w:t>) with a federal district court seeking to nullify the arguments against the Reconsideration made by the SAT on constitutional grounds.</w:t>
      </w:r>
    </w:p>
    <w:p>
      <w:pPr>
        <w:spacing w:after="0" w:line="183" w:lineRule="exact"/>
        <w:rPr>
          <w:sz w:val="20"/>
          <w:szCs w:val="20"/>
          <w:color w:val="auto"/>
        </w:rPr>
      </w:pPr>
    </w:p>
    <w:p>
      <w:pPr>
        <w:jc w:val="both"/>
        <w:ind w:left="40" w:right="199" w:firstLine="259"/>
        <w:spacing w:after="0" w:line="266" w:lineRule="auto"/>
        <w:rPr>
          <w:sz w:val="20"/>
          <w:szCs w:val="20"/>
          <w:color w:val="auto"/>
        </w:rPr>
      </w:pPr>
      <w:r>
        <w:rPr>
          <w:rFonts w:ascii="Times New Roman" w:cs="Times New Roman" w:eastAsia="Times New Roman" w:hAnsi="Times New Roman"/>
          <w:sz w:val="18"/>
          <w:szCs w:val="18"/>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6" w:lineRule="exact"/>
        <w:rPr>
          <w:sz w:val="20"/>
          <w:szCs w:val="20"/>
          <w:color w:val="auto"/>
        </w:rPr>
      </w:pPr>
    </w:p>
    <w:p>
      <w:pPr>
        <w:ind w:left="40" w:right="59" w:firstLine="304"/>
        <w:spacing w:after="0" w:line="255" w:lineRule="auto"/>
        <w:rPr>
          <w:sz w:val="20"/>
          <w:szCs w:val="20"/>
          <w:color w:val="auto"/>
        </w:rPr>
      </w:pPr>
      <w:r>
        <w:rPr>
          <w:rFonts w:ascii="Times New Roman" w:cs="Times New Roman" w:eastAsia="Times New Roman" w:hAnsi="Times New Roman"/>
          <w:sz w:val="18"/>
          <w:szCs w:val="18"/>
          <w:color w:val="auto"/>
        </w:rPr>
        <w:t>On February 25, 2022, we filed an additional injunction in which we seek to have the liens against the bank accounts of CDM lifted. The injunction suit has been accepted by the court and we are expecting a response by September 2022. 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in terms of what may be agreed in the ongoing discussions with SAT. This injunction suit represents a further opportunity as well for a Court of Law to analyze this matter from a constitutional perspective.</w:t>
      </w:r>
    </w:p>
    <w:p>
      <w:pPr>
        <w:spacing w:after="0" w:line="18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The injunction suit has been admitted for analysis by the District Court, however, SAT filed a complaint (queja) against the ruling allowing CDM to file an extension of the injunction suit aiming to appoint as a defendant other than SAT’s authority that were involved in the reconsideration appeal's resolution. This complaint was filed by SAT to challenge the admission and analysis of the injunction suit; this complaint is expected to be decided by the Circuit Courts within the next couple of months.</w:t>
      </w:r>
    </w:p>
    <w:p>
      <w:pPr>
        <w:spacing w:after="0" w:line="181"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82"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On April 27, 2022, the SAT provided a Positive Compliance Opinion to CDM, and consequently on April 29, 2022, the Tax Authority renewed the VAT Certification to CDM. These two resolutions signal a positive development on the Tax controversies in Mexico.</w:t>
      </w:r>
    </w:p>
    <w:p>
      <w:pPr>
        <w:spacing w:after="0" w:line="176"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On April 29, 2022, we submitted all the documentation required to the Tax Authority and the Federal Tax Court to continue with the consideration of the Administrative Guaranty. Once the Administrative Guaranty is ruled and accepted by the FTC and tax authority, they will permanently suspend and remove the liens on the fixed assets and bank accounts of CDM.</w:t>
      </w:r>
    </w:p>
    <w:p>
      <w:pPr>
        <w:spacing w:after="0" w:line="180"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April 30, 2022 based on or cumulative probability analysis. We incurred $0.5 million and $0.8 million of related professional fees for the three and six months ended April 30, 2022, which have been recorded in Expenses related to Mexican Tax matters.</w:t>
      </w:r>
    </w:p>
    <w:p>
      <w:pPr>
        <w:spacing w:after="0" w:line="19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left="40" w:right="299" w:firstLine="259"/>
        <w:spacing w:after="0" w:line="258" w:lineRule="auto"/>
        <w:rPr>
          <w:sz w:val="20"/>
          <w:szCs w:val="20"/>
          <w:color w:val="auto"/>
        </w:rPr>
      </w:pPr>
      <w:r>
        <w:rPr>
          <w:rFonts w:ascii="Times New Roman" w:cs="Times New Roman" w:eastAsia="Times New Roman" w:hAnsi="Times New Roman"/>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3"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financial assets and liabilities as of April 30, 2022 that are measured on a recurring basis during the period, segregated by level within the fair value hierarchy:</w:t>
      </w:r>
    </w:p>
    <w:p>
      <w:pPr>
        <w:spacing w:after="0" w:line="236"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4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2820" w:type="dxa"/>
            <w:vAlign w:val="bottom"/>
            <w:gridSpan w:val="9"/>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(All amounts are pres</w:t>
            </w: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nted in thousands)</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April 30, 2022:</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Investment in Limoneira Company</w:t>
            </w:r>
            <w:r>
              <w:rPr>
                <w:rFonts w:ascii="Times New Roman" w:cs="Times New Roman" w:eastAsia="Times New Roman" w:hAnsi="Times New Roman"/>
                <w:sz w:val="25"/>
                <w:szCs w:val="25"/>
                <w:color w:val="auto"/>
                <w:vertAlign w:val="superscript"/>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$ 20,027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$ 20,027</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$ 20,027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$ 20,027</w:t>
            </w:r>
          </w:p>
        </w:tc>
      </w:tr>
      <w:tr>
        <w:trPr>
          <w:trHeight w:val="20"/>
        </w:trPr>
        <w:tc>
          <w:tcPr>
            <w:tcW w:w="4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4"/>
        </w:trPr>
        <w:tc>
          <w:tcPr>
            <w:tcW w:w="4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at Fair Value at October 31, 2021:</w:t>
            </w: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43"/>
        </w:trPr>
        <w:tc>
          <w:tcPr>
            <w:tcW w:w="45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Investment in Limoneira Company</w:t>
            </w:r>
            <w:r>
              <w:rPr>
                <w:rFonts w:ascii="Times New Roman" w:cs="Times New Roman" w:eastAsia="Times New Roman" w:hAnsi="Times New Roman"/>
                <w:sz w:val="26"/>
                <w:szCs w:val="26"/>
                <w:color w:val="auto"/>
                <w:vertAlign w:val="superscript"/>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$ 27,055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$ 27,055</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$ 27,055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$ 27,055</w:t>
            </w:r>
          </w:p>
        </w:tc>
      </w:tr>
      <w:tr>
        <w:trPr>
          <w:trHeight w:val="20"/>
        </w:trPr>
        <w:tc>
          <w:tcPr>
            <w:tcW w:w="4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222885</wp:posOffset>
            </wp:positionV>
            <wp:extent cx="141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260" w:right="179" w:hanging="322"/>
        <w:spacing w:after="0" w:line="233" w:lineRule="auto"/>
        <w:tabs>
          <w:tab w:leader="none" w:pos="124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Limoneira Company consists of marketable securities in the Limoneira Company common stock. We currently own approximately 9% of Limoneira’s outstanding common stock. These securities are measured at fair value using quoted market prices. For the three months ended April 30, 2022 and 2021, we recognized losses of $4.9 million and gains of $3.5 million, respectively, on the consolidated condensed statements of operations. For the six months ended April 30, 2022 and 2021, we recognized losses of $7.0 million and gains of $7.1 million, respectively, on the consolidated condensed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vMerge w:val="restart"/>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3"/>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of Avocados de Jalisco</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per share is calculated as follows (data in thousands, except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8"/>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 – Restricted stock/units/options (1)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r>
      <w:tr>
        <w:trPr>
          <w:trHeight w:val="25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200" w:type="dxa"/>
            <w:vAlign w:val="bottom"/>
            <w:tcBorders>
              <w:bottom w:val="single" w:sz="8" w:color="CCEEFF"/>
            </w:tcBorders>
          </w:tcPr>
          <w:p>
            <w:pPr>
              <w:spacing w:after="0"/>
              <w:rPr>
                <w:sz w:val="21"/>
                <w:szCs w:val="21"/>
                <w:color w:val="auto"/>
              </w:rPr>
            </w:pPr>
          </w:p>
        </w:tc>
      </w:tr>
      <w:tr>
        <w:trPr>
          <w:trHeight w:val="197"/>
        </w:trPr>
        <w:tc>
          <w:tcPr>
            <w:tcW w:w="6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CEEFF"/>
          </w:tcPr>
          <w:p>
            <w:pPr>
              <w:spacing w:after="0"/>
              <w:rPr>
                <w:sz w:val="18"/>
                <w:szCs w:val="18"/>
                <w:color w:val="auto"/>
              </w:rPr>
            </w:pPr>
          </w:p>
        </w:tc>
      </w:tr>
      <w:tr>
        <w:trPr>
          <w:trHeight w:val="353"/>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6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(4,234)</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14,118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 (1)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49"/>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17,668</w:t>
            </w:r>
          </w:p>
        </w:tc>
      </w:tr>
      <w:tr>
        <w:trPr>
          <w:trHeight w:val="197"/>
        </w:trPr>
        <w:tc>
          <w:tcPr>
            <w:tcW w:w="6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 attributable to Calavo Growers, Inc:</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0.80</w:t>
            </w:r>
          </w:p>
        </w:tc>
      </w:tr>
    </w:tbl>
    <w:p>
      <w:pPr>
        <w:spacing w:after="0" w:line="9" w:lineRule="exact"/>
        <w:rPr>
          <w:sz w:val="20"/>
          <w:szCs w:val="20"/>
          <w:color w:val="auto"/>
        </w:rPr>
      </w:pPr>
    </w:p>
    <w:p>
      <w:pPr>
        <w:ind w:left="720" w:right="339" w:hanging="325"/>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April 30, 2022 approximately 92,000 shares and 59,000 shares of common stock equivalents were excluded in the computation of diluted net loss per share, as the effect would be anti-dilutive since the Company reported a net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ind w:left="40" w:right="79" w:firstLine="259"/>
        <w:spacing w:after="0" w:line="272" w:lineRule="auto"/>
        <w:rPr>
          <w:sz w:val="20"/>
          <w:szCs w:val="20"/>
          <w:color w:val="auto"/>
        </w:rPr>
      </w:pPr>
      <w:r>
        <w:rPr>
          <w:rFonts w:ascii="Times New Roman" w:cs="Times New Roman" w:eastAsia="Times New Roman" w:hAnsi="Times New Roman"/>
          <w:sz w:val="17"/>
          <w:szCs w:val="17"/>
          <w:color w:val="auto"/>
        </w:rPr>
        <w:t>As of April 30, 2022, and October 31, 2021, CDM IVA receivables totaled $39.8 million (819.2 million Mexican pesos) and $37.5 million (762.1 million Mexican pesos). Historically, CDM received IVA refund payments from the Mexican tax authorities on a timely basis. Beginning in fiscal 2014 and continuing into fiscal 2022,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172"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90"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980" w:hanging="32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25" w:lineRule="exact"/>
        <w:rPr>
          <w:rFonts w:ascii="Times New Roman" w:cs="Times New Roman" w:eastAsia="Times New Roman" w:hAnsi="Times New Roman"/>
          <w:sz w:val="18"/>
          <w:szCs w:val="18"/>
          <w:color w:val="auto"/>
        </w:rPr>
      </w:pPr>
    </w:p>
    <w:p>
      <w:pPr>
        <w:ind w:left="980" w:right="119" w:hanging="329"/>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75" w:lineRule="exact"/>
        <w:rPr>
          <w:rFonts w:ascii="Times New Roman" w:cs="Times New Roman" w:eastAsia="Times New Roman" w:hAnsi="Times New Roman"/>
          <w:sz w:val="18"/>
          <w:szCs w:val="18"/>
          <w:color w:val="auto"/>
        </w:rPr>
      </w:pPr>
    </w:p>
    <w:p>
      <w:pPr>
        <w:ind w:left="980" w:right="299" w:hanging="329"/>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spacing w:after="0" w:line="161" w:lineRule="exact"/>
        <w:rPr>
          <w:rFonts w:ascii="Times New Roman" w:cs="Times New Roman" w:eastAsia="Times New Roman" w:hAnsi="Times New Roman"/>
          <w:sz w:val="18"/>
          <w:szCs w:val="18"/>
          <w:color w:val="auto"/>
        </w:rPr>
      </w:pPr>
    </w:p>
    <w:p>
      <w:pPr>
        <w:ind w:left="980" w:right="159" w:hanging="329"/>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$0.3 million USD).</w:t>
      </w:r>
    </w:p>
    <w:p>
      <w:pPr>
        <w:spacing w:after="0" w:line="176" w:lineRule="exact"/>
        <w:rPr>
          <w:sz w:val="20"/>
          <w:szCs w:val="20"/>
          <w:color w:val="auto"/>
        </w:rPr>
      </w:pPr>
    </w:p>
    <w:p>
      <w:pPr>
        <w:ind w:left="40" w:right="539" w:firstLine="259"/>
        <w:spacing w:after="0" w:line="282" w:lineRule="auto"/>
        <w:rPr>
          <w:sz w:val="20"/>
          <w:szCs w:val="20"/>
          <w:color w:val="auto"/>
        </w:rPr>
      </w:pPr>
      <w:r>
        <w:rPr>
          <w:rFonts w:ascii="Times New Roman" w:cs="Times New Roman" w:eastAsia="Times New Roman" w:hAnsi="Times New Roman"/>
          <w:sz w:val="18"/>
          <w:szCs w:val="18"/>
          <w:color w:val="auto"/>
        </w:rPr>
        <w:t>On May 9, 2022, the Company filed an appeal against the ruling which resolved that certain VAT amounts are not recoverable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0" w:right="519" w:firstLine="259"/>
        <w:spacing w:after="0" w:line="258" w:lineRule="auto"/>
        <w:rPr>
          <w:sz w:val="20"/>
          <w:szCs w:val="20"/>
          <w:color w:val="auto"/>
        </w:rPr>
      </w:pPr>
      <w:r>
        <w:rPr>
          <w:rFonts w:ascii="Times New Roman" w:cs="Times New Roman" w:eastAsia="Times New Roman" w:hAnsi="Times New Roman"/>
          <w:sz w:val="18"/>
          <w:szCs w:val="18"/>
          <w:color w:val="auto"/>
        </w:rPr>
        <w:t>While the latest court resolution sustains the Company’s position that it is entitled to substantially all of its VAT amounts, the Company is also considering its options for resolution of the VAT receivable. In the unlikely event of an unfavorable resolution of the Administrative Appeals, we plan to file Annulment Suits with the Mexican Federal Tax Court. If these suits result in an unfavorable ruling, there is an option to appeal to the Collegiate Circuit Court. The estimated time for the resolution of these suits could be 2 – 3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April 30, 2022,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corresponding IVA amounts.</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9" w:lineRule="exact"/>
        <w:rPr>
          <w:sz w:val="20"/>
          <w:szCs w:val="20"/>
          <w:color w:val="auto"/>
        </w:rPr>
      </w:pPr>
    </w:p>
    <w:p>
      <w:pPr>
        <w:ind w:left="40" w:right="99" w:firstLine="225"/>
        <w:spacing w:after="0" w:line="258" w:lineRule="auto"/>
        <w:rPr>
          <w:sz w:val="20"/>
          <w:szCs w:val="20"/>
          <w:color w:val="auto"/>
        </w:rPr>
      </w:pPr>
      <w:r>
        <w:rPr>
          <w:rFonts w:ascii="Times New Roman" w:cs="Times New Roman" w:eastAsia="Times New Roman" w:hAnsi="Times New Roman"/>
          <w:sz w:val="18"/>
          <w:szCs w:val="18"/>
          <w:color w:val="auto"/>
        </w:rPr>
        <w:t>On December 1, 2021, we entered into the Fourth and Fifth Amendments to the Credit Agreement with Bank of America, N.A., as administrative agent (“Bank of America”), and Farm Credit West, PCA (together with Bank of America, the “Lenders”), relating to our Credit Agreement dated as of June 14, 2016, The Fourth and Fifth Amendments, among other terms, included CDM as a guarantor, increased the interest rate by 0.5% and amended the financial covenant requirements as follows:</w:t>
      </w:r>
    </w:p>
    <w:p>
      <w:pPr>
        <w:spacing w:after="0" w:line="183" w:lineRule="exact"/>
        <w:rPr>
          <w:sz w:val="20"/>
          <w:szCs w:val="20"/>
          <w:color w:val="auto"/>
        </w:rPr>
      </w:pPr>
    </w:p>
    <w:p>
      <w:pPr>
        <w:ind w:left="720" w:right="659" w:hanging="325"/>
        <w:spacing w:after="0" w:line="284" w:lineRule="auto"/>
        <w:tabs>
          <w:tab w:leader="none" w:pos="7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Charge Coverage Ratio (FCCR) covenant was waived for the quarters ended October 31, 2021, January 31, 2022 and April 30, 2022. The covenant will resume for the quarter ended July 31, 2022.</w:t>
      </w:r>
    </w:p>
    <w:p>
      <w:pPr>
        <w:spacing w:after="0" w:line="1" w:lineRule="exact"/>
        <w:rPr>
          <w:rFonts w:ascii="Times New Roman" w:cs="Times New Roman" w:eastAsia="Times New Roman" w:hAnsi="Times New Roman"/>
          <w:sz w:val="17"/>
          <w:szCs w:val="17"/>
          <w:color w:val="auto"/>
        </w:rPr>
      </w:pPr>
    </w:p>
    <w:p>
      <w:pPr>
        <w:ind w:left="720" w:right="119" w:hanging="325"/>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FCCR covenant was replaced by a cumulative monthly minimum Consolidated EBITDA covenant, with the first measurement occurring as of January 31, 2022 for the three months then ended, and continuing monthly thereafter through June 2022.</w:t>
      </w:r>
    </w:p>
    <w:p>
      <w:pPr>
        <w:spacing w:after="0" w:line="1" w:lineRule="exact"/>
        <w:rPr>
          <w:rFonts w:ascii="Times New Roman" w:cs="Times New Roman" w:eastAsia="Times New Roman" w:hAnsi="Times New Roman"/>
          <w:sz w:val="18"/>
          <w:szCs w:val="18"/>
          <w:color w:val="auto"/>
        </w:rPr>
      </w:pPr>
    </w:p>
    <w:p>
      <w:pPr>
        <w:ind w:left="720" w:right="299" w:hanging="325"/>
        <w:spacing w:after="0" w:line="29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must be submitted monthly for the month and year-to-date period, beginning with the financial statements for the month of November 2021 and continuing through June 2022.</w:t>
      </w:r>
    </w:p>
    <w:p>
      <w:pPr>
        <w:spacing w:after="0" w:line="166" w:lineRule="exact"/>
        <w:rPr>
          <w:sz w:val="20"/>
          <w:szCs w:val="20"/>
          <w:color w:val="auto"/>
        </w:rPr>
      </w:pPr>
    </w:p>
    <w:p>
      <w:pPr>
        <w:ind w:left="40" w:right="259" w:firstLine="180"/>
        <w:spacing w:after="0" w:line="282" w:lineRule="auto"/>
        <w:rPr>
          <w:sz w:val="20"/>
          <w:szCs w:val="20"/>
          <w:color w:val="auto"/>
        </w:rPr>
      </w:pPr>
      <w:r>
        <w:rPr>
          <w:rFonts w:ascii="Times New Roman" w:cs="Times New Roman" w:eastAsia="Times New Roman" w:hAnsi="Times New Roman"/>
          <w:sz w:val="18"/>
          <w:szCs w:val="18"/>
          <w:color w:val="auto"/>
        </w:rPr>
        <w:t>The Company also pledged the 1,677,000 shares it holds of Limoneira stock as collateral (which was in addition to the general business assets of the Company that already secure the credit facility).</w:t>
      </w:r>
    </w:p>
    <w:p>
      <w:pPr>
        <w:spacing w:after="0" w:line="189" w:lineRule="exact"/>
        <w:rPr>
          <w:sz w:val="20"/>
          <w:szCs w:val="20"/>
          <w:color w:val="auto"/>
        </w:rPr>
      </w:pPr>
    </w:p>
    <w:p>
      <w:pPr>
        <w:ind w:left="80" w:right="379" w:firstLine="135"/>
        <w:spacing w:after="0" w:line="282" w:lineRule="auto"/>
        <w:rPr>
          <w:sz w:val="20"/>
          <w:szCs w:val="20"/>
          <w:color w:val="auto"/>
        </w:rPr>
      </w:pPr>
      <w:r>
        <w:rPr>
          <w:rFonts w:ascii="Times New Roman" w:cs="Times New Roman" w:eastAsia="Times New Roman" w:hAnsi="Times New Roman"/>
          <w:sz w:val="18"/>
          <w:szCs w:val="18"/>
          <w:color w:val="auto"/>
        </w:rPr>
        <w:t>The above terms and conditions will remain in effect until such time as the Company has certified compliance with a 1.15 to 1.0 minimum FCCR for two consecutive fiscal quarters.</w:t>
      </w:r>
    </w:p>
    <w:p>
      <w:pPr>
        <w:spacing w:after="0" w:line="162" w:lineRule="exact"/>
        <w:rPr>
          <w:sz w:val="20"/>
          <w:szCs w:val="20"/>
          <w:color w:val="auto"/>
        </w:rPr>
      </w:pPr>
    </w:p>
    <w:p>
      <w:pPr>
        <w:ind w:left="40" w:right="219" w:firstLine="225"/>
        <w:spacing w:after="0" w:line="258" w:lineRule="auto"/>
        <w:rPr>
          <w:sz w:val="20"/>
          <w:szCs w:val="20"/>
          <w:color w:val="auto"/>
        </w:rPr>
      </w:pPr>
      <w:r>
        <w:rPr>
          <w:rFonts w:ascii="Times New Roman" w:cs="Times New Roman" w:eastAsia="Times New Roman" w:hAnsi="Times New Roman"/>
          <w:sz w:val="18"/>
          <w:szCs w:val="18"/>
          <w:color w:val="auto"/>
        </w:rPr>
        <w:t>As of January 31, 2022, the Company was not in compliance with the cumulative monthly minimum Consolidated EBITDA covenant, and the Consolidated Leverage Ratio (CLR) covenant. In March 2022, the Company and the Lenders entered into the Sixth Amendment, Limited Waiver, and Limited Consent to Credit Agreement (the “Sixth Amendment”). The Sixth Amendment, among other terms, waived the non-compliance of the financial covenants as of January 31, 2022 and amended the financial covenant requirements as follows:</w:t>
      </w:r>
    </w:p>
    <w:p>
      <w:pPr>
        <w:spacing w:after="0" w:line="183" w:lineRule="exact"/>
        <w:rPr>
          <w:sz w:val="20"/>
          <w:szCs w:val="20"/>
          <w:color w:val="auto"/>
        </w:rPr>
      </w:pPr>
    </w:p>
    <w:p>
      <w:pPr>
        <w:ind w:left="980" w:right="419" w:hanging="329"/>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monthly minimum Consolidated EBITDA testing has been waived and the CLR covenant testing is waived through July 31, 2022.</w:t>
      </w:r>
    </w:p>
    <w:p>
      <w:pPr>
        <w:ind w:left="980" w:right="179" w:hanging="329"/>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EBITDA of $3 million, $3 million and $5 million for the months of February, March and April 2022 will be required.</w:t>
      </w:r>
    </w:p>
    <w:p>
      <w:pPr>
        <w:ind w:left="980" w:right="339" w:hanging="329"/>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cumulative FCCR of 1.20 starting with the quarter ended April 30, 2022, converting to trailing 12 months calculation starting as of October 31, 2022 and quarterly thereafter. For April through September 2022, dividends paid in December 2021 are included on a pro-rata basis.</w:t>
      </w:r>
    </w:p>
    <w:p>
      <w:pPr>
        <w:spacing w:after="0" w:line="213" w:lineRule="exact"/>
        <w:rPr>
          <w:sz w:val="20"/>
          <w:szCs w:val="20"/>
          <w:color w:val="auto"/>
        </w:rPr>
      </w:pPr>
    </w:p>
    <w:p>
      <w:pPr>
        <w:ind w:left="40" w:right="199" w:firstLine="180"/>
        <w:spacing w:after="0" w:line="258" w:lineRule="auto"/>
        <w:rPr>
          <w:sz w:val="20"/>
          <w:szCs w:val="20"/>
          <w:color w:val="auto"/>
        </w:rPr>
      </w:pPr>
      <w:r>
        <w:rPr>
          <w:rFonts w:ascii="Times New Roman" w:cs="Times New Roman" w:eastAsia="Times New Roman" w:hAnsi="Times New Roman"/>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plus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224" w:lineRule="exact"/>
        <w:rPr>
          <w:sz w:val="20"/>
          <w:szCs w:val="20"/>
          <w:color w:val="auto"/>
        </w:rPr>
      </w:pPr>
    </w:p>
    <w:p>
      <w:pPr>
        <w:ind w:left="40" w:right="119" w:firstLine="180"/>
        <w:spacing w:after="0" w:line="266" w:lineRule="auto"/>
        <w:rPr>
          <w:sz w:val="20"/>
          <w:szCs w:val="20"/>
          <w:color w:val="auto"/>
        </w:rPr>
      </w:pPr>
      <w:r>
        <w:rPr>
          <w:rFonts w:ascii="Times New Roman" w:cs="Times New Roman" w:eastAsia="Times New Roman" w:hAnsi="Times New Roman"/>
          <w:sz w:val="18"/>
          <w:szCs w:val="18"/>
          <w:color w:val="auto"/>
        </w:rPr>
        <w:t>As of April 30, 2022, we were in compliance with the financial covenants, and we expect to remain in compliance through June 2023. As of April 30, 2022, approximately $5.6 million was available for borrowing, based on our borrowing base calculation, as discussed above.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COVID-19 Pandemic Impact</w:t>
      </w:r>
    </w:p>
    <w:p>
      <w:pPr>
        <w:spacing w:after="0" w:line="229" w:lineRule="exact"/>
        <w:rPr>
          <w:sz w:val="20"/>
          <w:szCs w:val="20"/>
          <w:color w:val="auto"/>
        </w:rPr>
      </w:pPr>
    </w:p>
    <w:p>
      <w:pPr>
        <w:ind w:left="40" w:right="59" w:firstLine="180"/>
        <w:spacing w:after="0" w:line="271" w:lineRule="auto"/>
        <w:rPr>
          <w:sz w:val="20"/>
          <w:szCs w:val="20"/>
          <w:color w:val="auto"/>
        </w:rPr>
      </w:pPr>
      <w:r>
        <w:rPr>
          <w:rFonts w:ascii="Times New Roman" w:cs="Times New Roman" w:eastAsia="Times New Roman" w:hAnsi="Times New Roman"/>
          <w:sz w:val="17"/>
          <w:szCs w:val="17"/>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changed certain purchasing norms in retail and foodservice channels and created significant volatility and disruption of financial markets. This has resulted in inflationary and cost pressures that have significantly increased, and continue to adversely impact, our production and distribution costs, including costs of raw materials, packaging, labor, and freight. We are also experiencing pressure in our supply chain due to strained transportation capacity and lack of sufficient labor availability. We believe, however, that we are well-positioned for the future as we continue to navigate the crisis and have successfully implemented contingency plans in the U.S. and in Mexico to monitor the evolving needs of our businesses, as well as those related to our Peru partner in consignment avocado sales.</w:t>
      </w:r>
    </w:p>
    <w:p>
      <w:pPr>
        <w:spacing w:after="0" w:line="173" w:lineRule="exact"/>
        <w:rPr>
          <w:sz w:val="20"/>
          <w:szCs w:val="20"/>
          <w:color w:val="auto"/>
        </w:rPr>
      </w:pPr>
    </w:p>
    <w:p>
      <w:pPr>
        <w:jc w:val="both"/>
        <w:ind w:left="40" w:right="79" w:firstLine="225"/>
        <w:spacing w:after="0" w:line="266" w:lineRule="auto"/>
        <w:rPr>
          <w:sz w:val="20"/>
          <w:szCs w:val="20"/>
          <w:color w:val="auto"/>
        </w:rPr>
      </w:pPr>
      <w:r>
        <w:rPr>
          <w:rFonts w:ascii="Times New Roman" w:cs="Times New Roman" w:eastAsia="Times New Roman" w:hAnsi="Times New Roman"/>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76" w:lineRule="exact"/>
        <w:rPr>
          <w:sz w:val="20"/>
          <w:szCs w:val="20"/>
          <w:color w:val="auto"/>
        </w:rPr>
      </w:pPr>
    </w:p>
    <w:p>
      <w:pPr>
        <w:ind w:left="40" w:right="59" w:firstLine="225"/>
        <w:spacing w:after="0" w:line="261" w:lineRule="auto"/>
        <w:rPr>
          <w:sz w:val="20"/>
          <w:szCs w:val="20"/>
          <w:color w:val="auto"/>
        </w:rPr>
      </w:pPr>
      <w:r>
        <w:rPr>
          <w:rFonts w:ascii="Times New Roman" w:cs="Times New Roman" w:eastAsia="Times New Roman" w:hAnsi="Times New Roman"/>
          <w:sz w:val="18"/>
          <w:szCs w:val="18"/>
          <w:color w:val="auto"/>
        </w:rPr>
        <w:t>While many of such restrictions have since been lifted, the pace of the recovery from the COVID-19 pandemic is not presently known. Additionally, we cannot forecast future variants or the impact on our business of such variants, if any. We cannot reasonably estimate the duration or extent of the pandemic’s adverse impact on our business, operating results, and long-term liquidity position.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Closure of RFG Florida facility</w:t>
      </w:r>
    </w:p>
    <w:p>
      <w:pPr>
        <w:spacing w:after="0" w:line="229" w:lineRule="exact"/>
        <w:rPr>
          <w:sz w:val="20"/>
          <w:szCs w:val="20"/>
          <w:color w:val="auto"/>
        </w:rPr>
      </w:pPr>
    </w:p>
    <w:p>
      <w:pPr>
        <w:ind w:left="40" w:right="519" w:firstLine="180"/>
        <w:spacing w:after="0" w:line="266" w:lineRule="auto"/>
        <w:rPr>
          <w:sz w:val="20"/>
          <w:szCs w:val="20"/>
          <w:color w:val="auto"/>
        </w:rPr>
      </w:pPr>
      <w:r>
        <w:rPr>
          <w:rFonts w:ascii="Times New Roman" w:cs="Times New Roman" w:eastAsia="Times New Roman" w:hAnsi="Times New Roman"/>
          <w:sz w:val="18"/>
          <w:szCs w:val="18"/>
          <w:color w:val="auto"/>
        </w:rPr>
        <w:t>On November 15, 2021,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76" w:lineRule="exact"/>
        <w:rPr>
          <w:sz w:val="20"/>
          <w:szCs w:val="20"/>
          <w:color w:val="auto"/>
        </w:rPr>
      </w:pPr>
    </w:p>
    <w:p>
      <w:pPr>
        <w:ind w:left="40" w:right="99" w:firstLine="180"/>
        <w:spacing w:after="0" w:line="256" w:lineRule="auto"/>
        <w:rPr>
          <w:sz w:val="20"/>
          <w:szCs w:val="20"/>
          <w:color w:val="auto"/>
        </w:rPr>
      </w:pPr>
      <w:r>
        <w:rPr>
          <w:rFonts w:ascii="Times New Roman" w:cs="Times New Roman" w:eastAsia="Times New Roman" w:hAnsi="Times New Roman"/>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During the fourth quarter of fiscal 2021, we wrote down $8.7 million of leasehold improvements, $0.1 million of equipment, and $0.6 million of inventory (recognized through cost of goods sold). We also paid $0.4 million in employee severance. The impairment related to the RFG Florida closure has been recorded on the face of the income statement under “Impairment and charges related to RFG Florida facility closure”.</w:t>
      </w:r>
    </w:p>
    <w:p>
      <w:pPr>
        <w:spacing w:after="0" w:line="187" w:lineRule="exact"/>
        <w:rPr>
          <w:sz w:val="20"/>
          <w:szCs w:val="20"/>
          <w:color w:val="auto"/>
        </w:rPr>
      </w:pPr>
    </w:p>
    <w:p>
      <w:pPr>
        <w:ind w:left="40" w:right="99" w:firstLine="180"/>
        <w:spacing w:after="0" w:line="255" w:lineRule="auto"/>
        <w:rPr>
          <w:sz w:val="20"/>
          <w:szCs w:val="20"/>
          <w:color w:val="auto"/>
        </w:rPr>
      </w:pPr>
      <w:r>
        <w:rPr>
          <w:rFonts w:ascii="Times New Roman" w:cs="Times New Roman" w:eastAsia="Times New Roman" w:hAnsi="Times New Roman"/>
          <w:sz w:val="18"/>
          <w:szCs w:val="18"/>
          <w:color w:val="auto"/>
        </w:rPr>
        <w:t>As of April 30, 2022 and October 31, 2021, the Company had right of use assets with a net book value of $4.2 million and $4.8 million respectively, and lease liabilities of $5.4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 rate, and for a lease period, sufficient to realize the right of use asset.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w:t>
      </w:r>
    </w:p>
    <w:p>
      <w:pPr>
        <w:spacing w:after="0" w:line="189" w:lineRule="exact"/>
        <w:rPr>
          <w:sz w:val="20"/>
          <w:szCs w:val="20"/>
          <w:color w:val="auto"/>
        </w:rPr>
      </w:pPr>
    </w:p>
    <w:p>
      <w:pPr>
        <w:ind w:left="40" w:right="719" w:firstLine="18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April 30, 2022, we incurred $0.3 million and $1.0 million of incremental restructuring and related costs due to the transition to other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2021 of Calavo Growers, Inc. (“we”, “Calavo”, or the “Company”).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 in Reporting Segments</w:t>
      </w:r>
    </w:p>
    <w:p>
      <w:pPr>
        <w:spacing w:after="0" w:line="227"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On April 13, 2022, the Company issued a press release announcing its plans to reorganize the business into two reporting segments, Grown and Prepared. The Grown segment will consist of fresh avocados, tomatoes and papaya. The Prepared segment will comprise all other products including fresh cut fruits and vegetables, ready-to-eat sandwiches, wraps, salads and snacks, guacamole, and salsa sold at retail and food service as well as avocado pulp sold to foodservice. The management transition to operate into Grown and Prepared segments is expected to occur in the third quarter of 2022. Therefore, for the three and six month periods ended April 30, 2022, we continue to report our operations in three different business segments: (1) Fresh products, (2) RFG, and (3) Calavo Foods.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COVID-19 Pandemic Impact</w:t>
      </w:r>
    </w:p>
    <w:p>
      <w:pPr>
        <w:spacing w:after="0" w:line="227" w:lineRule="exact"/>
        <w:rPr>
          <w:sz w:val="20"/>
          <w:szCs w:val="20"/>
          <w:color w:val="auto"/>
        </w:rPr>
      </w:pPr>
    </w:p>
    <w:p>
      <w:pPr>
        <w:ind w:left="40" w:right="79" w:firstLine="180"/>
        <w:spacing w:after="0" w:line="253" w:lineRule="auto"/>
        <w:rPr>
          <w:sz w:val="20"/>
          <w:szCs w:val="20"/>
          <w:color w:val="auto"/>
        </w:rPr>
      </w:pPr>
      <w:r>
        <w:rPr>
          <w:rFonts w:ascii="Times New Roman" w:cs="Times New Roman" w:eastAsia="Times New Roman" w:hAnsi="Times New Roman"/>
          <w:sz w:val="18"/>
          <w:szCs w:val="18"/>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changed certain purchasing norms in retail and foodservice channels and created significant volatility and disruption of financial markets. This has resulted in inflationary and cost pressures that have significantly increased, and continue to adversely impact, our production and distribution costs, including costs of raw materials, packaging, labor, and freight. We are also experiencing pressure in our supply chain due to strained transportation capacity and lack of sufficient labor availability. We believe that we are well-positioned for the future as we continue to navigate the crisis and have successfully implemented contingency plans in the U.S. and in Mexico to monitor the evolving needs of our businesses in those countries, as well as those related to our Peru partner in consignment avocado sales.</w:t>
      </w:r>
    </w:p>
    <w:p>
      <w:pPr>
        <w:spacing w:after="0" w:line="194" w:lineRule="exact"/>
        <w:rPr>
          <w:sz w:val="20"/>
          <w:szCs w:val="20"/>
          <w:color w:val="auto"/>
        </w:rPr>
      </w:pPr>
    </w:p>
    <w:p>
      <w:pPr>
        <w:jc w:val="both"/>
        <w:ind w:left="40" w:right="79" w:firstLine="225"/>
        <w:spacing w:after="0" w:line="266" w:lineRule="auto"/>
        <w:rPr>
          <w:sz w:val="20"/>
          <w:szCs w:val="20"/>
          <w:color w:val="auto"/>
        </w:rPr>
      </w:pPr>
      <w:r>
        <w:rPr>
          <w:rFonts w:ascii="Times New Roman" w:cs="Times New Roman" w:eastAsia="Times New Roman" w:hAnsi="Times New Roman"/>
          <w:sz w:val="18"/>
          <w:szCs w:val="18"/>
          <w:color w:val="auto"/>
        </w:rPr>
        <w:t>The effects of the pandemic have been more pronounced in the portions of our business servicing foodservice customers and to a lesser extent certain segments of our retail business, including behind-the-glass deli and grab-and-go convenience items.</w:t>
      </w:r>
    </w:p>
    <w:p>
      <w:pPr>
        <w:spacing w:after="0" w:line="176"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While many of such restrictions have since been lifted, the pace of the recovery from the COVID-19 pandemic is not presently known. Additionally, we cannot forecast future variants or the impact on our business of such variants, if any. We cannot reasonably estimate the duration or extent of the pandemic’s adverse impact on our business, operating results, and long-term liquidity position.</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COVID-19 Recovery Economic Impact</w:t>
      </w:r>
    </w:p>
    <w:p>
      <w:pPr>
        <w:spacing w:after="0" w:line="227" w:lineRule="exact"/>
        <w:rPr>
          <w:sz w:val="20"/>
          <w:szCs w:val="20"/>
          <w:color w:val="auto"/>
        </w:rPr>
      </w:pPr>
    </w:p>
    <w:p>
      <w:pPr>
        <w:ind w:left="40" w:right="79" w:firstLine="243"/>
        <w:spacing w:after="0" w:line="261" w:lineRule="auto"/>
        <w:rPr>
          <w:sz w:val="20"/>
          <w:szCs w:val="20"/>
          <w:color w:val="auto"/>
        </w:rPr>
      </w:pPr>
      <w:r>
        <w:rPr>
          <w:rFonts w:ascii="Times New Roman" w:cs="Times New Roman" w:eastAsia="Times New Roman" w:hAnsi="Times New Roman"/>
          <w:sz w:val="18"/>
          <w:szCs w:val="18"/>
          <w:color w:val="auto"/>
        </w:rPr>
        <w:t>The recovery from the COVID-19 pandemic and the current economic climate is increasing labor costs, commodity costs and logistical costs. We are experiencing operational challenges that impact our production facilities and our logistics network; the impact of prices for petroleum-based products, packaging materials and commodity costs; and the availability of sufficient labor is increasing costs companywide.</w:t>
      </w:r>
    </w:p>
    <w:p>
      <w:pPr>
        <w:spacing w:after="0" w:line="180" w:lineRule="exact"/>
        <w:rPr>
          <w:sz w:val="20"/>
          <w:szCs w:val="20"/>
          <w:color w:val="auto"/>
        </w:rPr>
      </w:pPr>
    </w:p>
    <w:p>
      <w:pPr>
        <w:ind w:left="40" w:right="179" w:firstLine="225"/>
        <w:spacing w:after="0" w:line="261" w:lineRule="auto"/>
        <w:rPr>
          <w:sz w:val="20"/>
          <w:szCs w:val="20"/>
          <w:color w:val="auto"/>
        </w:rPr>
      </w:pPr>
      <w:r>
        <w:rPr>
          <w:rFonts w:ascii="Times New Roman" w:cs="Times New Roman" w:eastAsia="Times New Roman" w:hAnsi="Times New Roman"/>
          <w:sz w:val="18"/>
          <w:szCs w:val="18"/>
          <w:color w:val="auto"/>
        </w:rPr>
        <w:t>In response to the inflationary costs described above, we notified our customers of our plans to institute price increases for our RFG and Foods products. Management believes the price increases will largely be accepted by our customers without significant loss of sales, will reverse the margin compression experienced by RFG and Foods segments during the pandemic, and will enable us to continue to invest in initiatives that drive growth.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w:t>
      </w:r>
    </w:p>
    <w:p>
      <w:pPr>
        <w:spacing w:after="0" w:line="227" w:lineRule="exact"/>
        <w:rPr>
          <w:sz w:val="20"/>
          <w:szCs w:val="20"/>
          <w:color w:val="auto"/>
        </w:rPr>
      </w:pPr>
    </w:p>
    <w:p>
      <w:pPr>
        <w:ind w:left="40" w:right="199" w:firstLine="259"/>
        <w:spacing w:after="0" w:line="282" w:lineRule="auto"/>
        <w:rPr>
          <w:sz w:val="20"/>
          <w:szCs w:val="20"/>
          <w:color w:val="auto"/>
        </w:rPr>
      </w:pPr>
      <w:r>
        <w:rPr>
          <w:rFonts w:ascii="Times New Roman" w:cs="Times New Roman" w:eastAsia="Times New Roman" w:hAnsi="Times New Roman"/>
          <w:sz w:val="18"/>
          <w:szCs w:val="18"/>
          <w:color w:val="auto"/>
        </w:rPr>
        <w:t>On December 3, 2021, we paid a $1.15 per share dividend in the aggregate amount of $20.3 million to shareholders of record on November 12, 2021.</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Project Uno</w:t>
      </w:r>
    </w:p>
    <w:p>
      <w:pPr>
        <w:spacing w:after="0" w:line="227" w:lineRule="exact"/>
        <w:rPr>
          <w:sz w:val="20"/>
          <w:szCs w:val="20"/>
          <w:color w:val="auto"/>
        </w:rPr>
      </w:pPr>
    </w:p>
    <w:p>
      <w:pPr>
        <w:ind w:left="40" w:right="99" w:firstLine="259"/>
        <w:spacing w:after="0" w:line="254" w:lineRule="auto"/>
        <w:rPr>
          <w:sz w:val="20"/>
          <w:szCs w:val="20"/>
          <w:color w:val="auto"/>
        </w:rPr>
      </w:pPr>
      <w:r>
        <w:rPr>
          <w:rFonts w:ascii="Times New Roman" w:cs="Times New Roman" w:eastAsia="Times New Roman" w:hAnsi="Times New Roman"/>
          <w:sz w:val="18"/>
          <w:szCs w:val="18"/>
          <w:color w:val="auto"/>
        </w:rPr>
        <w:t>During the third quarter of 2021, the Company launched Project Uno, a strategic set of initiatives that seeks to identify areas of operating efficiencies and cost savings to expand profit margins, cash flow and return on invested capital. We have undertaken multiple productivity and transformation initiatives, including (1) closure of the RFG Florida plant and transfer of its viable operations into RFG Georgia, (2) implementing broader supply chain operational improvements, (3) integrating our commercial, logistics, IT, procurement and accounting functions across the three divisions, (4) product rationalization initiatives which are aimed at eliminating unprofitable or slow moving SKUs and (5) outsourcing certain functions in our North American business to third-party service providers and the associated implementation of new procurement technology solutions. The Company will continue to carry out the existing productivity initiatives as well as additional initiatives under this strategy in fiscal 2022.</w:t>
      </w:r>
    </w:p>
    <w:p>
      <w:pPr>
        <w:spacing w:after="0" w:line="188" w:lineRule="exact"/>
        <w:rPr>
          <w:sz w:val="20"/>
          <w:szCs w:val="20"/>
          <w:color w:val="auto"/>
        </w:rPr>
      </w:pPr>
    </w:p>
    <w:p>
      <w:pPr>
        <w:jc w:val="both"/>
        <w:ind w:left="40" w:right="619" w:firstLine="324"/>
        <w:spacing w:after="0" w:line="266" w:lineRule="auto"/>
        <w:rPr>
          <w:sz w:val="20"/>
          <w:szCs w:val="20"/>
          <w:color w:val="auto"/>
        </w:rPr>
      </w:pPr>
      <w:r>
        <w:rPr>
          <w:rFonts w:ascii="Times New Roman" w:cs="Times New Roman" w:eastAsia="Times New Roman" w:hAnsi="Times New Roman"/>
          <w:sz w:val="18"/>
          <w:szCs w:val="18"/>
          <w:color w:val="auto"/>
        </w:rPr>
        <w:t>On April 7, 2022, Calavo’s board of directors approved plans to reorganize its business to execute Project Uno integration efforts. As a result of the reorganization, the positions of Chief Operations Officer and Chief Accounting Officer were eliminated effective as of April 13, 2022.</w:t>
      </w:r>
    </w:p>
    <w:p>
      <w:pPr>
        <w:spacing w:after="0" w:line="176" w:lineRule="exact"/>
        <w:rPr>
          <w:sz w:val="20"/>
          <w:szCs w:val="20"/>
          <w:color w:val="auto"/>
        </w:rPr>
      </w:pPr>
    </w:p>
    <w:p>
      <w:pPr>
        <w:jc w:val="both"/>
        <w:ind w:left="40" w:right="479" w:firstLine="259"/>
        <w:spacing w:after="0" w:line="266" w:lineRule="auto"/>
        <w:rPr>
          <w:sz w:val="20"/>
          <w:szCs w:val="20"/>
          <w:color w:val="auto"/>
        </w:rPr>
      </w:pPr>
      <w:r>
        <w:rPr>
          <w:rFonts w:ascii="Times New Roman" w:cs="Times New Roman" w:eastAsia="Times New Roman" w:hAnsi="Times New Roman"/>
          <w:sz w:val="18"/>
          <w:szCs w:val="18"/>
          <w:color w:val="auto"/>
        </w:rPr>
        <w:t>As part of this reorganization we accrued $1.3 million of severance to be paid out over the next year. This amount includes $0.1 million in stock based compensation related to accelerated vesting of restricted stock held by our Chief Operations Officer.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Mexico tax audits</w:t>
      </w:r>
    </w:p>
    <w:p>
      <w:pPr>
        <w:spacing w:after="0" w:line="227"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0" w:lineRule="exact"/>
        <w:rPr>
          <w:sz w:val="20"/>
          <w:szCs w:val="20"/>
          <w:color w:val="auto"/>
        </w:rPr>
      </w:pPr>
    </w:p>
    <w:p>
      <w:pPr>
        <w:ind w:left="40" w:right="159" w:firstLine="304"/>
        <w:spacing w:after="0" w:line="266" w:lineRule="auto"/>
        <w:rPr>
          <w:sz w:val="20"/>
          <w:szCs w:val="20"/>
          <w:color w:val="auto"/>
        </w:rPr>
      </w:pPr>
      <w:r>
        <w:rPr>
          <w:rFonts w:ascii="Times New Roman" w:cs="Times New Roman" w:eastAsia="Times New Roman" w:hAnsi="Times New Roman"/>
          <w:sz w:val="18"/>
          <w:szCs w:val="18"/>
          <w:color w:val="auto"/>
        </w:rPr>
        <w:t>On February 4, 2022, we had a follow-up meeting with the SAT in Mexico City to begin a dialog with the objective of reaching a settlement of the 2013 Assessment. The SAT agreed in principle to continue this dialog, but requested that we provide a financial guaranty to secure the related tax as a pre-requisite to these discussions.</w:t>
      </w:r>
    </w:p>
    <w:p>
      <w:pPr>
        <w:spacing w:after="0" w:line="176" w:lineRule="exact"/>
        <w:rPr>
          <w:sz w:val="20"/>
          <w:szCs w:val="20"/>
          <w:color w:val="auto"/>
        </w:rPr>
      </w:pPr>
    </w:p>
    <w:p>
      <w:pPr>
        <w:ind w:left="40" w:right="59" w:firstLine="304"/>
        <w:spacing w:after="0" w:line="255" w:lineRule="auto"/>
        <w:rPr>
          <w:sz w:val="20"/>
          <w:szCs w:val="20"/>
          <w:color w:val="auto"/>
        </w:rPr>
      </w:pPr>
      <w:r>
        <w:rPr>
          <w:rFonts w:ascii="Times New Roman" w:cs="Times New Roman" w:eastAsia="Times New Roman" w:hAnsi="Times New Roman"/>
          <w:sz w:val="18"/>
          <w:szCs w:val="18"/>
          <w:color w:val="auto"/>
        </w:rPr>
        <w:t>On February 25, 2022, we filed an additional injunction in which we seek to have the liens against the bank accounts of CDM lifted. The injunction suit has been accepted by the court and we are expecting a response by September 2022. The main purpose of the injunction suit was to challenge the SAT’s response issued to the Reconsideration, and with that, to keep the Reconsideration alive until the injunction suit is decided. This would allow time to continue the discussions with SAT at the administrative level and would give SAT the legal basis to issue a new resolution in terms of what may be agreed in the ongoing discussions with SAT. This injunction suit represents a further opportunity as well for a Court of Law to analyze this matter from a constitutional perspective.</w:t>
      </w:r>
    </w:p>
    <w:p>
      <w:pPr>
        <w:spacing w:after="0" w:line="189" w:lineRule="exact"/>
        <w:rPr>
          <w:sz w:val="20"/>
          <w:szCs w:val="20"/>
          <w:color w:val="auto"/>
        </w:rPr>
      </w:pPr>
    </w:p>
    <w:p>
      <w:pPr>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The injunction suit has been admitted for analysis by the District Court, however, SAT filed a complaint (queja) against the ruling allowing CDM to file an extension of the injunction suit aiming to appoint as a defendant other than SAT’s authority that were involved in the reconsideration appeal's resolution. This complaint was filed by SAT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challenge the admission and analysis of the injunction suit; this complaint is expected to be decided by the Circuit Courts within the next couple of months.</w:t>
      </w:r>
    </w:p>
    <w:p>
      <w:pPr>
        <w:spacing w:after="0" w:line="160"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On March 10, 2022, we met with the SAT and offered an Administrative Guaranty (</w:t>
      </w:r>
      <w:r>
        <w:rPr>
          <w:rFonts w:ascii="Times New Roman" w:cs="Times New Roman" w:eastAsia="Times New Roman" w:hAnsi="Times New Roman"/>
          <w:sz w:val="18"/>
          <w:szCs w:val="18"/>
          <w:i w:val="1"/>
          <w:iCs w:val="1"/>
          <w:color w:val="auto"/>
        </w:rPr>
        <w:t>Embargo en Via Administrativa)</w:t>
      </w:r>
      <w:r>
        <w:rPr>
          <w:rFonts w:ascii="Times New Roman" w:cs="Times New Roman" w:eastAsia="Times New Roman" w:hAnsi="Times New Roman"/>
          <w:sz w:val="18"/>
          <w:szCs w:val="18"/>
          <w:color w:val="auto"/>
        </w:rPr>
        <w:t xml:space="preserve"> to secure the 2013 Assessment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provides the SAT with certain administrative rights to CDM assets in the unlikely event we do not prevail in our actions through the Federal Tax Court (see below). Once the Administrative Guaranty is in place, the existing liens over the assets of CDM will be removed and the SAT collection process will be suspended.</w:t>
      </w:r>
    </w:p>
    <w:p>
      <w:pPr>
        <w:spacing w:after="0" w:line="182"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On March 4, 2022, the Annulment Suit was formally accepted by the Federal Tax Court, which simultaneously granted a provisional suspension of the collections proceedings by the SAT. The acceptance by the court of the Annulment Suit renders the 2013 Assessment as non-definitive, until such time as the suit is resolved.</w:t>
      </w:r>
    </w:p>
    <w:p>
      <w:pPr>
        <w:spacing w:after="0" w:line="176" w:lineRule="exact"/>
        <w:rPr>
          <w:sz w:val="20"/>
          <w:szCs w:val="20"/>
          <w:color w:val="auto"/>
        </w:rPr>
      </w:pPr>
    </w:p>
    <w:p>
      <w:pPr>
        <w:ind w:left="40" w:right="159" w:firstLine="225"/>
        <w:spacing w:after="0" w:line="266" w:lineRule="auto"/>
        <w:rPr>
          <w:sz w:val="20"/>
          <w:szCs w:val="20"/>
          <w:color w:val="auto"/>
        </w:rPr>
      </w:pPr>
      <w:r>
        <w:rPr>
          <w:rFonts w:ascii="Times New Roman" w:cs="Times New Roman" w:eastAsia="Times New Roman" w:hAnsi="Times New Roman"/>
          <w:sz w:val="18"/>
          <w:szCs w:val="18"/>
          <w:color w:val="auto"/>
        </w:rPr>
        <w:t>On April 27, 2022, the SAT provided a Positive Compliance Opinion to CDM, and consequently on April 29, 2022, the Tax Authority renewed the VAT Certification to CDM. These two resolutions signal a positive development on the Tax controversies in Mexico.</w:t>
      </w:r>
    </w:p>
    <w:p>
      <w:pPr>
        <w:spacing w:after="0" w:line="176"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On April 29, 2022, we submitted all the documentation required to the Tax Authority and the Federal Tax Court to continue with the consideration of the Administrative Guaranty. Once the Administrative Guaranty is ruled and accepted by the FTC and tax authority, they will permanently suspend and remove the liens on the fixed assets and bank accounts of CDM.</w:t>
      </w:r>
    </w:p>
    <w:p>
      <w:pPr>
        <w:spacing w:after="0" w:line="180"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it is in the best interest of CDM and the Company to settle the 2013 Assessment as quickly as possible. Furthermore, we believe that the above actions taken by CDM will encourage the SAT to agree to reach a settlement. In accordance with our cumulative probability analysis, based on factors such as recent settlements made by the SAT in other cases, the 2011 Assessment settlement reached by CDM with the MFM, and the value of CDM assets, we recorded a provision of $11 million USD, in the third quarter of fiscal 2021, as a discrete item in Income Tax Provision. The provision includes estimated penalties, interest and inflationary adjustments. We believe that this provision remains appropriate as of April 30, 2022 based on or cumulative probability analysis. We incurred $0.5 million and $0.8 million of related professional fees for the three and six months ended April 30, 2022, which have been recorded in Expenses related to Mexican Tax matters. See Note 7 of the Consolidated Condensed Financial Statements for more information.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Closure of RFG Florida facility</w:t>
      </w:r>
    </w:p>
    <w:p>
      <w:pPr>
        <w:spacing w:after="0" w:line="227" w:lineRule="exact"/>
        <w:rPr>
          <w:sz w:val="20"/>
          <w:szCs w:val="20"/>
          <w:color w:val="auto"/>
        </w:rPr>
      </w:pPr>
    </w:p>
    <w:p>
      <w:pPr>
        <w:ind w:left="40" w:right="519" w:firstLine="180"/>
        <w:spacing w:after="0" w:line="266" w:lineRule="auto"/>
        <w:rPr>
          <w:sz w:val="20"/>
          <w:szCs w:val="20"/>
          <w:color w:val="auto"/>
        </w:rPr>
      </w:pPr>
      <w:r>
        <w:rPr>
          <w:rFonts w:ascii="Times New Roman" w:cs="Times New Roman" w:eastAsia="Times New Roman" w:hAnsi="Times New Roman"/>
          <w:sz w:val="18"/>
          <w:szCs w:val="18"/>
          <w:color w:val="auto"/>
        </w:rPr>
        <w:t>On November 15, 2021, the Green Cove facility of RFG has ceased operations. The Company’s Fresh avocado operations at this facility will continue in operation and are not affected. RFG will continue to serve customers of this location from its other food processing locations, primarily in Georgia.</w:t>
      </w:r>
    </w:p>
    <w:p>
      <w:pPr>
        <w:spacing w:after="0" w:line="176" w:lineRule="exact"/>
        <w:rPr>
          <w:sz w:val="20"/>
          <w:szCs w:val="20"/>
          <w:color w:val="auto"/>
        </w:rPr>
      </w:pPr>
    </w:p>
    <w:p>
      <w:pPr>
        <w:ind w:left="40" w:right="99" w:firstLine="180"/>
        <w:spacing w:after="0" w:line="256" w:lineRule="auto"/>
        <w:rPr>
          <w:sz w:val="20"/>
          <w:szCs w:val="20"/>
          <w:color w:val="auto"/>
        </w:rPr>
      </w:pPr>
      <w:r>
        <w:rPr>
          <w:rFonts w:ascii="Times New Roman" w:cs="Times New Roman" w:eastAsia="Times New Roman" w:hAnsi="Times New Roman"/>
          <w:sz w:val="18"/>
          <w:szCs w:val="18"/>
          <w:color w:val="auto"/>
        </w:rPr>
        <w:t>The closure resulted in a reduction of 140 employees, impairment of leasehold improvements, writedowns of inventory and other assets, and certain cash expenditures for the relocation of machinery and equipment and the closure of the leased facilities. During the fourth quarter of fiscal 2021, we wrote down $8.7 million of leasehold improvements, $0.1 million of equipment, and $0.6 million of inventory (recognized through cost of goods sold). We also paid $0.4 million in employee severance. The impairment related to the RFG Florida closure has been recorded on the face of the income statement under “Impairment and charges related to RFG Florida facility closure”.</w:t>
      </w:r>
    </w:p>
    <w:p>
      <w:pPr>
        <w:spacing w:after="0" w:line="187" w:lineRule="exact"/>
        <w:rPr>
          <w:sz w:val="20"/>
          <w:szCs w:val="20"/>
          <w:color w:val="auto"/>
        </w:rPr>
      </w:pPr>
    </w:p>
    <w:p>
      <w:pPr>
        <w:ind w:left="40" w:right="99" w:firstLine="180"/>
        <w:spacing w:after="0" w:line="255" w:lineRule="auto"/>
        <w:rPr>
          <w:sz w:val="20"/>
          <w:szCs w:val="20"/>
          <w:color w:val="auto"/>
        </w:rPr>
      </w:pPr>
      <w:r>
        <w:rPr>
          <w:rFonts w:ascii="Times New Roman" w:cs="Times New Roman" w:eastAsia="Times New Roman" w:hAnsi="Times New Roman"/>
          <w:sz w:val="18"/>
          <w:szCs w:val="18"/>
          <w:color w:val="auto"/>
        </w:rPr>
        <w:t>As of April 30, 2022 and October 31, 2021, the Company had right of use assets with a net book value of $4.2 million and $4.8 million respectively, and lease liabilities of $5.4 million and $6.0 million, respectively, recorded on the balance sheet related to the closed facility. The facility lease has a maturity date of October 31, 2031. The Company intends to seek a sub-lease tenant to assume the vacated space, and believes such a sub-lease can be obtained at a lease rate, and for a lease period, sufficient to realize the right of use asset. Management will continue to evaluate the actual amounts and duration of expected future sub-lease revenues. Should the actual sub-lease revenues be less than those currently expected, the Company may need to record impairment of some or all of its investment in the right of use asset.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19" w:firstLine="18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April 30, 2022, we incurred $0.3 million and $1.0 million of incremental restructuring and related costs due to the transition to other facilities.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70" w:lineRule="exact"/>
        <w:rPr>
          <w:sz w:val="20"/>
          <w:szCs w:val="20"/>
          <w:color w:val="auto"/>
        </w:rPr>
      </w:pPr>
    </w:p>
    <w:p>
      <w:pPr>
        <w:ind w:left="40" w:right="139" w:firstLine="180"/>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56" w:lineRule="exact"/>
        <w:rPr>
          <w:sz w:val="20"/>
          <w:szCs w:val="20"/>
          <w:color w:val="auto"/>
        </w:rPr>
      </w:pPr>
    </w:p>
    <w:p>
      <w:pPr>
        <w:ind w:left="40" w:right="79" w:firstLine="18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and six months ended April 30, 2022, as compared to those disclosed in the “Management’s Discussion and Analysis of Financial Condition and Results of Operations—Critical Accounting Estimates” in our Annual Report on Form 10-K for our fiscal year ended October 31, 2021.</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The below tables include non-GAAP measures EBITDA, adjusted EBITDA, adjusted net income and adjusted diluted EPS, which are not prepared in accordance with U.S. generally accepted accounting principles, or “GAAP.”</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is defined as net income (loss) attributable to Calavo Growers, Inc. excluding (1) interest income and expense,</w:t>
      </w:r>
    </w:p>
    <w:p>
      <w:pPr>
        <w:spacing w:after="0" w:line="27" w:lineRule="exact"/>
        <w:rPr>
          <w:sz w:val="20"/>
          <w:szCs w:val="20"/>
          <w:color w:val="auto"/>
        </w:rPr>
      </w:pPr>
    </w:p>
    <w:p>
      <w:pPr>
        <w:ind w:left="40" w:right="119" w:firstLine="4"/>
        <w:spacing w:after="0" w:line="251" w:lineRule="auto"/>
        <w:tabs>
          <w:tab w:leader="none" w:pos="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93"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92"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6"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099"/>
        <w:spacing w:after="0" w:line="282" w:lineRule="auto"/>
        <w:rPr>
          <w:sz w:val="20"/>
          <w:szCs w:val="20"/>
          <w:color w:val="auto"/>
        </w:rPr>
      </w:pPr>
      <w:r>
        <w:rPr>
          <w:rFonts w:ascii="Times New Roman" w:cs="Times New Roman" w:eastAsia="Times New Roman" w:hAnsi="Times New Roman"/>
          <w:sz w:val="18"/>
          <w:szCs w:val="18"/>
          <w:color w:val="auto"/>
        </w:rPr>
        <w:t>may not be comparable to similarly titled measures presented by other companies and may not be identical to corresponding measures used in Company agreements.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(Non-GAAP, Unaudited)</w:t>
      </w:r>
    </w:p>
    <w:p>
      <w:pPr>
        <w:spacing w:after="0" w:line="229"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Six month ended</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FreshRealm and other related expenses (b)</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 loss on Limoneira shares (d)</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RFG rent expense add back (e)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98"/>
        </w:trPr>
        <w:tc>
          <w:tcPr>
            <w:tcW w:w="5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management recruiting and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(f)</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tax matters (g)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and charges related to closure of RFG Florida facility</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(i)</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net income attributed to Calavo Growers,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24)</w:t>
            </w:r>
          </w:p>
        </w:tc>
        <w:tc>
          <w:tcPr>
            <w:tcW w:w="3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17,756</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0" w:type="dxa"/>
            <w:vAlign w:val="bottom"/>
          </w:tcPr>
          <w:p>
            <w:pPr>
              <w:spacing w:after="0"/>
              <w:rPr>
                <w:sz w:val="1"/>
                <w:szCs w:val="1"/>
                <w:color w:val="auto"/>
              </w:rPr>
            </w:pPr>
          </w:p>
        </w:tc>
      </w:tr>
      <w:tr>
        <w:trPr>
          <w:trHeight w:val="102"/>
        </w:trPr>
        <w:tc>
          <w:tcPr>
            <w:tcW w:w="30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560" w:right="99" w:hanging="327"/>
        <w:spacing w:after="0" w:line="264"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For the three months ended April 30, 2022 and 2021, we realized losses from Agricola Don Memo totaling less than $0.1 million and $1.1 million. For the six months ended April 30, 2022 and 2021, we realized losses from Agricola Don Memo totaling less than $0.5 million and $1.3 million.</w:t>
      </w:r>
    </w:p>
    <w:p>
      <w:pPr>
        <w:spacing w:after="0" w:line="83" w:lineRule="exact"/>
        <w:rPr>
          <w:rFonts w:ascii="Times New Roman" w:cs="Times New Roman" w:eastAsia="Times New Roman" w:hAnsi="Times New Roman"/>
          <w:sz w:val="18"/>
          <w:szCs w:val="18"/>
          <w:color w:val="auto"/>
        </w:rPr>
      </w:pPr>
    </w:p>
    <w:p>
      <w:pPr>
        <w:ind w:left="560" w:right="319" w:hanging="327"/>
        <w:spacing w:after="0" w:line="281"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professional fees related to the FreshRealm Separation Agreement for the three and six months ended April 30, 2021. Partially offsetting this expense, as part of the FreshRealm Separation Agreement, we received $0.1 million of previously reserved receivables for the six months ended April 30, 2021.</w:t>
      </w:r>
    </w:p>
    <w:p>
      <w:pPr>
        <w:spacing w:after="0" w:line="69" w:lineRule="exact"/>
        <w:rPr>
          <w:rFonts w:ascii="Times New Roman" w:cs="Times New Roman" w:eastAsia="Times New Roman" w:hAnsi="Times New Roman"/>
          <w:sz w:val="16"/>
          <w:szCs w:val="16"/>
          <w:color w:val="auto"/>
        </w:rPr>
      </w:pPr>
    </w:p>
    <w:p>
      <w:pPr>
        <w:ind w:left="560" w:right="299" w:hanging="327"/>
        <w:spacing w:after="0" w:line="298"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April 30, 2021, we incurred professional service costs related to a considered but non-consummated acquisition.</w:t>
      </w:r>
    </w:p>
    <w:p>
      <w:pPr>
        <w:spacing w:after="0" w:line="56" w:lineRule="exact"/>
        <w:rPr>
          <w:rFonts w:ascii="Times New Roman" w:cs="Times New Roman" w:eastAsia="Times New Roman" w:hAnsi="Times New Roman"/>
          <w:sz w:val="16"/>
          <w:szCs w:val="16"/>
          <w:color w:val="auto"/>
        </w:rPr>
      </w:pPr>
    </w:p>
    <w:p>
      <w:pPr>
        <w:ind w:left="560" w:right="219" w:hanging="327"/>
        <w:spacing w:after="0" w:line="275"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April 30, 2022 and 2021, we recorded $4.9 million in unrealized losses and $3.5 million in unrealized gains related to these mark-to-market adjustments, respectively. For the six months ended April 30, 2022 and 2021, we recorded $7.0 million in unrealized losses and $7.1 million in unrealized gains related to these mark-to-market adjustments, respectively.</w:t>
      </w:r>
    </w:p>
    <w:p>
      <w:pPr>
        <w:spacing w:after="0" w:line="74" w:lineRule="exact"/>
        <w:rPr>
          <w:rFonts w:ascii="Times New Roman" w:cs="Times New Roman" w:eastAsia="Times New Roman" w:hAnsi="Times New Roman"/>
          <w:sz w:val="16"/>
          <w:szCs w:val="16"/>
          <w:color w:val="auto"/>
        </w:rPr>
      </w:pPr>
    </w:p>
    <w:p>
      <w:pPr>
        <w:jc w:val="both"/>
        <w:ind w:left="560" w:right="59" w:hanging="327"/>
        <w:spacing w:after="0" w:line="281"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April 30, 2022 and 2021, we incurred $0.1 million related to rent paid for RFG corporate office space that we have vacated and plan to sublease. For the six months ended April 30, 2022 and 2021, we incurred $0.2 million related to rent paid for RFG corporate office space that we have vacated and plan to sublease.</w:t>
      </w:r>
    </w:p>
    <w:p>
      <w:pPr>
        <w:spacing w:after="0" w:line="69" w:lineRule="exact"/>
        <w:rPr>
          <w:rFonts w:ascii="Times New Roman" w:cs="Times New Roman" w:eastAsia="Times New Roman" w:hAnsi="Times New Roman"/>
          <w:sz w:val="16"/>
          <w:szCs w:val="16"/>
          <w:color w:val="auto"/>
        </w:rPr>
      </w:pPr>
    </w:p>
    <w:p>
      <w:pPr>
        <w:ind w:left="560" w:right="219" w:hanging="327"/>
        <w:spacing w:after="0" w:line="281"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April 30, 2022, we recorded $0.7 million and $1.8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0" w:right="179"/>
        <w:spacing w:after="0" w:line="281" w:lineRule="auto"/>
        <w:rPr>
          <w:sz w:val="20"/>
          <w:szCs w:val="20"/>
          <w:color w:val="auto"/>
        </w:rPr>
      </w:pPr>
      <w:r>
        <w:rPr>
          <w:rFonts w:ascii="Times New Roman" w:cs="Times New Roman" w:eastAsia="Times New Roman" w:hAnsi="Times New Roman"/>
          <w:sz w:val="16"/>
          <w:szCs w:val="16"/>
          <w:color w:val="auto"/>
        </w:rPr>
        <w:t>three and six months ended April 30, 2022, we recorded $1.4 million of severance accrual related to the Project Uno restructuring. For the three months and six months ended April 30, 2021, we recorded higher stock-based compensation for the early vesting of restricted stock for the retirement of our former Chief Executive Officer and Board member.</w:t>
      </w:r>
    </w:p>
    <w:p>
      <w:pPr>
        <w:spacing w:after="0" w:line="83" w:lineRule="exact"/>
        <w:rPr>
          <w:sz w:val="20"/>
          <w:szCs w:val="20"/>
          <w:color w:val="auto"/>
        </w:rPr>
      </w:pPr>
    </w:p>
    <w:p>
      <w:pPr>
        <w:jc w:val="both"/>
        <w:ind w:left="560" w:right="139" w:hanging="327"/>
        <w:spacing w:after="0" w:line="281"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April 30, 2022, we incurred $0.5 million and $0.8 million of related professional fees related to the Mexican tax matters. See Note 7 to the consolidated condensed financial statements included in this Quarterly Report for further information.</w:t>
      </w:r>
    </w:p>
    <w:p>
      <w:pPr>
        <w:spacing w:after="0" w:line="69" w:lineRule="exact"/>
        <w:rPr>
          <w:rFonts w:ascii="Times New Roman" w:cs="Times New Roman" w:eastAsia="Times New Roman" w:hAnsi="Times New Roman"/>
          <w:sz w:val="16"/>
          <w:szCs w:val="16"/>
          <w:color w:val="auto"/>
        </w:rPr>
      </w:pPr>
    </w:p>
    <w:p>
      <w:pPr>
        <w:ind w:left="560" w:right="139" w:hanging="327"/>
        <w:spacing w:after="0" w:line="275"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18, 2021, we announced the closure of RFG’s food processing operations at our Green Cove Springs (near Jacksonville), Florida facility, as part of our Project Uno profit improvement program. As of November 15, the Green Cove facility of RFG has ceased operations. We incurred $0.3 million and $1.0 million of expenses for the three and six months ended April 30, 2022, related to the closure of this facility.</w:t>
      </w:r>
    </w:p>
    <w:p>
      <w:pPr>
        <w:spacing w:after="0" w:line="74" w:lineRule="exact"/>
        <w:rPr>
          <w:rFonts w:ascii="Times New Roman" w:cs="Times New Roman" w:eastAsia="Times New Roman" w:hAnsi="Times New Roman"/>
          <w:sz w:val="16"/>
          <w:szCs w:val="16"/>
          <w:color w:val="auto"/>
        </w:rPr>
      </w:pPr>
    </w:p>
    <w:p>
      <w:pPr>
        <w:ind w:left="560" w:hanging="327"/>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of non-GAAP adjustments are based on effective year-to-date tax rates.</w:t>
      </w: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 (Non-GAAP, Unaudited)</w:t>
      </w:r>
    </w:p>
    <w:p>
      <w:pPr>
        <w:spacing w:after="0" w:line="229" w:lineRule="exact"/>
        <w:rPr>
          <w:sz w:val="20"/>
          <w:szCs w:val="20"/>
          <w:color w:val="auto"/>
        </w:rPr>
      </w:pPr>
    </w:p>
    <w:p>
      <w:pPr>
        <w:ind w:left="40" w:right="279"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 (d)</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losses recognized from unconsolidated entities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Limoneira shares (d)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(Recovery) from FreshRealm and other related expenses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RFG rent expense add back (e)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costs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and management recruiting and severance (f)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charges related to closure of RFG Florida facility (h)</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 per dilutive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prior page for footnote references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six months ended April 30, 2022 and 2021:</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20" w:type="dxa"/>
            <w:vAlign w:val="bottom"/>
            <w:gridSpan w:val="6"/>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40" w:type="dxa"/>
            <w:vAlign w:val="bottom"/>
          </w:tcPr>
          <w:p>
            <w:pPr>
              <w:spacing w:after="0"/>
              <w:rPr>
                <w:sz w:val="15"/>
                <w:szCs w:val="15"/>
                <w:color w:val="auto"/>
              </w:rPr>
            </w:pPr>
          </w:p>
        </w:tc>
        <w:tc>
          <w:tcPr>
            <w:tcW w:w="27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$ 210,997</w:t>
            </w: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30 % $ 161,686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$ 373,582</w:t>
            </w: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35 % $ 277,145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102,159</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197,923</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intercompany eliminations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2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$ 331,418</w:t>
            </w:r>
          </w:p>
        </w:tc>
        <w:tc>
          <w:tcPr>
            <w:tcW w:w="90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$ 276,821</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$ 605,510</w:t>
            </w:r>
          </w:p>
        </w:tc>
        <w:tc>
          <w:tcPr>
            <w:tcW w:w="92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$ 497,399</w:t>
            </w:r>
          </w:p>
        </w:tc>
        <w:tc>
          <w:tcPr>
            <w:tcW w:w="20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Fresh products</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63.4 %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58.0 %</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61.4 %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r>
      <w:tr>
        <w:trPr>
          <w:trHeight w:val="216"/>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RFG</w:t>
            </w:r>
          </w:p>
        </w:tc>
        <w:tc>
          <w:tcPr>
            <w:tcW w:w="17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30.7 %</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34.5 %</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32.5 %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16"/>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Calavo Foods</w:t>
            </w:r>
          </w:p>
        </w:tc>
        <w:tc>
          <w:tcPr>
            <w:tcW w:w="174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6.0 %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7.4 %</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6.1 %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09"/>
        </w:trPr>
        <w:tc>
          <w:tcPr>
            <w:tcW w:w="34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2022, compared to the corresponding period in fiscal 2021, increased by $54.6 million, or approximately 20%. The increase was primarily due to our Fresh products segment. Net sales for the six months ended April 30, 2022, compared to the corresponding period in fiscal 2021, increased by $108.1 million, or approximately 22%. The increase was primarily due to our Fresh products segment.</w:t>
      </w:r>
    </w:p>
    <w:p>
      <w:pPr>
        <w:spacing w:after="0" w:line="180"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April 30, 2022, the increase in Fresh product sales was primarily due to an increase in price per unit of avocados slightly offset by lower sales volume resulting from industry-wide constraints of fruit available for purchase in Mexico. For the three and six months ended April 30, 2022, the increase in RFG sales was due primarily to increased per unit sales prices of fresh-cut fruit &amp; vegetables and prepared foods products. For the three and six months ended April 30, 2022, the decrease in Calavo Foods was due primarily to lower sales volume of guacamole and other prepared avocado products. See discussion below for further details.</w:t>
      </w:r>
    </w:p>
    <w:p>
      <w:pPr>
        <w:spacing w:after="0" w:line="187" w:lineRule="exact"/>
        <w:rPr>
          <w:sz w:val="20"/>
          <w:szCs w:val="20"/>
          <w:color w:val="auto"/>
        </w:rPr>
      </w:pPr>
    </w:p>
    <w:p>
      <w:pPr>
        <w:jc w:val="center"/>
        <w:ind w:left="20" w:right="79"/>
        <w:spacing w:after="0" w:line="282" w:lineRule="auto"/>
        <w:rPr>
          <w:sz w:val="20"/>
          <w:szCs w:val="20"/>
          <w:color w:val="auto"/>
        </w:rPr>
      </w:pPr>
      <w:r>
        <w:rPr>
          <w:rFonts w:ascii="Times New Roman" w:cs="Times New Roman" w:eastAsia="Times New Roman" w:hAnsi="Times New Roman"/>
          <w:sz w:val="18"/>
          <w:szCs w:val="18"/>
          <w:color w:val="auto"/>
        </w:rPr>
        <w:t>All three segments of our business are subject to seasonal trends which can impact the volume and/or quality of raw materials sourced in any particular quarter. All intercompany sales are eliminated in our consolidated results of operations.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Second Quarter 2022 vs. Second Quarter 2021</w:t>
      </w:r>
    </w:p>
    <w:p>
      <w:pPr>
        <w:spacing w:after="0" w:line="225"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Fresh products business increased by approximately $49.3 million, or 31%, for the second quarter of fiscal 2022 compared to the corresponding period in fiscal 2021. This increase in Fresh product sales during the second quarter of fiscal 2022 was primarily related to increased sales prices of avocados due to increased demand and lower overall supply of avocados in the marketplace. In addition, tomato sales increased due to an increase in overall sales volume, partially offset by a decrease in sales prices.</w:t>
      </w:r>
    </w:p>
    <w:p>
      <w:pPr>
        <w:spacing w:after="0" w:line="183" w:lineRule="exact"/>
        <w:rPr>
          <w:sz w:val="20"/>
          <w:szCs w:val="20"/>
          <w:color w:val="auto"/>
        </w:rPr>
      </w:pPr>
    </w:p>
    <w:p>
      <w:pPr>
        <w:ind w:left="40" w:right="299" w:firstLine="259"/>
        <w:spacing w:after="0" w:line="282" w:lineRule="auto"/>
        <w:rPr>
          <w:sz w:val="20"/>
          <w:szCs w:val="20"/>
          <w:color w:val="auto"/>
        </w:rPr>
      </w:pPr>
      <w:r>
        <w:rPr>
          <w:rFonts w:ascii="Times New Roman" w:cs="Times New Roman" w:eastAsia="Times New Roman" w:hAnsi="Times New Roman"/>
          <w:sz w:val="18"/>
          <w:szCs w:val="18"/>
          <w:color w:val="auto"/>
        </w:rPr>
        <w:t>Sales of avocados increased $45.4 million, or 31%, for the second quarter of 2022 compared to the prior year period. The average avocado sales price per carton increased 51% compared to the prior year period. This increase in the sales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8"/>
          <w:szCs w:val="18"/>
          <w:color w:val="auto"/>
        </w:rPr>
        <w:t>price per carton was mainly due to an industry-wide decrease of supply of avocados in the marketplace. The volume of avocados sold in the second quarter of 2022 decreased 13% compared to the prior year period which is consistent with the decrease of avocados imported from Mexico into the United States for the same period.</w:t>
      </w:r>
    </w:p>
    <w:p>
      <w:pPr>
        <w:spacing w:after="0" w:line="176" w:lineRule="exact"/>
        <w:rPr>
          <w:sz w:val="20"/>
          <w:szCs w:val="20"/>
          <w:color w:val="auto"/>
        </w:rPr>
      </w:pPr>
    </w:p>
    <w:p>
      <w:pPr>
        <w:ind w:left="40" w:right="479" w:firstLine="259"/>
        <w:spacing w:after="0" w:line="282" w:lineRule="auto"/>
        <w:rPr>
          <w:sz w:val="20"/>
          <w:szCs w:val="20"/>
          <w:color w:val="auto"/>
        </w:rPr>
      </w:pPr>
      <w:r>
        <w:rPr>
          <w:rFonts w:ascii="Times New Roman" w:cs="Times New Roman" w:eastAsia="Times New Roman" w:hAnsi="Times New Roman"/>
          <w:sz w:val="18"/>
          <w:szCs w:val="18"/>
          <w:color w:val="auto"/>
        </w:rPr>
        <w:t>Sales of tomatoes increased $3.9 million, or 29%, for the second quarter of 2022, when compared to the prior year period. This increase in tomato sales was primarily due to a 26% increase in the cartons sold of tomatoes.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2022 vs. Six Months Ended April 30, 2021</w:t>
      </w:r>
    </w:p>
    <w:p>
      <w:pPr>
        <w:spacing w:after="0" w:line="225"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Fresh products business increased by approximately $96.4 million, or 35%, for the six months ended April 30, 2022, compared to the corresponding period in fiscal 2021. This increase in Fresh product sales during the six months ended April 30, 2022, was primarily related to increased sales prices of avocados due to increased demand and lower overall supply of avocados in the marketplace. In addition, tomato sales increased due to an increase in overall sales volume, partially offset by a decrease in sales prices.</w:t>
      </w:r>
    </w:p>
    <w:p>
      <w:pPr>
        <w:spacing w:after="0" w:line="183"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$91.8 million, or 37%, for the six months ended April 30, 2022, compared to the prior year period. The average avocado sales price per carton increased 56% compared to the prior year period. This increase in the sales price per carton was mainly due to a decrease of supply of avocados in the marketplace. The volume of avocados sold in the second quarter of 2022 decreased 12% compared to the prior year period.</w:t>
      </w:r>
    </w:p>
    <w:p>
      <w:pPr>
        <w:spacing w:after="0" w:line="180"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Sales of tomatoes increased $4.7 million, or 21%, for the six months ended April 30, 2022, when compared to the prior year period. This increase in tomato sales was primarily due to a 25% increase in the cartons sold of tomatoes, partially offset by a 3% decrease in average sales prices per carton.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Second Quarter 2022 vs. Second Quarter 2021</w:t>
      </w:r>
    </w:p>
    <w:p>
      <w:pPr>
        <w:spacing w:after="0" w:line="225"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Net sales for RFG for the quarter ended April 30, 2022, compared to the corresponding period in fiscal 2021, increased $5.9 million, or 6%. This increase was primarily reflecting price increases of 11% and favorable product mix, partially offset by a 5% decrease in lower sales volumes.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2022 vs. Six Months Ended April 30, 2021</w:t>
      </w:r>
    </w:p>
    <w:p>
      <w:pPr>
        <w:spacing w:after="0" w:line="225"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RFG for the six months ended April 30, 2022, compared to the corresponding period in fiscal 2021, increased $11.3 million, or 6%. This increase was primarily reflecting prices increases of 10% and favorable product mix, partially offset by a 3% decrease in lower sales volumes.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Second Quarter 2022 vs. Second Quarter 2021</w:t>
      </w:r>
    </w:p>
    <w:p>
      <w:pPr>
        <w:spacing w:after="0" w:line="225"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Net sales for Calavo Foods for the quarter ended April 30, 2022, compared to the corresponding period in fiscal 2021, decreased $0.9 million, or 4%. Sales of prepared avocado products decreased by approximately $0.6 million, or 3%, primarily related to a decrease in the total volume of pounds sold. Sales of salsa decreased by approximately $0.3 million, or 42%, primarily related to a decrease in the total volume of pounds sold.</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2022 vs. Six Months Ended April 30, 2021</w:t>
      </w:r>
    </w:p>
    <w:p>
      <w:pPr>
        <w:spacing w:after="0" w:line="225"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Net sales for Calavo Foods for the six months ended April 30, 2022, compared to the corresponding period in fiscal 2021, decreased $0.3 million, or 1%. Sales of salsa decreased by approximately $0.6 million, or 41%, primarily related to a decrease in the total volume of pounds sold. Partially offsetting this decrease, sales of prepared avocado products increased by approximately $0.3 million, or 1%, primarily related to an increase of 3% of net sales per pound, partially offset by a decrease of 2% of pounds sold.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1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and six months ended April 30, 2022 and 2021:</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25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5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84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290"/>
        </w:trPr>
        <w:tc>
          <w:tcPr>
            <w:tcW w:w="38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$ 18,156</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21 % $ 15,008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$ 29,822</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6 % $ 28,153</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60" w:type="dxa"/>
            <w:vAlign w:val="bottom"/>
            <w:tcBorders>
              <w:bottom w:val="single" w:sz="8" w:color="CCEEFF"/>
            </w:tcBorders>
          </w:tcPr>
          <w:p>
            <w:pPr>
              <w:spacing w:after="0"/>
              <w:rPr>
                <w:sz w:val="18"/>
                <w:szCs w:val="18"/>
                <w:color w:val="auto"/>
              </w:rPr>
            </w:pPr>
          </w:p>
        </w:tc>
      </w:tr>
      <w:tr>
        <w:trPr>
          <w:trHeight w:val="209"/>
        </w:trPr>
        <w:tc>
          <w:tcPr>
            <w:tcW w:w="3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$ 21,741</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$ 22,600</w:t>
            </w: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$ 34,969</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$ 40,439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(loss) percentages:</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Fresh products</w:t>
            </w: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8.6 %</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9.3 %</w:t>
            </w: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8.0 %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RFG</w:t>
            </w:r>
          </w:p>
        </w:tc>
        <w:tc>
          <w:tcPr>
            <w:tcW w:w="19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2.2 %</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2.4 %</w:t>
            </w: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Calavo Foods</w:t>
            </w:r>
          </w:p>
        </w:tc>
        <w:tc>
          <w:tcPr>
            <w:tcW w:w="19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6.8 %</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25.6 %</w:t>
            </w: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9.6 %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16"/>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19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6.6 %</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8.2 %</w:t>
            </w:r>
          </w:p>
        </w:tc>
        <w:tc>
          <w:tcPr>
            <w:tcW w:w="12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left="40" w:right="2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(fruit, vegetables and other food products), packing materials, freight and handling, labor and overhead (including depreciation) associated with preparing food products, and other direct expenses pertaining to products sold.</w:t>
      </w:r>
    </w:p>
    <w:p>
      <w:pPr>
        <w:spacing w:after="0" w:line="176"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Gross profit decreased by approximately $0.9 million, or 4%, for the second quarter of fiscal 2022 compared to the corresponding period in fiscal 2021. The decrease was primarily attributable to gross profit declines across the Calavo Foods segment. Gross profit decreased by approximately $5.5 million, or 14%, for the six months ended April 30, 2022 compared to the corresponding period in fiscal 2021. The decrease was primarily attributable to gross profit declines across the RFG and Calavo Foods segments.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Fresh products</w:t>
      </w:r>
    </w:p>
    <w:p>
      <w:pPr>
        <w:spacing w:after="0" w:line="227" w:lineRule="exact"/>
        <w:rPr>
          <w:sz w:val="20"/>
          <w:szCs w:val="20"/>
          <w:color w:val="auto"/>
        </w:rPr>
      </w:pPr>
    </w:p>
    <w:p>
      <w:pPr>
        <w:ind w:left="40" w:right="59" w:firstLine="259"/>
        <w:spacing w:after="0" w:line="261" w:lineRule="auto"/>
        <w:rPr>
          <w:sz w:val="20"/>
          <w:szCs w:val="20"/>
          <w:color w:val="auto"/>
        </w:rPr>
      </w:pPr>
      <w:r>
        <w:rPr>
          <w:rFonts w:ascii="Times New Roman" w:cs="Times New Roman" w:eastAsia="Times New Roman" w:hAnsi="Times New Roman"/>
          <w:sz w:val="18"/>
          <w:szCs w:val="18"/>
          <w:color w:val="auto"/>
        </w:rPr>
        <w:t>The increase in our Fresh products gross profit for the quarter ended April 30, 2022, was the result of increased gross profit for avocados. Overall gross profit increased for avocados, while the overall gross profit percentage decreased. For the second quarter of fiscal 2022, the gross profit percentage for avocados was 8.5% compared to 9.2% for the second quarter of 2021, due to lower volumes and increases in labor, and freight costs.</w:t>
      </w:r>
    </w:p>
    <w:p>
      <w:pPr>
        <w:spacing w:after="0" w:line="180" w:lineRule="exact"/>
        <w:rPr>
          <w:sz w:val="20"/>
          <w:szCs w:val="20"/>
          <w:color w:val="auto"/>
        </w:rPr>
      </w:pPr>
    </w:p>
    <w:p>
      <w:pPr>
        <w:ind w:left="40" w:right="59" w:firstLine="304"/>
        <w:spacing w:after="0" w:line="266" w:lineRule="auto"/>
        <w:rPr>
          <w:sz w:val="20"/>
          <w:szCs w:val="20"/>
          <w:color w:val="auto"/>
        </w:rPr>
      </w:pPr>
      <w:r>
        <w:rPr>
          <w:rFonts w:ascii="Times New Roman" w:cs="Times New Roman" w:eastAsia="Times New Roman" w:hAnsi="Times New Roman"/>
          <w:sz w:val="18"/>
          <w:szCs w:val="18"/>
          <w:color w:val="auto"/>
        </w:rPr>
        <w:t>Gross profit for the quarter was also affected by the weakening of the U.S. dollar in relation to the Mexican peso during the quarter, resulting in a $0.3 million net loss related the remeasurement of peso-dominated net assets at our Mexican subsidiaries. This is in comparison to a remeasurement gain of $0.5 million for the same period last year.</w:t>
      </w:r>
    </w:p>
    <w:p>
      <w:pPr>
        <w:spacing w:after="0" w:line="176"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The increase in our Fresh products gross profit for the six months ended April 30, 2022, was the result of increased gross profit for avocados. Overall gross profit increased for avocados, while the overall gross profit percentage decreased. For the six months ended April 30, 2022, the gross profit percentage for avocados was 7.9% compared to 10.1% for the six months ended April 30,2021, due to lower volumes and increases in labor, and freight costs.</w:t>
      </w:r>
    </w:p>
    <w:p>
      <w:pPr>
        <w:spacing w:after="0" w:line="180" w:lineRule="exact"/>
        <w:rPr>
          <w:sz w:val="20"/>
          <w:szCs w:val="20"/>
          <w:color w:val="auto"/>
        </w:rPr>
      </w:pPr>
    </w:p>
    <w:p>
      <w:pPr>
        <w:ind w:left="40" w:right="59" w:firstLine="304"/>
        <w:spacing w:after="0" w:line="261" w:lineRule="auto"/>
        <w:rPr>
          <w:sz w:val="20"/>
          <w:szCs w:val="20"/>
          <w:color w:val="auto"/>
        </w:rPr>
      </w:pPr>
      <w:r>
        <w:rPr>
          <w:rFonts w:ascii="Times New Roman" w:cs="Times New Roman" w:eastAsia="Times New Roman" w:hAnsi="Times New Roman"/>
          <w:sz w:val="18"/>
          <w:szCs w:val="18"/>
          <w:color w:val="auto"/>
        </w:rPr>
        <w:t>Gross profit for the quarter was also affected by the weakening of the U.S. dollar in relation to the Mexican peso during the six months ended April 30, 2022, resulting in a $0.9 million net loss related the remeasurement of peso-dominated net assets at our Mexican subsidiaries. This is in comparison to a remeasurement gain of $0.6 million for the same period last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Note that any additional significant fluctuations in the exchange rate between the U.S. dollar and the Mexican peso may have a material impact on future gross profits for our Fresh products segment.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RFG</w:t>
      </w:r>
    </w:p>
    <w:p>
      <w:pPr>
        <w:spacing w:after="0" w:line="227" w:lineRule="exact"/>
        <w:rPr>
          <w:sz w:val="20"/>
          <w:szCs w:val="20"/>
          <w:color w:val="auto"/>
        </w:rPr>
      </w:pPr>
    </w:p>
    <w:p>
      <w:pPr>
        <w:ind w:left="40" w:right="259" w:firstLine="324"/>
        <w:spacing w:after="0" w:line="266" w:lineRule="auto"/>
        <w:rPr>
          <w:sz w:val="20"/>
          <w:szCs w:val="20"/>
          <w:color w:val="auto"/>
        </w:rPr>
      </w:pPr>
      <w:r>
        <w:rPr>
          <w:rFonts w:ascii="Times New Roman" w:cs="Times New Roman" w:eastAsia="Times New Roman" w:hAnsi="Times New Roman"/>
          <w:sz w:val="18"/>
          <w:szCs w:val="18"/>
          <w:color w:val="auto"/>
        </w:rPr>
        <w:t>RFG’s gross profit percentage for the quarter ended April 30, 2022 was 2.2%, compared to 2.4% for the prior year period. The declines in gross profit for the quarter ended April 30, 2022, were due to increased commodity costs, lack of availability of key commodities, and lower supply and higher turnover of labor</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ind w:left="40" w:right="139" w:firstLine="324"/>
        <w:spacing w:after="0" w:line="281" w:lineRule="auto"/>
        <w:rPr>
          <w:sz w:val="20"/>
          <w:szCs w:val="20"/>
          <w:color w:val="auto"/>
        </w:rPr>
      </w:pPr>
      <w:r>
        <w:rPr>
          <w:rFonts w:ascii="Times New Roman" w:cs="Times New Roman" w:eastAsia="Times New Roman" w:hAnsi="Times New Roman"/>
          <w:sz w:val="17"/>
          <w:szCs w:val="17"/>
          <w:color w:val="auto"/>
        </w:rPr>
        <w:t>RFG’s gross profit percentage for the six months ended April 30, 2022 was 0.8%, compared to 1.2% for the prior year period. The declines in gross profit for the six months ended April 30, 2022, were due to increased commodity costs, lack of availability of key commodities, and lower supply and higher turnover of labor</w:t>
      </w:r>
      <w:r>
        <w:rPr>
          <w:rFonts w:ascii="Times New Roman" w:cs="Times New Roman" w:eastAsia="Times New Roman" w:hAnsi="Times New Roman"/>
          <w:sz w:val="17"/>
          <w:szCs w:val="17"/>
          <w:color w:val="212529"/>
        </w:rPr>
        <w:t>. In addition,</w:t>
      </w:r>
      <w:r>
        <w:rPr>
          <w:rFonts w:ascii="Times New Roman" w:cs="Times New Roman" w:eastAsia="Times New Roman" w:hAnsi="Times New Roman"/>
          <w:sz w:val="17"/>
          <w:szCs w:val="17"/>
          <w:color w:val="auto"/>
        </w:rPr>
        <w:t xml:space="preserve"> results were negatively impacted by ramp up and consolidation of operations in our Jacksonville, Florida facility into our Georgia facility.</w:t>
      </w:r>
    </w:p>
    <w:p>
      <w:pPr>
        <w:spacing w:after="0" w:line="164" w:lineRule="exact"/>
        <w:rPr>
          <w:sz w:val="20"/>
          <w:szCs w:val="20"/>
          <w:color w:val="auto"/>
        </w:rPr>
      </w:pPr>
    </w:p>
    <w:p>
      <w:pPr>
        <w:jc w:val="both"/>
        <w:ind w:left="40" w:right="219" w:firstLine="243"/>
        <w:spacing w:after="0" w:line="266" w:lineRule="auto"/>
        <w:rPr>
          <w:sz w:val="20"/>
          <w:szCs w:val="20"/>
          <w:color w:val="auto"/>
        </w:rPr>
      </w:pPr>
      <w:r>
        <w:rPr>
          <w:rFonts w:ascii="Times New Roman" w:cs="Times New Roman" w:eastAsia="Times New Roman" w:hAnsi="Times New Roman"/>
          <w:sz w:val="18"/>
          <w:szCs w:val="18"/>
          <w:color w:val="auto"/>
        </w:rPr>
        <w:t>We continue to experience operational challenges to our production facilities and logistics networks, shortage of labor and impacts from increases in prices of petroleum-based products, packaging materials and commodities, all of which are increasing costs companywide with the effects especially pronounced at RFG.</w:t>
      </w:r>
    </w:p>
    <w:p>
      <w:pPr>
        <w:spacing w:after="0" w:line="176" w:lineRule="exact"/>
        <w:rPr>
          <w:sz w:val="20"/>
          <w:szCs w:val="20"/>
          <w:color w:val="auto"/>
        </w:rPr>
      </w:pPr>
    </w:p>
    <w:p>
      <w:pPr>
        <w:ind w:left="40" w:right="139" w:firstLine="225"/>
        <w:spacing w:after="0" w:line="256" w:lineRule="auto"/>
        <w:rPr>
          <w:sz w:val="20"/>
          <w:szCs w:val="20"/>
          <w:color w:val="auto"/>
        </w:rPr>
      </w:pPr>
      <w:r>
        <w:rPr>
          <w:rFonts w:ascii="Times New Roman" w:cs="Times New Roman" w:eastAsia="Times New Roman" w:hAnsi="Times New Roman"/>
          <w:sz w:val="18"/>
          <w:szCs w:val="18"/>
          <w:color w:val="auto"/>
        </w:rPr>
        <w:t>In response to the inflationary costs described above, we notified our customers of our plans to institute price increases for our RFG and Foods products. Management believes the price increases will largely be accepted by our customers without significant loss of sales, will reverse the margin compression experienced by the RFG and Foods segments during the pandemic, and will enable us to continue to invest in initiatives that drive growth. However, we cannot assure that such price increases will not cause a loss of sales, will improve margins in our RFG and Foods segments or that we will be able to undertake future initiatives to drive growth.</w:t>
      </w:r>
    </w:p>
    <w:p>
      <w:pPr>
        <w:spacing w:after="0" w:line="187" w:lineRule="exact"/>
        <w:rPr>
          <w:sz w:val="20"/>
          <w:szCs w:val="20"/>
          <w:color w:val="auto"/>
        </w:rPr>
      </w:pPr>
    </w:p>
    <w:p>
      <w:pPr>
        <w:ind w:left="40" w:right="59" w:firstLine="243"/>
        <w:spacing w:after="0" w:line="258" w:lineRule="auto"/>
        <w:rPr>
          <w:sz w:val="20"/>
          <w:szCs w:val="20"/>
          <w:color w:val="auto"/>
        </w:rPr>
      </w:pPr>
      <w:r>
        <w:rPr>
          <w:rFonts w:ascii="Times New Roman" w:cs="Times New Roman" w:eastAsia="Times New Roman" w:hAnsi="Times New Roman"/>
          <w:sz w:val="18"/>
          <w:szCs w:val="18"/>
          <w:color w:val="auto"/>
        </w:rPr>
        <w:t>Management has considered the impact of current operating results as well as expected future results and has concluded that there were no impairment indicators with regard to intangible assets carried on the balance sheet as of April 30, 2022. This is consistent with the Company’s previous assessments which had reflected a significant cushion between the Company’s fair value determinations and the recorded carrying values of the respective intangible assets. Management will continue to evaluate the impact of operating results on these considerations in future quarters.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Calavo Foods</w:t>
      </w:r>
    </w:p>
    <w:p>
      <w:pPr>
        <w:spacing w:after="0" w:line="227" w:lineRule="exact"/>
        <w:rPr>
          <w:sz w:val="20"/>
          <w:szCs w:val="20"/>
          <w:color w:val="auto"/>
        </w:rPr>
      </w:pPr>
    </w:p>
    <w:p>
      <w:pPr>
        <w:ind w:left="40" w:right="119" w:firstLine="259"/>
        <w:spacing w:after="0" w:line="256" w:lineRule="auto"/>
        <w:rPr>
          <w:sz w:val="20"/>
          <w:szCs w:val="20"/>
          <w:color w:val="auto"/>
        </w:rPr>
      </w:pPr>
      <w:r>
        <w:rPr>
          <w:rFonts w:ascii="Times New Roman" w:cs="Times New Roman" w:eastAsia="Times New Roman" w:hAnsi="Times New Roman"/>
          <w:sz w:val="18"/>
          <w:szCs w:val="18"/>
          <w:color w:val="auto"/>
        </w:rPr>
        <w:t>Calavo Foods’ gross profit percentage for the second quarter of fiscal 2022 was 6.8%, compared to 25.6% for the prior year period. Calavo Foods’ gross profit percentage for the six months ended April 30, 2022 was 9.6%, compared to 26.9% for the prior year period. The decreases in Calavo Foods gross profit percentage were due primarily to higher fruit costs and manufacturing costs. Any significant fluctuation in the cost of fruit used in the production process or the exchange rate between the U.S. dollar and the Mexican peso may have a material impact on future gross profit for our Calavo Foods segment.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5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5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82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8"/>
        </w:trPr>
        <w:tc>
          <w:tcPr>
            <w:tcW w:w="3820" w:type="dxa"/>
            <w:vAlign w:val="bottom"/>
          </w:tcPr>
          <w:p>
            <w:pPr>
              <w:spacing w:after="0"/>
              <w:rPr>
                <w:sz w:val="11"/>
                <w:szCs w:val="11"/>
                <w:color w:val="auto"/>
              </w:rPr>
            </w:pPr>
          </w:p>
        </w:tc>
        <w:tc>
          <w:tcPr>
            <w:tcW w:w="2340" w:type="dxa"/>
            <w:vAlign w:val="bottom"/>
            <w:gridSpan w:val="5"/>
          </w:tcPr>
          <w:p>
            <w:pPr>
              <w:jc w:val="right"/>
              <w:ind w:right="27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2360" w:type="dxa"/>
            <w:vAlign w:val="bottom"/>
            <w:gridSpan w:val="5"/>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$ 16,605</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$ 13,683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$ 31,853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$ 27,857</w:t>
            </w:r>
          </w:p>
        </w:tc>
        <w:tc>
          <w:tcPr>
            <w:tcW w:w="200" w:type="dxa"/>
            <w:vAlign w:val="bottom"/>
            <w:shd w:val="clear" w:color="auto" w:fill="CCEEFF"/>
          </w:tcPr>
          <w:p>
            <w:pPr>
              <w:spacing w:after="0"/>
              <w:rPr>
                <w:sz w:val="18"/>
                <w:szCs w:val="18"/>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5.0 %</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5.3 %</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r>
    </w:tbl>
    <w:p>
      <w:pPr>
        <w:spacing w:after="0" w:line="17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of $16.6 million for the three months ended April 30, 2022 include costs of marketing and advertising, sales expenses (including broker commissions) and other general and administrative costs. Selling, general and administrative expenses increased by $2.9 million, or 21%, for the three months ended April 30, 2022 compared to the prior year period. This increase was primarily due to an increase in management restructuring costs that include recruiting fees and severance expenses ($1.5 million), an increase in consulting services related to restructuring efforts ($0.7 million), and an increase in salaries related to the investment in key personnel to advance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9"/>
        <w:spacing w:after="0" w:line="282" w:lineRule="auto"/>
        <w:rPr>
          <w:sz w:val="20"/>
          <w:szCs w:val="20"/>
          <w:color w:val="auto"/>
        </w:rPr>
      </w:pPr>
      <w:r>
        <w:rPr>
          <w:rFonts w:ascii="Times New Roman" w:cs="Times New Roman" w:eastAsia="Times New Roman" w:hAnsi="Times New Roman"/>
          <w:sz w:val="18"/>
          <w:szCs w:val="18"/>
          <w:color w:val="auto"/>
        </w:rPr>
        <w:t>Project Uno ($0.7 million). Partially offsetting this increase was a decrease of stock-based compensation due to less amortization related to management incentive stock awards ($0.5 million).</w:t>
      </w:r>
    </w:p>
    <w:p>
      <w:pPr>
        <w:spacing w:after="0" w:line="162"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of $31.9 million for the six months ended April 30, 2022 include costs of marketing and advertising, sales expenses (including broker commissions) and other general and administrative costs. Selling, general and administrative expenses increased by $4.0 million, or 14%, for the six months ended April 30, 2022 compared to the prior year period. This increase was primarily due to an increase in consulting services related to restructuring efforts ($1.8 million), an increase in management restructuring costs that include recruiting fees and severance ($1.5 million), and an increase in salaries related to the investment in key personnel to advance Project Uno ($1.0 million). Partially offsetting this increase was a decrease of stock-based compensation due to less amortization related to management incentive stock awards ($0.9 million).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Loss from unconsolidated entities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0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00" w:type="dxa"/>
            <w:vAlign w:val="bottom"/>
          </w:tcPr>
          <w:p>
            <w:pPr>
              <w:spacing w:after="0"/>
              <w:rPr>
                <w:sz w:val="15"/>
                <w:szCs w:val="15"/>
                <w:color w:val="auto"/>
              </w:rPr>
            </w:pPr>
          </w:p>
        </w:tc>
        <w:tc>
          <w:tcPr>
            <w:tcW w:w="244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56"/>
        </w:trPr>
        <w:tc>
          <w:tcPr>
            <w:tcW w:w="4240" w:type="dxa"/>
            <w:vAlign w:val="bottom"/>
          </w:tcPr>
          <w:p>
            <w:pPr>
              <w:spacing w:after="0"/>
              <w:rPr>
                <w:sz w:val="13"/>
                <w:szCs w:val="13"/>
                <w:color w:val="auto"/>
              </w:rPr>
            </w:pPr>
          </w:p>
        </w:tc>
        <w:tc>
          <w:tcPr>
            <w:tcW w:w="460" w:type="dxa"/>
            <w:vAlign w:val="bottom"/>
            <w:tcBorders>
              <w:top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20" w:type="dxa"/>
            <w:vAlign w:val="bottom"/>
            <w:tcBorders>
              <w:top w:val="single" w:sz="8" w:color="auto"/>
            </w:tcBorders>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40" w:type="dxa"/>
            <w:vAlign w:val="bottom"/>
            <w:tcBorders>
              <w:top w:val="single" w:sz="8" w:color="auto"/>
            </w:tcBorders>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3"/>
                <w:szCs w:val="13"/>
                <w:color w:val="auto"/>
              </w:rPr>
            </w:pPr>
          </w:p>
        </w:tc>
      </w:tr>
      <w:tr>
        <w:trPr>
          <w:trHeight w:val="20"/>
        </w:trPr>
        <w:tc>
          <w:tcPr>
            <w:tcW w:w="4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5"/>
        </w:trPr>
        <w:tc>
          <w:tcPr>
            <w:tcW w:w="4240" w:type="dxa"/>
            <w:vAlign w:val="bottom"/>
          </w:tcPr>
          <w:p>
            <w:pPr>
              <w:spacing w:after="0"/>
              <w:rPr>
                <w:sz w:val="13"/>
                <w:szCs w:val="13"/>
                <w:color w:val="auto"/>
              </w:rPr>
            </w:pPr>
          </w:p>
        </w:tc>
        <w:tc>
          <w:tcPr>
            <w:tcW w:w="2040" w:type="dxa"/>
            <w:vAlign w:val="bottom"/>
            <w:gridSpan w:val="6"/>
          </w:tcPr>
          <w:p>
            <w:pPr>
              <w:ind w:left="3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3"/>
                <w:szCs w:val="13"/>
                <w:color w:val="auto"/>
              </w:rPr>
            </w:pPr>
          </w:p>
        </w:tc>
        <w:tc>
          <w:tcPr>
            <w:tcW w:w="2120" w:type="dxa"/>
            <w:vAlign w:val="bottom"/>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3"/>
                <w:szCs w:val="13"/>
                <w:color w:val="auto"/>
              </w:rPr>
            </w:pPr>
          </w:p>
        </w:tc>
      </w:tr>
      <w:tr>
        <w:trPr>
          <w:trHeight w:val="43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entities</w:t>
            </w:r>
          </w:p>
        </w:tc>
        <w:tc>
          <w:tcPr>
            <w:tcW w:w="4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98"/>
              </w:rPr>
              <w:t>$ (8)</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(1,131)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(1,286)</w:t>
            </w:r>
          </w:p>
        </w:tc>
      </w:tr>
    </w:tbl>
    <w:p>
      <w:pPr>
        <w:spacing w:after="0" w:line="198" w:lineRule="exact"/>
        <w:rPr>
          <w:sz w:val="20"/>
          <w:szCs w:val="20"/>
          <w:color w:val="auto"/>
        </w:rPr>
      </w:pPr>
    </w:p>
    <w:p>
      <w:pPr>
        <w:jc w:val="both"/>
        <w:ind w:left="40" w:right="79" w:firstLine="180"/>
        <w:spacing w:after="0" w:line="261" w:lineRule="auto"/>
        <w:rPr>
          <w:sz w:val="20"/>
          <w:szCs w:val="20"/>
          <w:color w:val="auto"/>
        </w:rPr>
      </w:pPr>
      <w:r>
        <w:rPr>
          <w:rFonts w:ascii="Times New Roman" w:cs="Times New Roman" w:eastAsia="Times New Roman" w:hAnsi="Times New Roman"/>
          <w:sz w:val="18"/>
          <w:szCs w:val="18"/>
          <w:color w:val="auto"/>
        </w:rPr>
        <w:t>Losses from unconsolidated entities includes our participation in earnings or losses from our investments in Don Memo. For the three months ended April 30, 2022, we realized losses from Agricola Don Memo totaling less than $0.1 million and $1.1 million. For the six months ended April 30, 2022, we realized losses from Agricola Don Memo totaling less than $0.5 million and $1.3 million.</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 (Provision) Benefit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 w:type="dxa"/>
            <w:vAlign w:val="bottom"/>
          </w:tcPr>
          <w:p>
            <w:pPr>
              <w:spacing w:after="0"/>
              <w:rPr>
                <w:sz w:val="15"/>
                <w:szCs w:val="15"/>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Change   2021</w:t>
            </w:r>
          </w:p>
        </w:tc>
        <w:tc>
          <w:tcPr>
            <w:tcW w:w="220" w:type="dxa"/>
            <w:vAlign w:val="bottom"/>
          </w:tcPr>
          <w:p>
            <w:pPr>
              <w:spacing w:after="0"/>
              <w:rPr>
                <w:sz w:val="12"/>
                <w:szCs w:val="12"/>
                <w:color w:val="auto"/>
              </w:rPr>
            </w:pPr>
          </w:p>
        </w:tc>
      </w:tr>
      <w:tr>
        <w:trPr>
          <w:trHeight w:val="209"/>
        </w:trPr>
        <w:tc>
          <w:tcPr>
            <w:tcW w:w="3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432"/>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$ 187</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w:t>
            </w:r>
          </w:p>
        </w:tc>
        <w:tc>
          <w:tcPr>
            <w:tcW w:w="2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$ 1,347</w:t>
            </w: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 $ (4,715)</w:t>
            </w:r>
          </w:p>
        </w:tc>
      </w:tr>
      <w:tr>
        <w:trPr>
          <w:trHeight w:val="234"/>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24.0 %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23.3 %</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25.2 %</w:t>
            </w:r>
          </w:p>
        </w:tc>
      </w:tr>
    </w:tbl>
    <w:p>
      <w:pPr>
        <w:spacing w:after="0" w:line="179" w:lineRule="exact"/>
        <w:rPr>
          <w:sz w:val="20"/>
          <w:szCs w:val="20"/>
          <w:color w:val="auto"/>
        </w:rPr>
      </w:pPr>
    </w:p>
    <w:p>
      <w:pPr>
        <w:ind w:left="40" w:right="119" w:firstLine="225"/>
        <w:spacing w:after="0" w:line="282"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adjusted for discrete taxable events that may occur during the quarter.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$21.3 million for the six months ended April 30, 2022, compared to cash provided by operating activities of $10.4 million for the corresponding period in fiscal 2021. Cash provided by operating activities for the six months ended April 30, 2022 reflect primarily our net loss of $4.4 million, plus add-backs for non-cash activities (depreciation and amortization, stock-based compensation expense, provision for losses on accounts receivable, losses from unconsolidated entities, net gains or losses on Limoneira shares, deferred taxes, loss on disposal of property, plant and equipment, and gain on the sale of the Temecula packinghouse) of $17.6 million and a net increase in the components of our working capital of approximately $8.2 million.</w:t>
      </w:r>
    </w:p>
    <w:p>
      <w:pPr>
        <w:spacing w:after="0" w:line="189"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Increases in operating cash flows caused by working capital changes include an increase in payable to growers of $29.1 million, a net increase in accounts payable, accrued expenses and other liabilities of $16.3 million, and a decrease in income taxes receivable of $2.9 million, partially offset by an increase in accounts receivable of $24.3 million, an increase in inventory of $13.0 million, an increase in other assets of $1.6 million, and an increase in advances to suppliers of $1.2 million.</w:t>
      </w:r>
    </w:p>
    <w:p>
      <w:pPr>
        <w:spacing w:after="0" w:line="183"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The increase In payable to growers is mostly due to increased cost per unit, resulting from supply constraints in Mexico, for California and Mexican avocados in the month of April 2022 compared to October 2021. The increase in accounts payable, accrued expenses and other liabilities is primarily related to an increase in payables related to 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increase in the price of California and Mexican avocados. The decrease in income taxes receivable is due to the receipt of an income tax refund in the first quarter of fiscal 2022. The increase in our accounts receivable, as of April 30, 2022, when compared to October 31, 2021, is primarily due an increase in sales in April 2022 compared to October 2021. The increase in our inventory, as of April 30, 2022 when compared to October 31, 2021, is primarily due to higher inventory of California and Mexican Avocados. The increase in advances to suppliers is mainly due to advances to our tomato growers in the first three months of fiscal 2022.</w:t>
      </w:r>
    </w:p>
    <w:p>
      <w:pPr>
        <w:spacing w:after="0" w:line="187"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$3.8 million for the six months ended April 30, 2022, which primarily related to the purchases of property, plant and equipment.</w:t>
      </w:r>
    </w:p>
    <w:p>
      <w:pPr>
        <w:spacing w:after="0" w:line="162"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$17.1 million for the six months ended April 30, 2022, which related principally to the payment of a $20.3 million dividend, payments on long-term obligations of $1.0 million and the $0.1 million of payments on the minimum net holding of taxes on the net settlement of shares, partially offset by the net proceeds on our credit facilities totaling $4.2 million.</w:t>
      </w:r>
    </w:p>
    <w:p>
      <w:pPr>
        <w:spacing w:after="0" w:line="180"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existing credit facilities. Restricted cash, cash and cash equivalents as of April 30, 2022 and October 31, 2021 totaled $3.3 million and $2.9 million. Our working capital at April 30, 2022 was $45.7 million, compared to $38.0 million at October 31, 2021.</w:t>
      </w:r>
    </w:p>
    <w:p>
      <w:pPr>
        <w:spacing w:after="0" w:line="180"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We believe that cash flows from operations, the available Credit Facility, and other sources will be sufficient to satisfy our future capital expenditures, grower recruitment efforts, working capital and other financing requirements for at least the next twelve months. We will continue to pursue grower recruitment opportunities and expand relationships with retail and/or foodservice customers to fuel growth in each of our business segments. We have a revolving credit facility with Bank of America as administrative agent and Farm Credit West as joint lead arranger. Under the terms of this agreement, we may draw on funds for both working capital and long-term productive asset purchases. Total credit available under this agreement is $80 million and it expires in January 2026. For our Credit Facility, the weighted-average interest rate was</w:t>
      </w:r>
    </w:p>
    <w:p>
      <w:pPr>
        <w:spacing w:after="0" w:line="3" w:lineRule="exact"/>
        <w:rPr>
          <w:sz w:val="20"/>
          <w:szCs w:val="20"/>
          <w:color w:val="auto"/>
        </w:rPr>
      </w:pPr>
    </w:p>
    <w:p>
      <w:pPr>
        <w:ind w:left="40" w:right="79" w:firstLine="45"/>
        <w:spacing w:after="0" w:line="260" w:lineRule="auto"/>
        <w:rPr>
          <w:sz w:val="20"/>
          <w:szCs w:val="20"/>
          <w:color w:val="auto"/>
        </w:rPr>
      </w:pPr>
      <w:r>
        <w:rPr>
          <w:rFonts w:ascii="Times New Roman" w:cs="Times New Roman" w:eastAsia="Times New Roman" w:hAnsi="Times New Roman"/>
          <w:sz w:val="18"/>
          <w:szCs w:val="18"/>
          <w:color w:val="auto"/>
        </w:rPr>
        <w:t>2.2% and 2.2% at April 30, 2022 and October 31, 2021. Under the Credit Facility, we had $41.9 million and $37.7 million outstanding as April 30, 2022 and October 31, 2021.</w:t>
      </w:r>
    </w:p>
    <w:p>
      <w:pPr>
        <w:spacing w:after="0" w:line="181" w:lineRule="exact"/>
        <w:rPr>
          <w:sz w:val="20"/>
          <w:szCs w:val="20"/>
          <w:color w:val="auto"/>
        </w:rPr>
      </w:pPr>
    </w:p>
    <w:p>
      <w:pPr>
        <w:ind w:left="40" w:right="99" w:firstLine="360"/>
        <w:spacing w:after="0" w:line="258" w:lineRule="auto"/>
        <w:rPr>
          <w:sz w:val="20"/>
          <w:szCs w:val="20"/>
          <w:color w:val="auto"/>
        </w:rPr>
      </w:pPr>
      <w:r>
        <w:rPr>
          <w:rFonts w:ascii="Times New Roman" w:cs="Times New Roman" w:eastAsia="Times New Roman" w:hAnsi="Times New Roman"/>
          <w:sz w:val="18"/>
          <w:szCs w:val="18"/>
          <w:color w:val="auto"/>
        </w:rPr>
        <w:t>On December 1, 2021, we entered into the Fourth and Fifth Amendments to the Credit Agreement with Bank of America, N.A., as administrative agent (“Bank of America”), and Farm Credit West, PCA (together with Bank of America, the “Lenders”), relating to our Credit Agreement dated as of June 14, 2016, The Fourth and Fifth Amendments, among other terms, included Calavo de Mexico (CDM) as a guarantor, increased the interested rate by 0.5%, and amended the financial covenant requirements as follows:</w:t>
      </w:r>
    </w:p>
    <w:p>
      <w:pPr>
        <w:spacing w:after="0" w:line="183" w:lineRule="exact"/>
        <w:rPr>
          <w:sz w:val="20"/>
          <w:szCs w:val="20"/>
          <w:color w:val="auto"/>
        </w:rPr>
      </w:pPr>
    </w:p>
    <w:p>
      <w:pPr>
        <w:ind w:left="720" w:right="659" w:hanging="325"/>
        <w:spacing w:after="0" w:line="284" w:lineRule="auto"/>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Charge Coverage Ratio (FCCR) covenant was waived for the quarters ended October 31, 2021, January 31, 2022 and April 30, 2022. The covenant will resume for the quarter ended July 31, 2022.</w:t>
      </w:r>
    </w:p>
    <w:p>
      <w:pPr>
        <w:spacing w:after="0" w:line="1" w:lineRule="exact"/>
        <w:rPr>
          <w:rFonts w:ascii="Times New Roman" w:cs="Times New Roman" w:eastAsia="Times New Roman" w:hAnsi="Times New Roman"/>
          <w:sz w:val="17"/>
          <w:szCs w:val="17"/>
          <w:color w:val="auto"/>
        </w:rPr>
      </w:pPr>
    </w:p>
    <w:p>
      <w:pPr>
        <w:ind w:left="720" w:right="119" w:hanging="325"/>
        <w:spacing w:after="0" w:line="255"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FCCR covenant was replaced by a cumulative monthly minimum Consolidated EBITDA covenant, with the first measurement occurring as of January 31, 2022 for the three months then ended, and continuing monthly thereafter through June 2022.</w:t>
      </w:r>
    </w:p>
    <w:p>
      <w:pPr>
        <w:spacing w:after="0" w:line="1" w:lineRule="exact"/>
        <w:rPr>
          <w:rFonts w:ascii="Times New Roman" w:cs="Times New Roman" w:eastAsia="Times New Roman" w:hAnsi="Times New Roman"/>
          <w:sz w:val="18"/>
          <w:szCs w:val="18"/>
          <w:color w:val="auto"/>
        </w:rPr>
      </w:pPr>
    </w:p>
    <w:p>
      <w:pPr>
        <w:ind w:left="720" w:right="299" w:hanging="325"/>
        <w:spacing w:after="0" w:line="29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must be submitted monthly for the month and year-to-date period, beginning with the financial statements for the month of November 2021 and continuing through June 2022.</w:t>
      </w:r>
    </w:p>
    <w:p>
      <w:pPr>
        <w:spacing w:after="0" w:line="153" w:lineRule="exact"/>
        <w:rPr>
          <w:sz w:val="20"/>
          <w:szCs w:val="20"/>
          <w:color w:val="auto"/>
        </w:rPr>
      </w:pPr>
    </w:p>
    <w:p>
      <w:pPr>
        <w:ind w:left="40" w:right="299" w:firstLine="135"/>
        <w:spacing w:after="0" w:line="297" w:lineRule="auto"/>
        <w:rPr>
          <w:sz w:val="20"/>
          <w:szCs w:val="20"/>
          <w:color w:val="auto"/>
        </w:rPr>
      </w:pPr>
      <w:r>
        <w:rPr>
          <w:rFonts w:ascii="Times New Roman" w:cs="Times New Roman" w:eastAsia="Times New Roman" w:hAnsi="Times New Roman"/>
          <w:sz w:val="18"/>
          <w:szCs w:val="18"/>
          <w:color w:val="auto"/>
        </w:rPr>
        <w:t>The Company also pledged the 1,677,000 shares it holds of Limoneira stock as collateral (which was in addition to the general business assets of the Company that already secure the credit facility).</w:t>
      </w:r>
    </w:p>
    <w:p>
      <w:pPr>
        <w:spacing w:after="0" w:line="149" w:lineRule="exact"/>
        <w:rPr>
          <w:sz w:val="20"/>
          <w:szCs w:val="20"/>
          <w:color w:val="auto"/>
        </w:rPr>
      </w:pPr>
    </w:p>
    <w:p>
      <w:pPr>
        <w:ind w:left="40" w:right="379" w:firstLine="180"/>
        <w:spacing w:after="0" w:line="282" w:lineRule="auto"/>
        <w:rPr>
          <w:sz w:val="20"/>
          <w:szCs w:val="20"/>
          <w:color w:val="auto"/>
        </w:rPr>
      </w:pPr>
      <w:r>
        <w:rPr>
          <w:rFonts w:ascii="Times New Roman" w:cs="Times New Roman" w:eastAsia="Times New Roman" w:hAnsi="Times New Roman"/>
          <w:sz w:val="18"/>
          <w:szCs w:val="18"/>
          <w:color w:val="auto"/>
        </w:rPr>
        <w:t>The above terms and conditions will remain in effect until such time as the Company has certified compliance with a 1.15 to 1.0 minimum FCCR for two consecutive fiscal quarters.</w:t>
      </w:r>
    </w:p>
    <w:p>
      <w:pPr>
        <w:spacing w:after="0" w:line="162" w:lineRule="exact"/>
        <w:rPr>
          <w:sz w:val="20"/>
          <w:szCs w:val="20"/>
          <w:color w:val="auto"/>
        </w:rPr>
      </w:pPr>
    </w:p>
    <w:p>
      <w:pPr>
        <w:ind w:left="40" w:right="339" w:firstLine="180"/>
        <w:spacing w:after="0" w:line="289" w:lineRule="auto"/>
        <w:rPr>
          <w:sz w:val="20"/>
          <w:szCs w:val="20"/>
          <w:color w:val="auto"/>
        </w:rPr>
      </w:pPr>
      <w:r>
        <w:rPr>
          <w:rFonts w:ascii="Times New Roman" w:cs="Times New Roman" w:eastAsia="Times New Roman" w:hAnsi="Times New Roman"/>
          <w:sz w:val="17"/>
          <w:szCs w:val="17"/>
          <w:color w:val="auto"/>
        </w:rPr>
        <w:t>As of January 31, 2022, the Company was not in compliance with the cumulative monthly minimum Consolidated EBITDA covenant, and the Consolidated Leverage Ratio (CLR) covenant. In March 2022, the Company and Bank of America, N.A. have entered into the Sixth Amendment, Limited Waiver, and Limited Consent to Credit Agreement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82" w:lineRule="auto"/>
        <w:rPr>
          <w:sz w:val="20"/>
          <w:szCs w:val="20"/>
          <w:color w:val="auto"/>
        </w:rPr>
      </w:pPr>
      <w:r>
        <w:rPr>
          <w:rFonts w:ascii="Times New Roman" w:cs="Times New Roman" w:eastAsia="Times New Roman" w:hAnsi="Times New Roman"/>
          <w:sz w:val="18"/>
          <w:szCs w:val="18"/>
          <w:color w:val="auto"/>
        </w:rPr>
        <w:t>“Sixth Amendment”). The Sixth Amendment, among other terms, waived the non-compliance of the financial covenants as of January 31, 2022 and amended the financial covenant requirements as follows:</w:t>
      </w:r>
    </w:p>
    <w:p>
      <w:pPr>
        <w:spacing w:after="0" w:line="162" w:lineRule="exact"/>
        <w:rPr>
          <w:sz w:val="20"/>
          <w:szCs w:val="20"/>
          <w:color w:val="auto"/>
        </w:rPr>
      </w:pPr>
    </w:p>
    <w:p>
      <w:pPr>
        <w:ind w:left="980" w:right="419" w:hanging="329"/>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monthly minimum Consolidated EBITDA testing has been waived and the CLR covenant testing is waived through July 31, 2022.</w:t>
      </w:r>
    </w:p>
    <w:p>
      <w:pPr>
        <w:ind w:left="980" w:right="179" w:hanging="329"/>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EBITDA of $3 million, $3 million and $5 million for the months of February, March and April 2022, respectively, will be required.</w:t>
      </w:r>
    </w:p>
    <w:p>
      <w:pPr>
        <w:ind w:left="980" w:right="139" w:hanging="329"/>
        <w:spacing w:after="0" w:line="255"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cumulative FCCR of 1.20 will be required starting with the quarter ended April 30, 2022, converting to trailing 12 months calculation starting as of October 31, 2022 and quarterly thereafter. For April through September 2022, dividends paid in December 2021 are included on a pro-rata basis.</w:t>
      </w:r>
    </w:p>
    <w:p>
      <w:pPr>
        <w:spacing w:after="0" w:line="226" w:lineRule="exact"/>
        <w:rPr>
          <w:sz w:val="20"/>
          <w:szCs w:val="20"/>
          <w:color w:val="auto"/>
        </w:rPr>
      </w:pPr>
    </w:p>
    <w:p>
      <w:pPr>
        <w:ind w:left="40" w:right="199" w:firstLine="180"/>
        <w:spacing w:after="0" w:line="258" w:lineRule="auto"/>
        <w:rPr>
          <w:sz w:val="20"/>
          <w:szCs w:val="20"/>
          <w:color w:val="auto"/>
        </w:rPr>
      </w:pPr>
      <w:r>
        <w:rPr>
          <w:rFonts w:ascii="Times New Roman" w:cs="Times New Roman" w:eastAsia="Times New Roman" w:hAnsi="Times New Roman"/>
          <w:sz w:val="18"/>
          <w:szCs w:val="18"/>
          <w:color w:val="auto"/>
        </w:rPr>
        <w:t>The interest rate of the facility increased to BSBY plus 3.0%, until the first business day of the month after we certify that no default or event of default exists for the period ended July 31, 2022, at which point the interest rate will range between BSBY 1.25 – 1.75% based on our CLR. The total facility reduced from $100 million to $80 million and will be limited to a borrowing base consisting of the sum of eligible accounts receivable (80%), eligible US inventory (50%), and Limoneira shares (60%), less grower payables.</w:t>
      </w:r>
    </w:p>
    <w:p>
      <w:pPr>
        <w:spacing w:after="0" w:line="210" w:lineRule="exact"/>
        <w:rPr>
          <w:sz w:val="20"/>
          <w:szCs w:val="20"/>
          <w:color w:val="auto"/>
        </w:rPr>
      </w:pPr>
    </w:p>
    <w:p>
      <w:pPr>
        <w:ind w:left="40" w:right="119" w:firstLine="180"/>
        <w:spacing w:after="0" w:line="266" w:lineRule="auto"/>
        <w:rPr>
          <w:sz w:val="20"/>
          <w:szCs w:val="20"/>
          <w:color w:val="auto"/>
        </w:rPr>
      </w:pPr>
      <w:r>
        <w:rPr>
          <w:rFonts w:ascii="Times New Roman" w:cs="Times New Roman" w:eastAsia="Times New Roman" w:hAnsi="Times New Roman"/>
          <w:sz w:val="18"/>
          <w:szCs w:val="18"/>
          <w:color w:val="auto"/>
        </w:rPr>
        <w:t>As of April 30, 2022, we were in compliance with the financial covenants, and we expect to remain in compliance through June 2023. As of April 30, 2022, approximately $5.6 million was available for borrowing, based on our borrowing base calculation, as discussed above.</w:t>
      </w:r>
    </w:p>
    <w:p>
      <w:pPr>
        <w:spacing w:after="0" w:line="1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2021. For a summary of the contractual commitments at October 31, 2021, see Part II, Item 7, in our 2021 Annual Report on Form 10-K.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 to the consolidated condensed financial statements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2022.</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color w:val="auto"/>
              </w:rPr>
              <w:t>Expected maturity date April 30,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88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Pr>
          <w:p>
            <w:pPr>
              <w:spacing w:after="0"/>
              <w:rPr>
                <w:sz w:val="12"/>
                <w:szCs w:val="12"/>
                <w:color w:val="auto"/>
              </w:rPr>
            </w:pPr>
          </w:p>
        </w:tc>
        <w:tc>
          <w:tcPr>
            <w:tcW w:w="8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2"/>
                <w:szCs w:val="12"/>
                <w:color w:val="auto"/>
              </w:rPr>
            </w:pPr>
          </w:p>
        </w:tc>
        <w:tc>
          <w:tcPr>
            <w:tcW w:w="7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97"/>
              </w:rPr>
              <w:t>Fair Value</w:t>
            </w:r>
          </w:p>
        </w:tc>
        <w:tc>
          <w:tcPr>
            <w:tcW w:w="20" w:type="dxa"/>
            <w:vAlign w:val="bottom"/>
          </w:tcPr>
          <w:p>
            <w:pPr>
              <w:spacing w:after="0"/>
              <w:rPr>
                <w:sz w:val="12"/>
                <w:szCs w:val="12"/>
                <w:color w:val="auto"/>
              </w:rPr>
            </w:pPr>
          </w:p>
        </w:tc>
      </w:tr>
      <w:tr>
        <w:trPr>
          <w:trHeight w:val="210"/>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98"/>
        </w:trPr>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cash, cash and cash</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 (1)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0" w:type="dxa"/>
            <w:vAlign w:val="bottom"/>
          </w:tcPr>
          <w:p>
            <w:pPr>
              <w:spacing w:after="0"/>
              <w:rPr>
                <w:sz w:val="20"/>
                <w:szCs w:val="20"/>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w:t>
            </w:r>
          </w:p>
        </w:tc>
        <w:tc>
          <w:tcPr>
            <w:tcW w:w="2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52,105</w:t>
            </w:r>
          </w:p>
        </w:tc>
        <w:tc>
          <w:tcPr>
            <w:tcW w:w="2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20" w:type="dxa"/>
            <w:vAlign w:val="bottom"/>
          </w:tcPr>
          <w:p>
            <w:pPr>
              <w:spacing w:after="0"/>
              <w:rPr>
                <w:sz w:val="18"/>
                <w:szCs w:val="18"/>
                <w:color w:val="auto"/>
              </w:rPr>
            </w:pPr>
          </w:p>
        </w:tc>
      </w:tr>
      <w:tr>
        <w:trPr>
          <w:trHeight w:val="198"/>
        </w:trPr>
        <w:tc>
          <w:tcPr>
            <w:tcW w:w="2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pursuant to credit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(1)</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41,900</w:t>
            </w:r>
          </w:p>
        </w:tc>
        <w:tc>
          <w:tcPr>
            <w:tcW w:w="20" w:type="dxa"/>
            <w:vAlign w:val="bottom"/>
            <w:shd w:val="clear" w:color="auto" w:fill="CCEEFF"/>
          </w:tcPr>
          <w:p>
            <w:pPr>
              <w:spacing w:after="0"/>
              <w:rPr>
                <w:sz w:val="20"/>
                <w:szCs w:val="20"/>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2" w:lineRule="exact"/>
        <w:rPr>
          <w:sz w:val="20"/>
          <w:szCs w:val="20"/>
          <w:color w:val="auto"/>
        </w:rPr>
      </w:pPr>
    </w:p>
    <w:p>
      <w:pPr>
        <w:ind w:left="360" w:right="119" w:hanging="316"/>
        <w:spacing w:after="0" w:line="241" w:lineRule="auto"/>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credit facilities approximates fair market value due to the variable rate of interest.</w:t>
      </w:r>
    </w:p>
    <w:p>
      <w:pPr>
        <w:spacing w:after="0" w:line="181"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remeasurement losses for the three months ended April 30, 2022 and 2021, net of gains, was $0.3 million and $0.5 million. Total foreign currency remeasurement losses for the six months ended April 30, 2022, net of gains, was $0.9 million. Total foreign currency remeasurement gains for the six months ended April 30, 2021, net of losses, was $0.6 million.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13a-15I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75"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Except as set forth below, there were no changes in the Company’s internal control over financial reporting during the quarter ended April 30, 2022 that have materially affected, or are reasonably likely to materially affect, the Company’s internal control over financial reporting. During the second quarter of fiscal 2022, we had changes in our management structure, including the departure of our Chief Accounting Officer, Chief Operations Officer and Chief Financial Officer. These changes resulted in material changes in our internal control over financial reporting as their responsibilities shifted to other personnel. Taking into account these changes, as noted above, our principal executive officer and principal financial officer concluded that our disclosure controls and procedures were effective.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arising in the ordinary course of our business. We have provided information about certain legal proceedings in which we are involved in Note 7 to the consolidated condensed financial statements included in this Quarterly Report for further information.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2021. Except as set forth below, there have been no material changes from the risk factors set forth in such Annual Report on Form 10-K. However, the risks and uncertainties that we face are not limited to those set forth in the 2021 Form 10-K. Additional risks and uncertainties not presently known to us or that we currently believe to be immaterial may also adversely affect our business and the trading price of our common stock.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Because this Quarterly Report on Form 10-Q is being filed within four business days after the applicable triggering events, the information below is being disclosed under this Item 5 instead of under Item 1.01 (Entry into a Material Definitive Agreement) of Form 8-K. All terms capitalized but not defined shall have the meanings given in the Indemnification Agreement filed herewith.</w:t>
      </w:r>
    </w:p>
    <w:p>
      <w:pPr>
        <w:spacing w:after="0" w:line="180"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8"/>
          <w:szCs w:val="18"/>
          <w:color w:val="auto"/>
        </w:rPr>
        <w:t>On May 27, 2022, the Board of Directors of the Company (the “Board”) approved the form of Indemnification Agreement to be entered into by the Company and each of its directors and executive officers (the “D&amp;O Indemnification Agreement”).</w:t>
      </w:r>
    </w:p>
    <w:p>
      <w:pPr>
        <w:spacing w:after="0" w:line="17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applicable law but subject to the indemnification limitations set forth in the Indemnification Agreement, the Company shall indemnify any director or executive officer who is a party or is threatened to be made a party to any Action, subject to certain limitations described in the Indemnification Agreement, by reason of the fact that such director or executive officer is or was an Agent, against all Expenses, judgments, Fines, amounts paid in settlement and other amounts actually and reasonably incurred by such director or executive officer in connection with such Action unless the Company shall establish, in accordance with the Indemnification Agreement, that such director or executive officer did not act in good faith and in a manner reasonably believed to be in the best interests of the Company and, with respect to any criminal Action, had no reasonable cause to believe such director or executive officer’s conduct was unlawful.</w:t>
      </w:r>
    </w:p>
    <w:p>
      <w:pPr>
        <w:spacing w:after="0" w:line="188"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In addition, the D&amp;O Indemnification Agreement provides that, to the fullest extent permitted by applicable law, the Company will advance all Expenses actually and reasonably incurred by its directors and executive officers in connection with a legal proceeding involving their status as a director or executive officer, or initiated to establish or enforce a right to indemnification or advances under the Indemnification Agreement.</w:t>
      </w:r>
    </w:p>
    <w:p>
      <w:pPr>
        <w:spacing w:after="0" w:line="180" w:lineRule="exact"/>
        <w:rPr>
          <w:sz w:val="20"/>
          <w:szCs w:val="20"/>
          <w:color w:val="auto"/>
        </w:rPr>
      </w:pPr>
    </w:p>
    <w:p>
      <w:pPr>
        <w:jc w:val="both"/>
        <w:ind w:left="40" w:right="419"/>
        <w:spacing w:after="0" w:line="27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 w:lineRule="exact"/>
        <w:rPr>
          <w:sz w:val="20"/>
          <w:szCs w:val="20"/>
          <w:color w:val="auto"/>
        </w:rPr>
      </w:pPr>
    </w:p>
    <w:p>
      <w:pPr>
        <w:ind w:left="40" w:right="319"/>
        <w:spacing w:after="0" w:line="255"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86" w:lineRule="exact"/>
        <w:rPr>
          <w:sz w:val="20"/>
          <w:szCs w:val="20"/>
          <w:color w:val="auto"/>
        </w:rPr>
      </w:pPr>
    </w:p>
    <w:p>
      <w:pPr>
        <w:jc w:val="both"/>
        <w:ind w:left="40" w:right="23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D&amp;O Indemnification Agreement does not purport to be complete and is qualified in its entirety by reference to the complete text of the form of D&amp;O Indemnification Agreement, a copy of which is attached as Exhibit 10.2 hereto and is incorporated herein by reference.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920"/>
        <w:spacing w:after="0"/>
        <w:tabs>
          <w:tab w:leader="none" w:pos="14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Sixth Amendment, Limited Waiver and Limited Consent to Credit Agreement, dated March 14, 2022 *</w:t>
      </w:r>
    </w:p>
    <w:p>
      <w:pPr>
        <w:spacing w:after="0" w:line="198" w:lineRule="exact"/>
        <w:rPr>
          <w:sz w:val="20"/>
          <w:szCs w:val="20"/>
          <w:color w:val="auto"/>
        </w:rPr>
      </w:pPr>
    </w:p>
    <w:p>
      <w:pPr>
        <w:ind w:left="1440" w:right="59" w:hanging="525"/>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Form of Indemnification Agreement between the Company and each of its directors and executive officers *</w:t>
      </w:r>
    </w:p>
    <w:p>
      <w:pPr>
        <w:spacing w:after="0" w:line="162" w:lineRule="exact"/>
        <w:rPr>
          <w:sz w:val="20"/>
          <w:szCs w:val="20"/>
          <w:color w:val="auto"/>
        </w:rPr>
      </w:pPr>
    </w:p>
    <w:p>
      <w:pPr>
        <w:ind w:left="920"/>
        <w:spacing w:after="0"/>
        <w:tabs>
          <w:tab w:leader="none" w:pos="14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and interim Chief Financial Officer Pursuant to 15 U.S.C. §</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7241, as Adopted Pursuant to Section 302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left="1440" w:right="59" w:hanging="525"/>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by Chief Executive Officer and Interim Chief Financial Officer of Periodic Report Pursuant to 18 U.S.C. Section 1350.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1440" w:right="59" w:hanging="527"/>
        <w:spacing w:after="0" w:line="255" w:lineRule="auto"/>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April 30, 2022, formatted in Inline XBRL (Extensible Business Reporting Language): (1) Consolidated Condensed Balance Sheets as of April 30, 2022 and October 31, 2021; (2) Consolidated Condensed Statements of Operations for the three and six months ended April 30, 2022 and 2021; (3) Consolidated Condensed Statements of Cash Flows for the six months ended April 30, 2022 and 2021; (4) Consolidated Statements of Shareholders’ Equity for the three and six months ended April 30, 2022 and 2021; and (5) Notes to Consolidated Condensed Financial Statements.</w:t>
      </w:r>
    </w:p>
    <w:p>
      <w:pPr>
        <w:spacing w:after="0" w:line="189" w:lineRule="exact"/>
        <w:rPr>
          <w:sz w:val="20"/>
          <w:szCs w:val="20"/>
          <w:color w:val="auto"/>
        </w:rPr>
      </w:pPr>
    </w:p>
    <w:p>
      <w:pPr>
        <w:ind w:left="1440" w:hanging="527"/>
        <w:spacing w:after="0"/>
        <w:tabs>
          <w:tab w:leader="none" w:pos="1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25"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7" w:lineRule="exact"/>
        <w:rPr>
          <w:sz w:val="20"/>
          <w:szCs w:val="20"/>
          <w:color w:val="auto"/>
        </w:rPr>
      </w:pPr>
    </w:p>
    <w:p>
      <w:pPr>
        <w:ind w:left="4400"/>
        <w:spacing w:after="0"/>
        <w:tabs>
          <w:tab w:leader="none" w:pos="4780" w:val="left"/>
        </w:tabs>
        <w:rPr>
          <w:sz w:val="20"/>
          <w:szCs w:val="20"/>
          <w:color w:val="auto"/>
        </w:rPr>
      </w:pPr>
      <w:r>
        <w:rPr>
          <w:rFonts w:ascii="Times New Roman" w:cs="Times New Roman" w:eastAsia="Times New Roman" w:hAnsi="Times New Roman"/>
          <w:sz w:val="18"/>
          <w:szCs w:val="18"/>
          <w:color w:val="auto"/>
        </w:rPr>
        <w:t>By</w:t>
        <w:tab/>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5715</wp:posOffset>
            </wp:positionV>
            <wp:extent cx="2631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18"/>
          <w:szCs w:val="18"/>
          <w:color w:val="auto"/>
        </w:rPr>
        <w:t>Brian Kocher</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President, Chief Executive Officer (Principal Executive</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Officer) and Interim Chief Financial Officer (Principal</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SIXTH AMENDMENT, LIMITED WAIVER AND LIMITED CONSENT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CREDIT AGREEMENT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THIS SIXTH AMENDMENT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LIMITED WAIVER AND LIMITED CONSENT TO CREDIT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is dated as of March 14, 2022, and is entered into by and among </w:t>
      </w:r>
      <w:r>
        <w:rPr>
          <w:rFonts w:ascii="Times New Roman" w:cs="Times New Roman" w:eastAsia="Times New Roman" w:hAnsi="Times New Roman"/>
          <w:sz w:val="18"/>
          <w:szCs w:val="18"/>
          <w:b w:val="1"/>
          <w:bCs w:val="1"/>
          <w:color w:val="auto"/>
        </w:rPr>
        <w:t>CALAVO GROWERS, INC.</w:t>
      </w:r>
      <w:r>
        <w:rPr>
          <w:rFonts w:ascii="Times New Roman" w:cs="Times New Roman" w:eastAsia="Times New Roman" w:hAnsi="Times New Roman"/>
          <w:sz w:val="18"/>
          <w:szCs w:val="18"/>
          <w:color w:val="auto"/>
        </w:rPr>
        <w:t>, a California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RENAISSANCE FOOD GROUP,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u w:val="single" w:color="auto"/>
          <w:color w:val="auto"/>
        </w:rPr>
        <w:t>Renaissance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CALAVO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MEXICO, S.A. DE C.V.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 sociedad anónima de capital variable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under the laws of Mexico (“</w:t>
      </w:r>
      <w:r>
        <w:rPr>
          <w:rFonts w:ascii="Times New Roman" w:cs="Times New Roman" w:eastAsia="Times New Roman" w:hAnsi="Times New Roman"/>
          <w:sz w:val="18"/>
          <w:szCs w:val="18"/>
          <w:u w:val="single" w:color="auto"/>
          <w:color w:val="auto"/>
        </w:rPr>
        <w:t>Calavo Mexico</w:t>
      </w:r>
      <w:r>
        <w:rPr>
          <w:rFonts w:ascii="Times New Roman" w:cs="Times New Roman" w:eastAsia="Times New Roman" w:hAnsi="Times New Roman"/>
          <w:sz w:val="18"/>
          <w:szCs w:val="18"/>
          <w:color w:val="auto"/>
        </w:rPr>
        <w:t>”; together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Renaissance,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together with the Borrower, each, a “</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the Lenders identified on the signature pages hereto and </w:t>
      </w: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Credit Agreement (as amended, modified, supplemented, increased and extended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dated as of June 14, 2016 among the Borrower, the Guarantors identified therein, the Lenders identified therein and the Administrative Agent, the Lenders have agreed to make credit extensions available to the Loan Parties;</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Administrative Agent and the Lenders have been made aware that (a) Borrower and its Subsidiaries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failed to maintain Consolidated EBITDA of at least $9,948,000 as of the end of January 31, 2022, as required under </w:t>
      </w:r>
      <w:r>
        <w:rPr>
          <w:rFonts w:ascii="Times New Roman" w:cs="Times New Roman" w:eastAsia="Times New Roman" w:hAnsi="Times New Roman"/>
          <w:sz w:val="18"/>
          <w:szCs w:val="18"/>
          <w:u w:val="single" w:color="auto"/>
          <w:color w:val="auto"/>
        </w:rPr>
        <w:t>Section 7.11(c)</w:t>
      </w:r>
      <w:r>
        <w:rPr>
          <w:rFonts w:ascii="Times New Roman" w:cs="Times New Roman" w:eastAsia="Times New Roman" w:hAnsi="Times New Roman"/>
          <w:sz w:val="18"/>
          <w:szCs w:val="18"/>
          <w:color w:val="auto"/>
        </w:rPr>
        <w:t xml:space="preserve"> of the Credit Agreement, which failure constitutes an Event of Default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of the Credit Agreement (such existing Event of Default, the “</w:t>
      </w:r>
      <w:r>
        <w:rPr>
          <w:rFonts w:ascii="Times New Roman" w:cs="Times New Roman" w:eastAsia="Times New Roman" w:hAnsi="Times New Roman"/>
          <w:sz w:val="18"/>
          <w:szCs w:val="18"/>
          <w:u w:val="single" w:color="auto"/>
          <w:color w:val="auto"/>
        </w:rPr>
        <w:t>January EBITDA Default</w:t>
      </w:r>
      <w:r>
        <w:rPr>
          <w:rFonts w:ascii="Times New Roman" w:cs="Times New Roman" w:eastAsia="Times New Roman" w:hAnsi="Times New Roman"/>
          <w:sz w:val="18"/>
          <w:szCs w:val="18"/>
          <w:color w:val="auto"/>
        </w:rPr>
        <w:t xml:space="preserve">”); and (b) Borrower and its Subsidiaries have failed to maintain a Consolidated Leverage Ratio of not greater than 2.50:1.00 as of the end of the fiscal quarter of Borrower ending on January 31, 2022, as required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7.11(a)</w:t>
      </w:r>
      <w:r>
        <w:rPr>
          <w:rFonts w:ascii="Times New Roman" w:cs="Times New Roman" w:eastAsia="Times New Roman" w:hAnsi="Times New Roman"/>
          <w:sz w:val="18"/>
          <w:szCs w:val="18"/>
          <w:color w:val="auto"/>
        </w:rPr>
        <w:t xml:space="preserve"> of the Credit Agreement, which failure constitutes an Event of Default under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of the Credit Agreement (such existing Event of Default, the “</w:t>
      </w:r>
      <w:r>
        <w:rPr>
          <w:rFonts w:ascii="Times New Roman" w:cs="Times New Roman" w:eastAsia="Times New Roman" w:hAnsi="Times New Roman"/>
          <w:sz w:val="18"/>
          <w:szCs w:val="18"/>
          <w:u w:val="single" w:color="auto"/>
          <w:color w:val="auto"/>
        </w:rPr>
        <w:t>January Leverage Default</w:t>
      </w:r>
      <w:r>
        <w:rPr>
          <w:rFonts w:ascii="Times New Roman" w:cs="Times New Roman" w:eastAsia="Times New Roman" w:hAnsi="Times New Roman"/>
          <w:sz w:val="18"/>
          <w:szCs w:val="18"/>
          <w:color w:val="auto"/>
        </w:rPr>
        <w:t>”; and collectively with the January EBITDA Default, the “</w:t>
      </w:r>
      <w:r>
        <w:rPr>
          <w:rFonts w:ascii="Times New Roman" w:cs="Times New Roman" w:eastAsia="Times New Roman" w:hAnsi="Times New Roman"/>
          <w:sz w:val="18"/>
          <w:szCs w:val="18"/>
          <w:u w:val="single" w:color="auto"/>
          <w:color w:val="auto"/>
        </w:rPr>
        <w:t>Specified Events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 and its Subsidiaries have requested that the Administrative Agent and Lenders (a) waive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Events of Default, (b) provide limited waivers as set forth herein, and (c) amend the Credit Agreement in certain respects, which the Administrative Agent and Lenders are willing to do, pursuant to the terms and subject to the conditions set forth herein.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premises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and intending to be legally bound hereby, the parties hereto agree as follows:</w:t>
      </w:r>
    </w:p>
    <w:p>
      <w:pPr>
        <w:spacing w:after="0" w:line="155" w:lineRule="exact"/>
        <w:rPr>
          <w:sz w:val="20"/>
          <w:szCs w:val="20"/>
          <w:color w:val="auto"/>
        </w:rPr>
      </w:pPr>
    </w:p>
    <w:p>
      <w:pPr>
        <w:ind w:firstLine="656"/>
        <w:spacing w:after="0" w:line="286" w:lineRule="auto"/>
        <w:tabs>
          <w:tab w:leader="none" w:pos="129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used herein but not otherwise defined herein shall have the meanings provided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in the Credit Agreement.</w:t>
      </w:r>
    </w:p>
    <w:p>
      <w:pPr>
        <w:spacing w:after="0" w:line="14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w:t>
      </w:r>
    </w:p>
    <w:p>
      <w:pPr>
        <w:spacing w:after="0" w:line="198"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1.01</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New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new definitions are hereby added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p>
    <w:p>
      <w:pPr>
        <w:spacing w:after="0" w:line="1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of the Credit Agreement in the appropriate alphabetical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39" w:name="page40"/>
    <w:bookmarkEnd w:id="39"/>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Reserve</w:t>
      </w:r>
      <w:r>
        <w:rPr>
          <w:rFonts w:ascii="Times New Roman" w:cs="Times New Roman" w:eastAsia="Times New Roman" w:hAnsi="Times New Roman"/>
          <w:sz w:val="18"/>
          <w:szCs w:val="18"/>
          <w:color w:val="auto"/>
        </w:rPr>
        <w:t>” means the sum (without duplication) of the payables owed to growers and additional reserves in amounts and with respect to matters as Administrative Agent may establish from time to time in its Permitted Discretion, including any negative marked to market amounts owed with respect to Hedge Agreements.</w:t>
      </w:r>
    </w:p>
    <w:p>
      <w:pPr>
        <w:spacing w:after="0" w:line="176" w:lineRule="exact"/>
        <w:rPr>
          <w:sz w:val="20"/>
          <w:szCs w:val="20"/>
          <w:color w:val="auto"/>
        </w:rPr>
      </w:pPr>
    </w:p>
    <w:p>
      <w:pPr>
        <w:jc w:val="both"/>
        <w:ind w:left="8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means a certificate in form and substance reasonably satisfactory to Administrative Agent which calculates the Loan Value and Eligible Collateral.</w:t>
      </w:r>
    </w:p>
    <w:p>
      <w:pPr>
        <w:spacing w:after="0" w:line="16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Collateral</w:t>
      </w:r>
      <w:r>
        <w:rPr>
          <w:rFonts w:ascii="Times New Roman" w:cs="Times New Roman" w:eastAsia="Times New Roman" w:hAnsi="Times New Roman"/>
          <w:sz w:val="18"/>
          <w:szCs w:val="18"/>
          <w:color w:val="auto"/>
        </w:rPr>
        <w:t>” means, collectively, Eligible Inventory and Eligible Receivables.</w:t>
      </w:r>
    </w:p>
    <w:p>
      <w:pPr>
        <w:spacing w:after="0" w:line="225"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xml:space="preserve">” means Inventory of the Borrower subject to the Lien of the Loan Documents, the value of which shall be determined by taking into consideration the lowest of its cost, its book value determined in accordance with GAAP and its net orderly liquidation value as determined in an appraisal by an appraiser reasonably satisfactory to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classes of Inventory shall be deemed to be Eligible Inventory:</w:t>
      </w:r>
    </w:p>
    <w:p>
      <w:pPr>
        <w:spacing w:after="0" w:line="183" w:lineRule="exact"/>
        <w:rPr>
          <w:sz w:val="20"/>
          <w:szCs w:val="20"/>
          <w:color w:val="auto"/>
        </w:rPr>
      </w:pPr>
    </w:p>
    <w:p>
      <w:pPr>
        <w:ind w:left="840" w:right="20" w:firstLine="652"/>
        <w:spacing w:after="0" w:line="282" w:lineRule="auto"/>
        <w:tabs>
          <w:tab w:leader="none" w:pos="2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Inventory in-transit or not located at the locations set forth in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or at the locations permitted pursuant to </w:t>
      </w:r>
      <w:r>
        <w:rPr>
          <w:rFonts w:ascii="Times New Roman" w:cs="Times New Roman" w:eastAsia="Times New Roman" w:hAnsi="Times New Roman"/>
          <w:sz w:val="18"/>
          <w:szCs w:val="18"/>
          <w:u w:val="single" w:color="auto"/>
          <w:color w:val="auto"/>
        </w:rPr>
        <w:t>Section 6.14(b)(ii)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55" w:lineRule="auto"/>
        <w:tabs>
          <w:tab w:leader="none" w:pos="2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Inventory located on leaseholds as to which the lessor has not entered into a consent and agreement (solely with respect to locations of Borrower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existing on the Sixth Amendment Effectiveness Date, within sixty (60) days of the Sixth Amendment Effectiveness Date (or such longer period as permitted by Administrative Agent in its Permitted Discretion)) providing the Administrative Agent with the right to receive notices of default, the right to repossess such Inventory at any time and such other rights as may be requested by the Administrative Agent, unless Administrative Agent has imposed an Availability Reserve on such leasehold in an amount equal to three (3) months’ rent for such leasehold;</w:t>
      </w:r>
    </w:p>
    <w:p>
      <w:pPr>
        <w:spacing w:after="0" w:line="188"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is obsolete, unusable or otherwise unavailable for sale;</w:t>
      </w:r>
    </w:p>
    <w:p>
      <w:pPr>
        <w:spacing w:after="0" w:line="225"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consisting of promotional, marketing, packaging or shipping materials and supplies;</w:t>
      </w:r>
    </w:p>
    <w:p>
      <w:pPr>
        <w:spacing w:after="0" w:line="225" w:lineRule="exact"/>
        <w:rPr>
          <w:rFonts w:ascii="Times New Roman" w:cs="Times New Roman" w:eastAsia="Times New Roman" w:hAnsi="Times New Roman"/>
          <w:sz w:val="18"/>
          <w:szCs w:val="18"/>
          <w:color w:val="auto"/>
        </w:rPr>
      </w:pPr>
    </w:p>
    <w:p>
      <w:pPr>
        <w:ind w:left="840" w:firstLine="652"/>
        <w:spacing w:after="0" w:line="282" w:lineRule="auto"/>
        <w:tabs>
          <w:tab w:leader="none" w:pos="2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fails to meet in all material respects all standards imposed by any Governmental Authority having regulatory authority over such Inventory or its use or sale;</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66" w:lineRule="auto"/>
        <w:tabs>
          <w:tab w:leader="none" w:pos="2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is subject to any licensing, patent, royalty, trademark, trade name or copyright agreement with any third party from which the Borrower or any of its Subsidiaries has received notice of a dispute in respect of any such agreement;</w:t>
      </w:r>
    </w:p>
    <w:p>
      <w:pPr>
        <w:spacing w:after="0" w:line="175"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located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0" w:name="page41"/>
    <w:bookmarkEnd w:id="40"/>
    <w:p>
      <w:pPr>
        <w:ind w:left="2140" w:hanging="648"/>
        <w:spacing w:after="0"/>
        <w:tabs>
          <w:tab w:leader="none" w:pos="2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is not in the possession of or under the sole control of the Borrower or any of its</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consisting of parts or work in progress;</w:t>
      </w:r>
    </w:p>
    <w:p>
      <w:pPr>
        <w:spacing w:after="0" w:line="225" w:lineRule="exact"/>
        <w:rPr>
          <w:rFonts w:ascii="Times New Roman" w:cs="Times New Roman" w:eastAsia="Times New Roman" w:hAnsi="Times New Roman"/>
          <w:sz w:val="18"/>
          <w:szCs w:val="18"/>
          <w:color w:val="auto"/>
        </w:rPr>
      </w:pPr>
    </w:p>
    <w:p>
      <w:pPr>
        <w:ind w:left="840" w:firstLine="652"/>
        <w:spacing w:after="0" w:line="282" w:lineRule="auto"/>
        <w:tabs>
          <w:tab w:leader="none" w:pos="21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with respect to which the representations and warranties set forth in any Loan Document applicable to Inventory are not correct in any material respect; and</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61" w:lineRule="auto"/>
        <w:tabs>
          <w:tab w:leader="none" w:pos="21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in respect of which the applicable Loan Document, after giving effect to the related filings of financing statements that have then been made, if any, does not or has ceased to create a valid and perfected first priority lien or security interest in favor of the Administrative Agent, on behalf of the Secured Parties, securing the Obligations, subject to Permitted Liens which do not have priority over Administrative Agent’s Lien.</w:t>
      </w:r>
    </w:p>
    <w:p>
      <w:pPr>
        <w:spacing w:after="0" w:line="180"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Receivables</w:t>
      </w:r>
      <w:r>
        <w:rPr>
          <w:rFonts w:ascii="Times New Roman" w:cs="Times New Roman" w:eastAsia="Times New Roman" w:hAnsi="Times New Roman"/>
          <w:sz w:val="18"/>
          <w:szCs w:val="18"/>
          <w:color w:val="auto"/>
        </w:rPr>
        <w:t xml:space="preserve">” means Receivables of the Borrower subject to the Lien of the Loan Documents, the value of which shall be determined by taking into consideration, among other factors, their book value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classes of Receivables shall be deemed to be Eligible Receivables:</w:t>
      </w:r>
    </w:p>
    <w:p>
      <w:pPr>
        <w:spacing w:after="0" w:line="180" w:lineRule="exact"/>
        <w:rPr>
          <w:sz w:val="20"/>
          <w:szCs w:val="20"/>
          <w:color w:val="auto"/>
        </w:rPr>
      </w:pPr>
    </w:p>
    <w:p>
      <w:pPr>
        <w:ind w:left="840" w:firstLine="652"/>
        <w:spacing w:after="0" w:line="282" w:lineRule="auto"/>
        <w:tabs>
          <w:tab w:leader="none" w:pos="2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that do not arise out of sales of goods or rendering of services in the ordinary course of the Borrower’s or the relevant Subsidiary’s business;</w:t>
      </w:r>
    </w:p>
    <w:p>
      <w:pPr>
        <w:spacing w:after="0" w:line="161" w:lineRule="exact"/>
        <w:rPr>
          <w:rFonts w:ascii="Times New Roman" w:cs="Times New Roman" w:eastAsia="Times New Roman" w:hAnsi="Times New Roman"/>
          <w:sz w:val="18"/>
          <w:szCs w:val="18"/>
          <w:color w:val="auto"/>
        </w:rPr>
      </w:pPr>
    </w:p>
    <w:p>
      <w:pPr>
        <w:ind w:left="840" w:firstLine="652"/>
        <w:spacing w:after="0" w:line="282" w:lineRule="auto"/>
        <w:tabs>
          <w:tab w:leader="none" w:pos="2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payable other than in Dollars or that are otherwise on terms other than those normal or customary in the Borrower’s or the relevant Subsidiary’s business;</w:t>
      </w:r>
    </w:p>
    <w:p>
      <w:pPr>
        <w:spacing w:after="0" w:line="161"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from any Person that is an Affiliate of the Borrower;</w:t>
      </w:r>
    </w:p>
    <w:p>
      <w:pPr>
        <w:spacing w:after="0" w:line="225" w:lineRule="exact"/>
        <w:rPr>
          <w:rFonts w:ascii="Times New Roman" w:cs="Times New Roman" w:eastAsia="Times New Roman" w:hAnsi="Times New Roman"/>
          <w:sz w:val="18"/>
          <w:szCs w:val="18"/>
          <w:color w:val="auto"/>
        </w:rPr>
      </w:pPr>
    </w:p>
    <w:p>
      <w:pPr>
        <w:ind w:left="2140" w:hanging="648"/>
        <w:spacing w:after="0"/>
        <w:tabs>
          <w:tab w:leader="none" w:pos="2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more than 90 days past original invoice date;</w:t>
      </w:r>
    </w:p>
    <w:p>
      <w:pPr>
        <w:spacing w:after="0" w:line="225" w:lineRule="exact"/>
        <w:rPr>
          <w:rFonts w:ascii="Times New Roman" w:cs="Times New Roman" w:eastAsia="Times New Roman" w:hAnsi="Times New Roman"/>
          <w:sz w:val="18"/>
          <w:szCs w:val="18"/>
          <w:color w:val="auto"/>
        </w:rPr>
      </w:pPr>
    </w:p>
    <w:p>
      <w:pPr>
        <w:ind w:left="840" w:right="20" w:firstLine="652"/>
        <w:spacing w:after="0" w:line="282" w:lineRule="auto"/>
        <w:tabs>
          <w:tab w:leader="none" w:pos="2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from any Person from which an aggregate amount of more than 25% of the Receivables owing therefrom are ineligible under the foregoing clause;</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54" w:lineRule="auto"/>
        <w:tabs>
          <w:tab w:leader="none" w:pos="2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Receivables, when aggregated with other Receivables owing by such Person (other than for The Kroger Co., Costco Wholesale Corporation, Walmart Inc., Trader Joe’s Company and their respective Affiliates) exceeds 10% of the aggregate Receivables (or such higher percentage as Administrative Agent may establish for such Person from time to time in its Permitted Discretion); or (ii) (w) with respect to Receivables owing by The Kroger Co. and its Affiliates, when aggregated with other Accounts owing by such Persons, it exceeds 15% of the aggregate Receivables (or such higher percentage as Administrative Agent may establish for such Persons from time to time in its Permitted Discretion); (x) with respect to Receivables owing by Costco Wholesale Corporation and its Affiliates, when aggregated with other Accounts owing by such Persons, it exceeds 15% of the aggregate Receivables (or such higher percentage as Administrative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1" w:name="page42"/>
    <w:bookmarkEnd w:id="41"/>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establish for such Persons from time to time in its Permitted Discretion); or (y) with respect to Receivables owing by Walmart Inc. and its Affiliates, when aggregated with other Accounts owing by such Persons, it exceeds 15% of the aggregate Receivables (or such higher percentage as Administrative Agent may establish for such Persons from time to time in its Permitted Discretion); or (z) with respect to Receivables owing by Trader Joe’s Company and its Affiliates, when aggregated with other Accounts owing by such Persons, it exceeds 15% of the aggregate Receivables (or such higher percentage as Administrative Agent may establish for such Persons from time to time in its Permitted Discretion);</w:t>
      </w:r>
    </w:p>
    <w:p>
      <w:pPr>
        <w:spacing w:after="0" w:line="189" w:lineRule="exact"/>
        <w:rPr>
          <w:sz w:val="20"/>
          <w:szCs w:val="20"/>
          <w:color w:val="auto"/>
        </w:rPr>
      </w:pPr>
    </w:p>
    <w:p>
      <w:pPr>
        <w:jc w:val="both"/>
        <w:ind w:left="840" w:firstLine="652"/>
        <w:spacing w:after="0" w:line="258"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from any Person that (i) has disputed liability for any Receivable owing from such Person or (ii) has otherwise asserted any claim, demand or liability against the Borrower or any of its Subsidiaries, whether by action, suit, counterclaim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subclause (g)(i), such Receivables shall be excluded only to the extent of the amounts being disputed by such Person at any date of determination;</w:t>
      </w:r>
    </w:p>
    <w:p>
      <w:pPr>
        <w:spacing w:after="0" w:line="183" w:lineRule="exact"/>
        <w:rPr>
          <w:rFonts w:ascii="Times New Roman" w:cs="Times New Roman" w:eastAsia="Times New Roman" w:hAnsi="Times New Roman"/>
          <w:sz w:val="18"/>
          <w:szCs w:val="18"/>
          <w:color w:val="auto"/>
        </w:rPr>
      </w:pPr>
    </w:p>
    <w:p>
      <w:pPr>
        <w:ind w:left="840" w:right="20" w:firstLine="652"/>
        <w:spacing w:after="0" w:line="282"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owing from any Person that shall take or be the subject of any action or proceeding of a type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61"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(i) owing from any Person that is also a supplier to or creditor of the Borrower or any of its Subsidiaries unless such Person has waived any right of setoff in a manner acceptable to the Administrative Agent or (ii) representing any manufacturer’s or supplier’s credits, discounts, incentive plans or similar arrangements entitling the Borrower or any of its Subsidiaries to discounts on future purchase therefrom;</w:t>
      </w:r>
    </w:p>
    <w:p>
      <w:pPr>
        <w:spacing w:after="0" w:line="179" w:lineRule="exact"/>
        <w:rPr>
          <w:rFonts w:ascii="Times New Roman" w:cs="Times New Roman" w:eastAsia="Times New Roman" w:hAnsi="Times New Roman"/>
          <w:sz w:val="18"/>
          <w:szCs w:val="18"/>
          <w:color w:val="auto"/>
        </w:rPr>
      </w:pPr>
    </w:p>
    <w:p>
      <w:pPr>
        <w:ind w:left="840" w:firstLine="652"/>
        <w:spacing w:after="0" w:line="282"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arising out of sales to account debtors outside the United States, unless the Receivable is supported by a letter of credit or credit insurance reasonably satisfactory to Administrative Agent;</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66"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arising out of sales on a bill-and-hold, guaranteed sale, sale-or-return, sale-on-approval, cash-on-delivery, or consignment basis or subject to any right of return, setoff or charge back, but ineligibility related to such setoff or charge back shall be limited to the amount thereof;</w:t>
      </w:r>
    </w:p>
    <w:p>
      <w:pPr>
        <w:spacing w:after="0" w:line="175" w:lineRule="exact"/>
        <w:rPr>
          <w:rFonts w:ascii="Times New Roman" w:cs="Times New Roman" w:eastAsia="Times New Roman" w:hAnsi="Times New Roman"/>
          <w:sz w:val="18"/>
          <w:szCs w:val="18"/>
          <w:color w:val="auto"/>
        </w:rPr>
      </w:pPr>
    </w:p>
    <w:p>
      <w:pPr>
        <w:jc w:val="both"/>
        <w:ind w:left="840" w:firstLine="652"/>
        <w:spacing w:after="0" w:line="258"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from an account debtor that is an agency, department or instrumentality of the United States or any state, county, city, town or municipality thereof unless the Borrower or its relevant Subsidiary shall have satisfied the requirements of the Assignment of Claims Act of 1940, and any similar state or local legislation and the Administrative Agent is satisfied as to the absence of setoffs, counterclaims and other defenses on the part of such account debtor;</w:t>
      </w:r>
    </w:p>
    <w:p>
      <w:pPr>
        <w:spacing w:after="0" w:line="183" w:lineRule="exact"/>
        <w:rPr>
          <w:rFonts w:ascii="Times New Roman" w:cs="Times New Roman" w:eastAsia="Times New Roman" w:hAnsi="Times New Roman"/>
          <w:sz w:val="18"/>
          <w:szCs w:val="18"/>
          <w:color w:val="auto"/>
        </w:rPr>
      </w:pPr>
    </w:p>
    <w:p>
      <w:pPr>
        <w:ind w:left="840" w:right="20" w:firstLine="652"/>
        <w:spacing w:after="0" w:line="282"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with respect to which the representations and warranties set forth in any Loan Document applicable to Receivables are not correct in any material respect; and</w:t>
      </w:r>
    </w:p>
    <w:p>
      <w:pPr>
        <w:spacing w:after="0" w:line="161" w:lineRule="exact"/>
        <w:rPr>
          <w:rFonts w:ascii="Times New Roman" w:cs="Times New Roman" w:eastAsia="Times New Roman" w:hAnsi="Times New Roman"/>
          <w:sz w:val="18"/>
          <w:szCs w:val="18"/>
          <w:color w:val="auto"/>
        </w:rPr>
      </w:pPr>
    </w:p>
    <w:p>
      <w:pPr>
        <w:jc w:val="both"/>
        <w:ind w:left="840" w:firstLine="652"/>
        <w:spacing w:after="0" w:line="266" w:lineRule="auto"/>
        <w:tabs>
          <w:tab w:leader="none" w:pos="2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in respect of which the applicable Loan Document, after giving effect to the related filings of financing statements that have then been made, if any, does not or has ceased to create a valid and perfected first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8"/>
          <w:szCs w:val="18"/>
          <w:color w:val="auto"/>
        </w:rPr>
        <w:t>lien or security interest in favor of the Administrative Agent, on behalf of the Secured Parties, securing the Obligations.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“Inventory” (as defined in Section 1.A of the Security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Value</w:t>
      </w:r>
      <w:r>
        <w:rPr>
          <w:rFonts w:ascii="Times New Roman" w:cs="Times New Roman" w:eastAsia="Times New Roman" w:hAnsi="Times New Roman"/>
          <w:sz w:val="18"/>
          <w:szCs w:val="18"/>
          <w:color w:val="auto"/>
        </w:rPr>
        <w:t>” means, at any time, with respect to the Eligible Collateral, the sum of the following amounts:</w:t>
      </w:r>
    </w:p>
    <w:p>
      <w:pPr>
        <w:spacing w:after="0" w:line="225" w:lineRule="exact"/>
        <w:rPr>
          <w:sz w:val="20"/>
          <w:szCs w:val="20"/>
          <w:color w:val="auto"/>
        </w:rPr>
      </w:pPr>
    </w:p>
    <w:p>
      <w:pPr>
        <w:ind w:left="2760" w:hanging="646"/>
        <w:spacing w:after="0"/>
        <w:tabs>
          <w:tab w:leader="none" w:pos="2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the value of Eligible Inventory;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760" w:hanging="646"/>
        <w:spacing w:after="0"/>
        <w:tabs>
          <w:tab w:leader="none" w:pos="2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80% of the value of Eligible Receivables;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760" w:right="20" w:hanging="646"/>
        <w:spacing w:after="0" w:line="282" w:lineRule="auto"/>
        <w:tabs>
          <w:tab w:leader="none" w:pos="2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60% of the market value of Equity Interests in Limoneria Company owned by the Borrower free and clear of any Liens (other than in favor of Administrative Agent); </w:t>
      </w:r>
      <w:r>
        <w:rPr>
          <w:rFonts w:ascii="Times New Roman" w:cs="Times New Roman" w:eastAsia="Times New Roman" w:hAnsi="Times New Roman"/>
          <w:sz w:val="18"/>
          <w:szCs w:val="18"/>
          <w:u w:val="single" w:color="auto"/>
          <w:color w:val="auto"/>
        </w:rPr>
        <w:t>minus</w:t>
      </w:r>
    </w:p>
    <w:p>
      <w:pPr>
        <w:spacing w:after="0" w:line="161" w:lineRule="exact"/>
        <w:rPr>
          <w:rFonts w:ascii="Times New Roman" w:cs="Times New Roman" w:eastAsia="Times New Roman" w:hAnsi="Times New Roman"/>
          <w:sz w:val="18"/>
          <w:szCs w:val="18"/>
          <w:color w:val="auto"/>
        </w:rPr>
      </w:pPr>
    </w:p>
    <w:p>
      <w:pPr>
        <w:ind w:left="2760" w:hanging="646"/>
        <w:spacing w:after="0"/>
        <w:tabs>
          <w:tab w:leader="none" w:pos="2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Reserve.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the exercise, in good faith, of reasonable business judgement (from the perspective of a secured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“Accounts” (as defined in Section 1.A of the Security Agreement).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and Pledge Agreement dated December 1, 2021 among Borrower, other parties identified as “Grantors” on the signature pages thereto, and Administrative Agent, as amended, restated, amended and restated, supplemented or otherwise modified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Sixth Amendment Effectiveness Date</w:t>
      </w:r>
      <w:r>
        <w:rPr>
          <w:rFonts w:ascii="Times New Roman" w:cs="Times New Roman" w:eastAsia="Times New Roman" w:hAnsi="Times New Roman"/>
          <w:sz w:val="18"/>
          <w:szCs w:val="18"/>
          <w:color w:val="auto"/>
        </w:rPr>
        <w:t>” means March 14, 2022.</w:t>
      </w:r>
    </w:p>
    <w:p>
      <w:pPr>
        <w:spacing w:after="0" w:line="208" w:lineRule="exact"/>
        <w:rPr>
          <w:sz w:val="20"/>
          <w:szCs w:val="20"/>
          <w:color w:val="auto"/>
        </w:rPr>
      </w:pPr>
    </w:p>
    <w:p>
      <w:pPr>
        <w:ind w:firstLine="1304"/>
        <w:spacing w:after="0" w:line="287" w:lineRule="auto"/>
        <w:tabs>
          <w:tab w:leader="none" w:pos="1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Deleted Definitions in Section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definitions for</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Availability Block</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Release Date</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xml:space="preserve"> of the Credit Agreement are hereby deleted without replacement.</w:t>
      </w:r>
    </w:p>
    <w:p>
      <w:pPr>
        <w:spacing w:after="0" w:line="124" w:lineRule="exact"/>
        <w:rPr>
          <w:rFonts w:ascii="Times New Roman" w:cs="Times New Roman" w:eastAsia="Times New Roman" w:hAnsi="Times New Roman"/>
          <w:sz w:val="18"/>
          <w:szCs w:val="18"/>
          <w:color w:val="auto"/>
        </w:rPr>
      </w:pPr>
    </w:p>
    <w:p>
      <w:pPr>
        <w:ind w:firstLine="1304"/>
        <w:spacing w:after="0" w:line="287" w:lineRule="auto"/>
        <w:tabs>
          <w:tab w:leader="none" w:pos="194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definition of</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b w:val="1"/>
          <w:bCs w:val="1"/>
          <w:u w:val="single" w:color="auto"/>
          <w:color w:val="auto"/>
        </w:rPr>
        <w:t>“</w:t>
      </w:r>
      <w:r>
        <w:rPr>
          <w:rFonts w:ascii="Times New Roman" w:cs="Times New Roman" w:eastAsia="Times New Roman" w:hAnsi="Times New Roman"/>
          <w:sz w:val="18"/>
          <w:szCs w:val="18"/>
          <w:b w:val="1"/>
          <w:bCs w:val="1"/>
          <w:u w:val="single" w:color="auto"/>
          <w:color w:val="auto"/>
        </w:rPr>
        <w:t>Applicable Rate</w:t>
      </w:r>
      <w:r>
        <w:rPr>
          <w:rFonts w:ascii="Calibri" w:cs="Calibri" w:eastAsia="Calibri" w:hAnsi="Calibri"/>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 Section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definition for</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Applicable Rate</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of the Credit Agreement is hereby amended and restated in its entirety to read as follows:</w:t>
      </w: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w:t>
      </w:r>
    </w:p>
    <w:p>
      <w:pPr>
        <w:spacing w:after="0" w:line="225" w:lineRule="exact"/>
        <w:rPr>
          <w:sz w:val="20"/>
          <w:szCs w:val="20"/>
          <w:color w:val="auto"/>
        </w:rPr>
      </w:pPr>
    </w:p>
    <w:p>
      <w:pPr>
        <w:jc w:val="both"/>
        <w:ind w:left="1300" w:firstLine="652"/>
        <w:spacing w:after="0" w:line="266" w:lineRule="auto"/>
        <w:tabs>
          <w:tab w:leader="none" w:pos="25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Credit Extensions based on Commitments provided by Patronage Lenders, the per annum rate of (x) 1.75% with respect to BSBY Daily Floating Rate Loans and Letter of Credit Fee, (y) 0.75% with respect to Base Rate Loans and (z) 0.15% with respect to the commitment fee provided for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5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Credit Extensions based on Commitments from Non-Patronage Lenders, the rate per annum set forth below opposite the applicable Level then in effect (based on the Consolidated Leverage Ratio), it being understood that the Applicable Rate (related to Credit Extensions based on Commitments from Non-Patronage Lenders for (a) Revolving Loans that are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3" w:name="page44"/>
    <w:bookmarkEnd w:id="43"/>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 xml:space="preserve">Rate Loans shall be the percentage set forth under the column “Base Rate”, (b) Revolving Loans that are BSBY Daily Floating Rate Loans shall be the percentage set forth under the column “BSBY Daily Floating Rate Loans &amp; Letter of Credit Fee”, (c) the Letter of Credit Fee shall be the percentage set forth under the column “BSBY Daily Floating Rate Loans &amp; Letter of Credit Fee”, and (d) the commitment fee provided for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shall be the percentage set forth under the column “Commitment Fee”:</w:t>
      </w:r>
    </w:p>
    <w:p>
      <w:pPr>
        <w:spacing w:after="0" w:line="182" w:lineRule="exact"/>
        <w:rPr>
          <w:sz w:val="20"/>
          <w:szCs w:val="20"/>
          <w:color w:val="auto"/>
        </w:rPr>
      </w:pPr>
    </w:p>
    <w:tbl>
      <w:tblPr>
        <w:tblLayout w:type="fixed"/>
        <w:tblInd w:w="85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52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6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BSBY Daily</w:t>
            </w:r>
          </w:p>
        </w:tc>
        <w:tc>
          <w:tcPr>
            <w:tcW w:w="1220" w:type="dxa"/>
            <w:vAlign w:val="bottom"/>
            <w:tcBorders>
              <w:top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Base Rate</w:t>
            </w:r>
          </w:p>
        </w:tc>
        <w:tc>
          <w:tcPr>
            <w:tcW w:w="15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Floating Rate</w:t>
            </w: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Loans &amp; Letter</w:t>
            </w:r>
          </w:p>
        </w:tc>
        <w:tc>
          <w:tcPr>
            <w:tcW w:w="12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8"/>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 Credit Fee</w:t>
            </w:r>
          </w:p>
        </w:tc>
        <w:tc>
          <w:tcPr>
            <w:tcW w:w="12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69"/>
        </w:trPr>
        <w:tc>
          <w:tcPr>
            <w:tcW w:w="940" w:type="dxa"/>
            <w:vAlign w:val="bottom"/>
            <w:tcBorders>
              <w:left w:val="single" w:sz="8" w:color="auto"/>
              <w:right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1</w:t>
            </w:r>
          </w:p>
        </w:tc>
        <w:tc>
          <w:tcPr>
            <w:tcW w:w="152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&gt; 2.00:1.00</w:t>
            </w:r>
          </w:p>
        </w:tc>
        <w:tc>
          <w:tcPr>
            <w:tcW w:w="1660" w:type="dxa"/>
            <w:vAlign w:val="bottom"/>
            <w:tcBorders>
              <w:right w:val="single" w:sz="8" w:color="auto"/>
            </w:tcBorders>
          </w:tcPr>
          <w:p>
            <w:pPr>
              <w:ind w:left="960"/>
              <w:spacing w:after="0" w:line="169" w:lineRule="exact"/>
              <w:rPr>
                <w:sz w:val="20"/>
                <w:szCs w:val="20"/>
                <w:color w:val="auto"/>
              </w:rPr>
            </w:pPr>
            <w:r>
              <w:rPr>
                <w:rFonts w:ascii="Times New Roman" w:cs="Times New Roman" w:eastAsia="Times New Roman" w:hAnsi="Times New Roman"/>
                <w:sz w:val="18"/>
                <w:szCs w:val="18"/>
                <w:color w:val="auto"/>
              </w:rPr>
              <w:t>1.75%</w:t>
            </w:r>
          </w:p>
        </w:tc>
        <w:tc>
          <w:tcPr>
            <w:tcW w:w="1220" w:type="dxa"/>
            <w:vAlign w:val="bottom"/>
            <w:tcBorders>
              <w:right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0.75%</w:t>
            </w:r>
          </w:p>
        </w:tc>
        <w:tc>
          <w:tcPr>
            <w:tcW w:w="1560" w:type="dxa"/>
            <w:vAlign w:val="bottom"/>
            <w:tcBorders>
              <w:right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0.15%</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940" w:type="dxa"/>
            <w:vAlign w:val="bottom"/>
            <w:tcBorders>
              <w:left w:val="single" w:sz="8" w:color="auto"/>
              <w:right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152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&lt; 2.00:1.00 and</w:t>
            </w:r>
          </w:p>
        </w:tc>
        <w:tc>
          <w:tcPr>
            <w:tcW w:w="16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&gt;1.00:1.00</w:t>
            </w:r>
          </w:p>
        </w:tc>
        <w:tc>
          <w:tcPr>
            <w:tcW w:w="16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1.50%</w:t>
            </w:r>
          </w:p>
        </w:tc>
        <w:tc>
          <w:tcPr>
            <w:tcW w:w="12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0.50%</w:t>
            </w:r>
          </w:p>
        </w:tc>
        <w:tc>
          <w:tcPr>
            <w:tcW w:w="15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0.15%</w:t>
            </w:r>
          </w:p>
        </w:tc>
      </w:tr>
      <w:tr>
        <w:trPr>
          <w:trHeight w:val="169"/>
        </w:trPr>
        <w:tc>
          <w:tcPr>
            <w:tcW w:w="940" w:type="dxa"/>
            <w:vAlign w:val="bottom"/>
            <w:tcBorders>
              <w:left w:val="single" w:sz="8" w:color="auto"/>
              <w:right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3</w:t>
            </w:r>
          </w:p>
        </w:tc>
        <w:tc>
          <w:tcPr>
            <w:tcW w:w="152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&lt; 1.00:1.00</w:t>
            </w:r>
          </w:p>
        </w:tc>
        <w:tc>
          <w:tcPr>
            <w:tcW w:w="1660" w:type="dxa"/>
            <w:vAlign w:val="bottom"/>
            <w:tcBorders>
              <w:right w:val="single" w:sz="8" w:color="auto"/>
            </w:tcBorders>
          </w:tcPr>
          <w:p>
            <w:pPr>
              <w:ind w:left="960"/>
              <w:spacing w:after="0" w:line="169" w:lineRule="exact"/>
              <w:rPr>
                <w:sz w:val="20"/>
                <w:szCs w:val="20"/>
                <w:color w:val="auto"/>
              </w:rPr>
            </w:pPr>
            <w:r>
              <w:rPr>
                <w:rFonts w:ascii="Times New Roman" w:cs="Times New Roman" w:eastAsia="Times New Roman" w:hAnsi="Times New Roman"/>
                <w:sz w:val="18"/>
                <w:szCs w:val="18"/>
                <w:color w:val="auto"/>
              </w:rPr>
              <w:t>1.25%</w:t>
            </w:r>
          </w:p>
        </w:tc>
        <w:tc>
          <w:tcPr>
            <w:tcW w:w="1220" w:type="dxa"/>
            <w:vAlign w:val="bottom"/>
            <w:tcBorders>
              <w:right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0.25%</w:t>
            </w:r>
          </w:p>
        </w:tc>
        <w:tc>
          <w:tcPr>
            <w:tcW w:w="1560" w:type="dxa"/>
            <w:vAlign w:val="bottom"/>
            <w:tcBorders>
              <w:right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0.15%</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for Credit Extensions based on Commitments from Non-Patronage Lenders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Compliance Certificate is not delivered when due in accordance with such Section, then, upon Administrative Agent’s determination,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In addition, at all times while the Default Rate is in effect, the highest rate set forth in each column of the Applicable Rate shall apply to Credit Extensions based on Commitments from Non-Patronage Lenders.</w:t>
      </w:r>
    </w:p>
    <w:p>
      <w:pPr>
        <w:spacing w:after="0" w:line="188"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Any adjustment in the Applicable Rate for Credit Extensions based on Commitments from Non-Patronage Lenders shall be applicable to all Credit Extensions based on Commitments from Non-Patronage Lenders then existing or subsequently made or issued.</w:t>
      </w:r>
    </w:p>
    <w:p>
      <w:pPr>
        <w:spacing w:after="0" w:line="180"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Applicable Rate for the period commencing on the Sixth Amendment Effectiveness Date until the first Business Day of the month occurring after receipt by Administrative Agent of the July 31, 2022 Compliance Certificate reflecting that no Default or Event of Default exists, shall be (i) 3.00% for BSBY Daily Floating Rate Loans and Letter of Credit Fees, (ii) 2.00% for Base Rate Loans, and (iii) 0.25% for the Commitment Fee.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77" w:right="99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8"/>
          <w:szCs w:val="18"/>
          <w:color w:val="auto"/>
        </w:rPr>
        <w:t>avoidance of doubt, such increase pursuant hereof shall apply to both Patronage and Non-Patronage Lenders.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The Applicable Rate set forth above shall be increased as, and to the extent,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1304"/>
        <w:spacing w:after="0" w:line="287" w:lineRule="auto"/>
        <w:tabs>
          <w:tab w:leader="none" w:pos="19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1.01</w:t>
      </w:r>
      <w:r>
        <w:rPr>
          <w:rFonts w:ascii="Times New Roman" w:cs="Times New Roman" w:eastAsia="Times New Roman" w:hAnsi="Times New Roman"/>
          <w:sz w:val="18"/>
          <w:szCs w:val="18"/>
          <w:b w:val="1"/>
          <w:bCs w:val="1"/>
          <w:color w:val="auto"/>
        </w:rPr>
        <w:t xml:space="preserve"> </w:t>
      </w:r>
      <w:r>
        <w:rPr>
          <w:rFonts w:ascii="Calibri" w:cs="Calibri" w:eastAsia="Calibri" w:hAnsi="Calibri"/>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Amended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definitions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are hereby amended and restated in their entirety as follows:</w:t>
      </w:r>
    </w:p>
    <w:p>
      <w:pPr>
        <w:spacing w:after="0" w:line="142"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means, as of any date of determination, the ratio of (a) (i) Consolidated EBITDA, minus (ii) the aggregate amount of all maintenance Consolidated Capital Expenditures (in the amount of $6,000,000 in any Measurement Period) to (b) the sum of (i) Consolidated Interest Charges to the extent paid in cash,</w:t>
      </w:r>
    </w:p>
    <w:p>
      <w:pPr>
        <w:spacing w:after="0" w:line="1" w:lineRule="exact"/>
        <w:rPr>
          <w:sz w:val="20"/>
          <w:szCs w:val="20"/>
          <w:color w:val="auto"/>
        </w:rPr>
      </w:pPr>
    </w:p>
    <w:p>
      <w:pPr>
        <w:jc w:val="both"/>
        <w:ind w:left="1300" w:firstLine="4"/>
        <w:spacing w:after="0" w:line="242" w:lineRule="auto"/>
        <w:tabs>
          <w:tab w:leader="none" w:pos="15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redemptions or similar acquisitions for value of outstanding debt or regularly scheduled principal payments on debt for borrowed money or Capitalized Leases, but excluding (x) any such payments to the extent refinanced through the incurrence of additional Indebtedness otherwise expressly permitted under Section 7.02 and (y) any redemption payments by or on behalf of Calavo Mexico with respect to the Calavo Mexico Letter of Credit, (iii) the aggregate amount of all Restricted Payments paid in cash and (iv) the aggregate amount of federal, state, local and foreign income Taxes paid in cash (excluding, to the extent included in such calculation for the fiscal year ended October 31, 2021, (x) the Mexican Tax Assessment (2011), which shall be excluded commencing July 31, 2021 and (y) Mexican Tax Assessment (2013)), in each case, of or by the Borrower and its Subsidiaries for the most recently completed Measurement Period. For the purposes of calculating the Consolidated Fixed Charge Coverage Ratio for the measurement dates occurring between February 1, 2022 and September 30, 2022, (x) the dividend made by Borrower in December 2021 in the amount of $20,343,000 shall be deemed made in each month occurring during such period in an amount equal to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such dividend, and (y) Consolidated Capital Expenditures shall be deemed to be $500,000 for each month occurring during such period.</w:t>
      </w:r>
    </w:p>
    <w:p>
      <w:pPr>
        <w:spacing w:after="0" w:line="20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means, at any date of determination, subject to Section 7.11(b)(i) solely with respect to the calculation of the Consolidated Fixed Charge Coverage Ratio and the definition thereof, the twelve (12) months ended as of the end of the most recent fiscal quarter or fiscal month of the Borrower, as applicable.</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the lesser of (a) $17,500,000 and (b) the Revolving Facility. The Letter of Credit Sublimit is part of, and not in addition to, the Revolving Facility.</w:t>
      </w:r>
    </w:p>
    <w:p>
      <w:pPr>
        <w:spacing w:after="0" w:line="162"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as to each Revolving Lender, its obligation to (a) make Revolving Loans to the Borrower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under the caption “Revolving Commitment” or opposite such caption in the Assignment and Assumption pursuant to which such Lender becomes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8"/>
          <w:szCs w:val="18"/>
          <w:color w:val="auto"/>
        </w:rPr>
        <w:t>hereto, as applicable, as such amount may be adjusted from time to time in accordance with this Agreement.</w:t>
      </w:r>
    </w:p>
    <w:p>
      <w:pPr>
        <w:spacing w:after="0" w:line="208" w:lineRule="exact"/>
        <w:rPr>
          <w:sz w:val="20"/>
          <w:szCs w:val="20"/>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2.01(b)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80" w:lineRule="exact"/>
        <w:rPr>
          <w:sz w:val="20"/>
          <w:szCs w:val="20"/>
          <w:color w:val="auto"/>
        </w:rPr>
      </w:pPr>
    </w:p>
    <w:p>
      <w:pPr>
        <w:jc w:val="both"/>
        <w:ind w:left="1300" w:firstLine="4"/>
        <w:spacing w:after="0" w:line="252" w:lineRule="auto"/>
        <w:tabs>
          <w:tab w:leader="none" w:pos="19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Borrowings</w:t>
      </w:r>
      <w:r>
        <w:rPr>
          <w:rFonts w:ascii="Times New Roman" w:cs="Times New Roman" w:eastAsia="Times New Roman" w:hAnsi="Times New Roman"/>
          <w:sz w:val="18"/>
          <w:szCs w:val="18"/>
          <w:color w:val="auto"/>
        </w:rPr>
        <w:t>. Subject to the terms and conditions set forth herein, each Revolving Lender severally agrees to make loans (each such loan, a “Revolving Loan”) to the Borrower, in Dollars, from time to time, on any Business Day during the Availability Period, in an aggregate amount not to exceed at any time the amount of such Lender</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Revolving Commitment; provided, however, that after giving effect to any Revolving Borrowing, (i) the Total Revolving Outstandings shall not exceed the Revolving Facility, (ii) the Total Revolving Outstandings shall not exceed the Loan Value and (iii) the Revolving Exposure of any Lender shall not exceed such Revolving Lender</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Revolving Commitment. Within the limits of each Revolving Lender</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Revolving Commitment, and subject to the other terms and conditions hereof, the Borrower may borrow Revolving Loans, prepay under Section 2.05, and reborrow under this Section 2.01(b). Revolving Loans may be Base Rate Loans or BSBY Daily Floating Rate Loans, as further provided herein; provided, however, any Revolving Borrowings made on the Closing Date or any of the three (3) Business Days following the Closing Date shall be made as Base Rate Loans unless the Borrower delivers a Funding Indemnity Letter not less than three (3) Business Days prior to the date of such Revolving Borrowing. If for any reason the Total Revolving Outstandings at any time exceed the lesser of the Loan Value at such time and the Revolving Facility at such time, the Borrower shall immediately prepay Revolving Loans, Swingline Loans and L/C Borrowings and/or Cash Collateralize the L/C Obligations (other than the L/C Borrowings) in an aggregate amount equal to such excess.</w:t>
      </w:r>
    </w:p>
    <w:p>
      <w:pPr>
        <w:spacing w:after="0" w:line="192" w:lineRule="exact"/>
        <w:rPr>
          <w:sz w:val="20"/>
          <w:szCs w:val="20"/>
          <w:color w:val="auto"/>
        </w:rPr>
      </w:pPr>
    </w:p>
    <w:p>
      <w:pPr>
        <w:ind w:firstLine="1304"/>
        <w:spacing w:after="0" w:line="286" w:lineRule="auto"/>
        <w:tabs>
          <w:tab w:leader="none" w:pos="19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6.01(b)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entirety to read as follows:</w:t>
      </w:r>
    </w:p>
    <w:p>
      <w:pPr>
        <w:spacing w:after="0" w:line="145" w:lineRule="exact"/>
        <w:rPr>
          <w:sz w:val="20"/>
          <w:szCs w:val="20"/>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Monthly/Quarterly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4"/>
        <w:spacing w:after="0" w:line="254" w:lineRule="auto"/>
        <w:tabs>
          <w:tab w:leader="none" w:pos="19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fiscal month ending November 30, 2021 and continuing until the month ending October 31, 2022, as soon as available, but in any event within thirty (30) days after the end of each fiscal month of the Borrower (except in the case of the fiscal month ending November 30, 2021 which shall be due on or prior to January 7, 2022), the Consolidated balance sheets of the Borrower and its Subsidiaries as at the end of such fiscal month, and the related Consolidated statements of income or operations, changes in shareholders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equity and cash flows for such fiscal month and for the portion of the Borrower</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fiscal year then ended, setting forth in each case in comparative form the figures for the corresponding fiscal month of the previous fiscal year and the corresponding portion of the previous fiscal year, all in reasonable detail and prepared in accordance with GAAP, certified by the chief executive officer, chief financial officer, treasurer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6" w:name="page47"/>
    <w:bookmarkEnd w:id="46"/>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controller who is a Responsible Officer of the Borrower as fairly presenting the financial condition, results of operations, shareholders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equity and cash flows of the Borrower and its Subsidiaries, subject only to normal year-end audit adjustments and the absence of footnotes and such statements to be certified by the chief executive officer, chief financial officer, treasurer or controller that is a Responsible Officer of the Borrower to the effect that such statements are fairly stated in all material respects when considered in relation to the Consolidated financial statements of the Borrower and its Subsidiaries.</w:t>
      </w:r>
    </w:p>
    <w:p>
      <w:pPr>
        <w:spacing w:after="0" w:line="174" w:lineRule="exact"/>
        <w:rPr>
          <w:sz w:val="20"/>
          <w:szCs w:val="20"/>
          <w:color w:val="auto"/>
        </w:rPr>
      </w:pPr>
    </w:p>
    <w:p>
      <w:pPr>
        <w:jc w:val="both"/>
        <w:ind w:left="1300" w:firstLine="4"/>
        <w:spacing w:after="0" w:line="253" w:lineRule="auto"/>
        <w:tabs>
          <w:tab w:leader="none" w:pos="19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fiscal quarter ending January 31, 2023, as soon as available, but in any event within forty-five (45) days after the end of each of the first three (3) fiscal quarters of each fiscal year of the Borrower, the Consolidated balance sheets of the Borrower and its Subsidiaries as at the end of such fiscal quarter, and the related Consolidated statements of income or operations, changes in shareholders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equity and cash flows for such fiscal quarter and for the portion of the Borrower</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executive officer, chief financial officer, treasurer or controller who is a Responsible Officer of the Borrower as fairly presenting the financial condition, results of operations, shareholders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equity and cash flows of the Borrower and its Subsidiaries, subject only to normal year-end audit adjustments and the absence of footnotes and such consolidated statements to be certified by the chief executive officer, chief financial officer, treasurer or controller that is a Responsible Officer of the Borrower to the effect that such statements are fairly stated in all material respects when considered in relation to the Consolidated financial statements of the Borrower and its Subsidiaries.</w:t>
      </w:r>
    </w:p>
    <w:p>
      <w:pPr>
        <w:spacing w:after="0" w:line="157" w:lineRule="exact"/>
        <w:rPr>
          <w:sz w:val="20"/>
          <w:szCs w:val="20"/>
          <w:color w:val="auto"/>
        </w:rPr>
      </w:pPr>
    </w:p>
    <w:p>
      <w:pPr>
        <w:ind w:firstLine="1304"/>
        <w:spacing w:after="0" w:line="286" w:lineRule="auto"/>
        <w:tabs>
          <w:tab w:leader="none" w:pos="19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6.02(a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entirety to read as follows:</w:t>
      </w:r>
    </w:p>
    <w:p>
      <w:pPr>
        <w:spacing w:after="0" w:line="145" w:lineRule="exact"/>
        <w:rPr>
          <w:sz w:val="20"/>
          <w:szCs w:val="20"/>
          <w:color w:val="auto"/>
        </w:rPr>
      </w:pPr>
    </w:p>
    <w:p>
      <w:pPr>
        <w:jc w:val="both"/>
        <w:ind w:left="1300" w:firstLine="4"/>
        <w:spacing w:after="0" w:line="258" w:lineRule="auto"/>
        <w:tabs>
          <w:tab w:leader="none" w:pos="19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As soon as available, but in any event within 30 days after the end of each month, a Borrowing Base Certificate, as at the end of such month, duly certified by the chief executive officer, chief financial officer, treasurer or controller of the Borrower, together with aging reports for accounts payable, accounts receivable, and growers payable, and inventory listing, in each case, in form and substance reasonably satisfactory to Administrative Agent.</w:t>
      </w:r>
    </w:p>
    <w:p>
      <w:pPr>
        <w:spacing w:after="0" w:line="166" w:lineRule="exact"/>
        <w:rPr>
          <w:sz w:val="20"/>
          <w:szCs w:val="20"/>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6.14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 in its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 to read as follows:</w:t>
      </w:r>
    </w:p>
    <w:p>
      <w:pPr>
        <w:spacing w:after="0" w:line="176" w:lineRule="exact"/>
        <w:rPr>
          <w:sz w:val="20"/>
          <w:szCs w:val="20"/>
          <w:color w:val="auto"/>
        </w:rPr>
      </w:pPr>
    </w:p>
    <w:p>
      <w:pPr>
        <w:jc w:val="both"/>
        <w:ind w:left="1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6.14 </w:t>
      </w:r>
      <w:r>
        <w:rPr>
          <w:rFonts w:ascii="Times New Roman" w:cs="Times New Roman" w:eastAsia="Times New Roman" w:hAnsi="Times New Roman"/>
          <w:sz w:val="18"/>
          <w:szCs w:val="18"/>
          <w:b w:val="1"/>
          <w:bCs w:val="1"/>
          <w:u w:val="single" w:color="auto"/>
          <w:color w:val="auto"/>
        </w:rPr>
        <w:t>Location of Inventory</w:t>
      </w:r>
      <w:r>
        <w:rPr>
          <w:rFonts w:ascii="Times New Roman" w:cs="Times New Roman" w:eastAsia="Times New Roman" w:hAnsi="Times New Roman"/>
          <w:sz w:val="18"/>
          <w:szCs w:val="18"/>
          <w:color w:val="auto"/>
        </w:rPr>
        <w:t>. All Inventory located in the United States, other than Inventory in transit, shall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times be kept by Borrower at the business locations set forth in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xml:space="preserve">, except that Borrower may (a) make sales or other dispositions of such Inventory in accordance with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(b) move such Inventory (i) between such locations or (ii) to another location of Borrower that is not listed on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color w:val="auto"/>
        </w:rPr>
        <w:t>, in the case of this clause (b) (ii), upon 20 Business Days prior written notice to Administrative Agent.</w:t>
      </w:r>
    </w:p>
    <w:p>
      <w:pPr>
        <w:spacing w:after="0" w:line="166" w:lineRule="exact"/>
        <w:rPr>
          <w:sz w:val="20"/>
          <w:szCs w:val="20"/>
          <w:color w:val="auto"/>
        </w:rPr>
      </w:pPr>
    </w:p>
    <w:p>
      <w:pPr>
        <w:ind w:firstLine="1304"/>
        <w:spacing w:after="0" w:line="286" w:lineRule="auto"/>
        <w:tabs>
          <w:tab w:leader="none" w:pos="19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7.03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to add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paragraph at the end of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the Loan Parties shall not make any Investments under clauses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or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7" w:name="page48"/>
    <w:bookmarkEnd w:id="47"/>
    <w:p>
      <w:pPr>
        <w:ind w:left="1300" w:firstLine="4"/>
        <w:spacing w:after="0" w:line="282" w:lineRule="auto"/>
        <w:tabs>
          <w:tab w:leader="none" w:pos="1614" w:val="left"/>
        </w:tabs>
        <w:numPr>
          <w:ilvl w:val="0"/>
          <w:numId w:val="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during the period commencing on March 1, 2022 through and including October 31, 2022 in excess of $4,000,000 in the aggregate.</w:t>
      </w:r>
    </w:p>
    <w:p>
      <w:pPr>
        <w:spacing w:after="0" w:line="144" w:lineRule="exact"/>
        <w:rPr>
          <w:sz w:val="20"/>
          <w:szCs w:val="20"/>
          <w:color w:val="auto"/>
        </w:rPr>
      </w:pPr>
    </w:p>
    <w:p>
      <w:pPr>
        <w:ind w:firstLine="1304"/>
        <w:spacing w:after="0" w:line="286" w:lineRule="auto"/>
        <w:tabs>
          <w:tab w:leader="none" w:pos="19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7.04(b)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entirety to read as follows:</w:t>
      </w:r>
    </w:p>
    <w:p>
      <w:pPr>
        <w:spacing w:after="0" w:line="132" w:lineRule="exact"/>
        <w:rPr>
          <w:sz w:val="20"/>
          <w:szCs w:val="20"/>
          <w:color w:val="auto"/>
        </w:rPr>
      </w:pPr>
    </w:p>
    <w:p>
      <w:pPr>
        <w:jc w:val="both"/>
        <w:ind w:left="1300" w:firstLine="4"/>
        <w:spacing w:after="0" w:line="256" w:lineRule="auto"/>
        <w:tabs>
          <w:tab w:leader="none" w:pos="19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may Dispose of all or substantially all of its assets (upon voluntary liquidation or otherwise) to the Borrower or to another Loan Party; provided, that the Borrower may Dispose of all or substantially all of its Equity Interests in Limoneria Company by selling such interests to a non-Loan Party so long as (a) the Borrower shall apply the net proceeds of such sale to repay the Loans, promptly, but no later than three (3) Business Days, of the sale (b) no Default or Event of Default exists or would result therefrom, and (c) such sale shall be in an amount not less than the fair market value taking into consideration reasonable and customary discounts for bulk sales.</w:t>
      </w:r>
    </w:p>
    <w:p>
      <w:pPr>
        <w:spacing w:after="0" w:line="170" w:lineRule="exact"/>
        <w:rPr>
          <w:sz w:val="20"/>
          <w:szCs w:val="20"/>
          <w:color w:val="auto"/>
        </w:rPr>
      </w:pPr>
    </w:p>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7.11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 in its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 to read as follows:</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u w:val="single" w:color="auto"/>
          <w:color w:val="auto"/>
        </w:rPr>
        <w:t>Financial Covenants</w:t>
      </w:r>
    </w:p>
    <w:p>
      <w:pPr>
        <w:spacing w:after="0" w:line="202" w:lineRule="exact"/>
        <w:rPr>
          <w:sz w:val="20"/>
          <w:szCs w:val="20"/>
          <w:color w:val="auto"/>
        </w:rPr>
      </w:pPr>
    </w:p>
    <w:p>
      <w:pPr>
        <w:jc w:val="both"/>
        <w:ind w:left="1300" w:firstLine="652"/>
        <w:spacing w:after="0" w:line="266" w:lineRule="auto"/>
        <w:tabs>
          <w:tab w:leader="none" w:pos="25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Commencing July 31, 2022 and at all times thereafter, permit the Consolidated Leverage Ratio as of the end of any Measurement Period ending as of the end of any fiscal quarter of the Borrower to be greater than 2.50:1.00.</w:t>
      </w:r>
    </w:p>
    <w:p>
      <w:pPr>
        <w:spacing w:after="0" w:line="162"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5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(i) Commencing April 30, 2022 through and including September 30, 2022, permit the Consolidated Fixed Charge Coverage Ratio as of the last day of any fiscal month, measured on a period-to-date basis for the period commencing on February 1, 2022 and ending on the date of measurement set forth in the table below, to be less than 1.20:1.00, and (ii) and at all times thereafter, permit the Consolidated Fixed Charge Coverage Ratio as of the end of any Measurement Period ending as of the end of any fiscal quarter of the Borrower to be less than 1.20:1.00.</w:t>
      </w:r>
    </w:p>
    <w:p>
      <w:pPr>
        <w:spacing w:after="0" w:line="172" w:lineRule="exact"/>
        <w:rPr>
          <w:sz w:val="20"/>
          <w:szCs w:val="20"/>
          <w:color w:val="auto"/>
        </w:rPr>
      </w:pPr>
    </w:p>
    <w:tbl>
      <w:tblPr>
        <w:tblLayout w:type="fixed"/>
        <w:tblInd w:w="131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bottom w:val="single" w:sz="8" w:color="auto"/>
              <w:right w:val="single" w:sz="8" w:color="auto"/>
            </w:tcBorders>
            <w:shd w:val="clear" w:color="auto" w:fill="002060"/>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9"/>
              </w:rPr>
              <w:t>Fiscal Month Ending</w:t>
            </w:r>
          </w:p>
        </w:tc>
        <w:tc>
          <w:tcPr>
            <w:tcW w:w="4820" w:type="dxa"/>
            <w:vAlign w:val="bottom"/>
            <w:tcBorders>
              <w:top w:val="single" w:sz="8" w:color="auto"/>
              <w:bottom w:val="single" w:sz="8" w:color="auto"/>
              <w:right w:val="single" w:sz="8" w:color="auto"/>
            </w:tcBorders>
            <w:shd w:val="clear" w:color="auto" w:fill="002060"/>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Period</w:t>
            </w:r>
          </w:p>
        </w:tc>
      </w:tr>
      <w:tr>
        <w:trPr>
          <w:trHeight w:val="191"/>
        </w:trPr>
        <w:tc>
          <w:tcPr>
            <w:tcW w:w="2080" w:type="dxa"/>
            <w:vAlign w:val="bottom"/>
            <w:tcBorders>
              <w:left w:val="single" w:sz="8" w:color="auto"/>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April 30, 2022</w:t>
            </w:r>
          </w:p>
        </w:tc>
        <w:tc>
          <w:tcPr>
            <w:tcW w:w="4820" w:type="dxa"/>
            <w:vAlign w:val="bottom"/>
            <w:tcBorders>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Three consecutive fiscal month period</w:t>
            </w: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ending on April 30, 2022</w:t>
            </w:r>
          </w:p>
        </w:tc>
      </w:tr>
      <w:tr>
        <w:trPr>
          <w:trHeight w:val="191"/>
        </w:trPr>
        <w:tc>
          <w:tcPr>
            <w:tcW w:w="2080" w:type="dxa"/>
            <w:vAlign w:val="bottom"/>
            <w:tcBorders>
              <w:left w:val="single" w:sz="8" w:color="auto"/>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May 31, 2022</w:t>
            </w:r>
          </w:p>
        </w:tc>
        <w:tc>
          <w:tcPr>
            <w:tcW w:w="4820" w:type="dxa"/>
            <w:vAlign w:val="bottom"/>
            <w:tcBorders>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Four consecutive fiscal month period</w:t>
            </w: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ending on May 31, 2022</w:t>
            </w:r>
          </w:p>
        </w:tc>
      </w:tr>
      <w:tr>
        <w:trPr>
          <w:trHeight w:val="191"/>
        </w:trPr>
        <w:tc>
          <w:tcPr>
            <w:tcW w:w="2080" w:type="dxa"/>
            <w:vAlign w:val="bottom"/>
            <w:tcBorders>
              <w:left w:val="single" w:sz="8" w:color="auto"/>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June 30, 2022</w:t>
            </w:r>
          </w:p>
        </w:tc>
        <w:tc>
          <w:tcPr>
            <w:tcW w:w="4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Five consecutive fiscal month period</w:t>
            </w: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ending on June 30, 2022</w:t>
            </w:r>
          </w:p>
        </w:tc>
      </w:tr>
      <w:tr>
        <w:trPr>
          <w:trHeight w:val="191"/>
        </w:trPr>
        <w:tc>
          <w:tcPr>
            <w:tcW w:w="2080" w:type="dxa"/>
            <w:vAlign w:val="bottom"/>
            <w:tcBorders>
              <w:left w:val="single" w:sz="8" w:color="auto"/>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July 31, 2022</w:t>
            </w:r>
          </w:p>
        </w:tc>
        <w:tc>
          <w:tcPr>
            <w:tcW w:w="4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Six consecutive fiscal month period</w:t>
            </w: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ending on July 31, 2022</w:t>
            </w:r>
          </w:p>
        </w:tc>
      </w:tr>
      <w:tr>
        <w:trPr>
          <w:trHeight w:val="191"/>
        </w:trPr>
        <w:tc>
          <w:tcPr>
            <w:tcW w:w="2080" w:type="dxa"/>
            <w:vAlign w:val="bottom"/>
            <w:tcBorders>
              <w:left w:val="single" w:sz="8" w:color="auto"/>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8"/>
              </w:rPr>
              <w:t>August 31, 2022</w:t>
            </w:r>
          </w:p>
        </w:tc>
        <w:tc>
          <w:tcPr>
            <w:tcW w:w="4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Seven consecutive fiscal month period</w:t>
            </w: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ending on August 31, 2022</w:t>
            </w:r>
          </w:p>
        </w:tc>
      </w:tr>
      <w:tr>
        <w:trPr>
          <w:trHeight w:val="191"/>
        </w:trPr>
        <w:tc>
          <w:tcPr>
            <w:tcW w:w="2080" w:type="dxa"/>
            <w:vAlign w:val="bottom"/>
            <w:tcBorders>
              <w:left w:val="single" w:sz="8" w:color="auto"/>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September 30, 2022</w:t>
            </w:r>
          </w:p>
        </w:tc>
        <w:tc>
          <w:tcPr>
            <w:tcW w:w="4820" w:type="dxa"/>
            <w:vAlign w:val="bottom"/>
            <w:tcBorders>
              <w:right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Eight consecutive fiscal month period</w:t>
            </w: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ending on September 30,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 w:name="page49"/>
    <w:bookmarkEnd w:id="48"/>
    <w:tbl>
      <w:tblPr>
        <w:tblLayout w:type="fixed"/>
        <w:tblInd w:w="131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80" w:type="dxa"/>
            <w:vAlign w:val="bottom"/>
          </w:tcPr>
          <w:p>
            <w:pPr>
              <w:spacing w:after="0"/>
              <w:rPr>
                <w:sz w:val="17"/>
                <w:szCs w:val="17"/>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Minimum Consolidated EBITDA. Permit Consolidated EBITDA as of the last day of each below</w:t>
            </w:r>
          </w:p>
        </w:tc>
      </w:tr>
      <w:tr>
        <w:trPr>
          <w:trHeight w:val="20"/>
        </w:trPr>
        <w:tc>
          <w:tcPr>
            <w:tcW w:w="1300" w:type="dxa"/>
            <w:vAlign w:val="bottom"/>
            <w:gridSpan w:val="3"/>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r>
      <w:tr>
        <w:trPr>
          <w:trHeight w:val="237"/>
        </w:trPr>
        <w:tc>
          <w:tcPr>
            <w:tcW w:w="8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fiscal month, measured for that fiscal month, to be less than the amount set forth below:</w:t>
            </w:r>
          </w:p>
        </w:tc>
      </w:tr>
      <w:tr>
        <w:trPr>
          <w:trHeight w:val="203"/>
        </w:trPr>
        <w:tc>
          <w:tcPr>
            <w:tcW w:w="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1720" w:type="dxa"/>
            <w:vAlign w:val="bottom"/>
          </w:tcPr>
          <w:p>
            <w:pPr>
              <w:spacing w:after="0"/>
              <w:rPr>
                <w:sz w:val="17"/>
                <w:szCs w:val="17"/>
                <w:color w:val="auto"/>
              </w:rPr>
            </w:pPr>
          </w:p>
        </w:tc>
      </w:tr>
      <w:tr>
        <w:trPr>
          <w:trHeight w:val="209"/>
        </w:trPr>
        <w:tc>
          <w:tcPr>
            <w:tcW w:w="660" w:type="dxa"/>
            <w:vAlign w:val="bottom"/>
            <w:tcBorders>
              <w:left w:val="single" w:sz="8" w:color="auto"/>
              <w:bottom w:val="single" w:sz="8" w:color="auto"/>
            </w:tcBorders>
            <w:shd w:val="clear" w:color="auto" w:fill="002060"/>
          </w:tcPr>
          <w:p>
            <w:pPr>
              <w:spacing w:after="0"/>
              <w:rPr>
                <w:sz w:val="18"/>
                <w:szCs w:val="18"/>
                <w:color w:val="auto"/>
              </w:rPr>
            </w:pPr>
          </w:p>
        </w:tc>
        <w:tc>
          <w:tcPr>
            <w:tcW w:w="2320" w:type="dxa"/>
            <w:vAlign w:val="bottom"/>
            <w:tcBorders>
              <w:bottom w:val="single" w:sz="8" w:color="auto"/>
            </w:tcBorders>
            <w:gridSpan w:val="4"/>
            <w:shd w:val="clear" w:color="auto" w:fill="002060"/>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w w:val="98"/>
              </w:rPr>
              <w:t>Fiscal Month Ending</w:t>
            </w:r>
          </w:p>
        </w:tc>
        <w:tc>
          <w:tcPr>
            <w:tcW w:w="60" w:type="dxa"/>
            <w:vAlign w:val="bottom"/>
            <w:tcBorders>
              <w:bottom w:val="single" w:sz="8" w:color="auto"/>
            </w:tcBorders>
            <w:shd w:val="clear" w:color="auto" w:fill="002060"/>
          </w:tcPr>
          <w:p>
            <w:pPr>
              <w:spacing w:after="0"/>
              <w:rPr>
                <w:sz w:val="18"/>
                <w:szCs w:val="18"/>
                <w:color w:val="auto"/>
              </w:rPr>
            </w:pPr>
          </w:p>
        </w:tc>
        <w:tc>
          <w:tcPr>
            <w:tcW w:w="340" w:type="dxa"/>
            <w:vAlign w:val="bottom"/>
            <w:tcBorders>
              <w:bottom w:val="single" w:sz="8" w:color="auto"/>
              <w:right w:val="single" w:sz="8" w:color="auto"/>
            </w:tcBorders>
            <w:shd w:val="clear" w:color="auto" w:fill="002060"/>
          </w:tcPr>
          <w:p>
            <w:pPr>
              <w:spacing w:after="0"/>
              <w:rPr>
                <w:sz w:val="18"/>
                <w:szCs w:val="18"/>
                <w:color w:val="auto"/>
              </w:rPr>
            </w:pPr>
          </w:p>
        </w:tc>
        <w:tc>
          <w:tcPr>
            <w:tcW w:w="380" w:type="dxa"/>
            <w:vAlign w:val="bottom"/>
            <w:tcBorders>
              <w:bottom w:val="single" w:sz="8" w:color="auto"/>
            </w:tcBorders>
            <w:shd w:val="clear" w:color="auto" w:fill="002060"/>
          </w:tcPr>
          <w:p>
            <w:pPr>
              <w:spacing w:after="0"/>
              <w:rPr>
                <w:sz w:val="18"/>
                <w:szCs w:val="18"/>
                <w:color w:val="auto"/>
              </w:rPr>
            </w:pPr>
          </w:p>
        </w:tc>
        <w:tc>
          <w:tcPr>
            <w:tcW w:w="3140" w:type="dxa"/>
            <w:vAlign w:val="bottom"/>
            <w:tcBorders>
              <w:bottom w:val="single" w:sz="8" w:color="auto"/>
              <w:right w:val="single" w:sz="8" w:color="auto"/>
            </w:tcBorders>
            <w:gridSpan w:val="2"/>
            <w:shd w:val="clear" w:color="auto" w:fill="002060"/>
          </w:tcPr>
          <w:p>
            <w:pPr>
              <w:jc w:val="right"/>
              <w:ind w:right="420"/>
              <w:spacing w:after="0"/>
              <w:rPr>
                <w:sz w:val="20"/>
                <w:szCs w:val="20"/>
                <w:color w:val="auto"/>
              </w:rPr>
            </w:pPr>
            <w:r>
              <w:rPr>
                <w:rFonts w:ascii="Times New Roman" w:cs="Times New Roman" w:eastAsia="Times New Roman" w:hAnsi="Times New Roman"/>
                <w:sz w:val="18"/>
                <w:szCs w:val="18"/>
                <w:b w:val="1"/>
                <w:bCs w:val="1"/>
                <w:color w:val="FFFFFF"/>
              </w:rPr>
              <w:t>Minimum Consolidated EBITDA</w:t>
            </w:r>
          </w:p>
        </w:tc>
        <w:tc>
          <w:tcPr>
            <w:tcW w:w="1720" w:type="dxa"/>
            <w:vAlign w:val="bottom"/>
          </w:tcPr>
          <w:p>
            <w:pPr>
              <w:spacing w:after="0"/>
              <w:rPr>
                <w:sz w:val="18"/>
                <w:szCs w:val="18"/>
                <w:color w:val="auto"/>
              </w:rPr>
            </w:pPr>
          </w:p>
        </w:tc>
      </w:tr>
      <w:tr>
        <w:trPr>
          <w:trHeight w:val="210"/>
        </w:trPr>
        <w:tc>
          <w:tcPr>
            <w:tcW w:w="66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February 28, 2022</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Borders>
              <w:bottom w:val="single" w:sz="8" w:color="auto"/>
              <w:right w:val="single" w:sz="8" w:color="auto"/>
            </w:tcBorders>
            <w:gridSpan w:val="2"/>
          </w:tcPr>
          <w:p>
            <w:pPr>
              <w:jc w:val="right"/>
              <w:ind w:right="1380"/>
              <w:spacing w:after="0"/>
              <w:rPr>
                <w:sz w:val="20"/>
                <w:szCs w:val="20"/>
                <w:color w:val="auto"/>
              </w:rPr>
            </w:pPr>
            <w:r>
              <w:rPr>
                <w:rFonts w:ascii="Times New Roman" w:cs="Times New Roman" w:eastAsia="Times New Roman" w:hAnsi="Times New Roman"/>
                <w:sz w:val="18"/>
                <w:szCs w:val="18"/>
                <w:color w:val="auto"/>
              </w:rPr>
              <w:t>3,000,000</w:t>
            </w:r>
          </w:p>
        </w:tc>
        <w:tc>
          <w:tcPr>
            <w:tcW w:w="1720" w:type="dxa"/>
            <w:vAlign w:val="bottom"/>
          </w:tcPr>
          <w:p>
            <w:pPr>
              <w:spacing w:after="0"/>
              <w:rPr>
                <w:sz w:val="18"/>
                <w:szCs w:val="18"/>
                <w:color w:val="auto"/>
              </w:rPr>
            </w:pPr>
          </w:p>
        </w:tc>
      </w:tr>
      <w:tr>
        <w:trPr>
          <w:trHeight w:val="209"/>
        </w:trPr>
        <w:tc>
          <w:tcPr>
            <w:tcW w:w="66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March 31, 2022</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Borders>
              <w:bottom w:val="single" w:sz="8" w:color="auto"/>
              <w:right w:val="single" w:sz="8" w:color="auto"/>
            </w:tcBorders>
            <w:gridSpan w:val="2"/>
          </w:tcPr>
          <w:p>
            <w:pPr>
              <w:jc w:val="right"/>
              <w:ind w:right="1380"/>
              <w:spacing w:after="0"/>
              <w:rPr>
                <w:sz w:val="20"/>
                <w:szCs w:val="20"/>
                <w:color w:val="auto"/>
              </w:rPr>
            </w:pPr>
            <w:r>
              <w:rPr>
                <w:rFonts w:ascii="Times New Roman" w:cs="Times New Roman" w:eastAsia="Times New Roman" w:hAnsi="Times New Roman"/>
                <w:sz w:val="18"/>
                <w:szCs w:val="18"/>
                <w:color w:val="auto"/>
              </w:rPr>
              <w:t>3,000,000</w:t>
            </w:r>
          </w:p>
        </w:tc>
        <w:tc>
          <w:tcPr>
            <w:tcW w:w="1720" w:type="dxa"/>
            <w:vAlign w:val="bottom"/>
          </w:tcPr>
          <w:p>
            <w:pPr>
              <w:spacing w:after="0"/>
              <w:rPr>
                <w:sz w:val="18"/>
                <w:szCs w:val="18"/>
                <w:color w:val="auto"/>
              </w:rPr>
            </w:pPr>
          </w:p>
        </w:tc>
      </w:tr>
      <w:tr>
        <w:trPr>
          <w:trHeight w:val="210"/>
        </w:trPr>
        <w:tc>
          <w:tcPr>
            <w:tcW w:w="660" w:type="dxa"/>
            <w:vAlign w:val="bottom"/>
            <w:tcBorders>
              <w:left w:val="single" w:sz="8" w:color="auto"/>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8"/>
              </w:rPr>
              <w:t>April 30, 2022</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3140" w:type="dxa"/>
            <w:vAlign w:val="bottom"/>
            <w:tcBorders>
              <w:bottom w:val="single" w:sz="8" w:color="auto"/>
              <w:right w:val="single" w:sz="8" w:color="auto"/>
            </w:tcBorders>
            <w:gridSpan w:val="2"/>
          </w:tcPr>
          <w:p>
            <w:pPr>
              <w:jc w:val="right"/>
              <w:ind w:right="1380"/>
              <w:spacing w:after="0"/>
              <w:rPr>
                <w:sz w:val="20"/>
                <w:szCs w:val="20"/>
                <w:color w:val="auto"/>
              </w:rPr>
            </w:pPr>
            <w:r>
              <w:rPr>
                <w:rFonts w:ascii="Times New Roman" w:cs="Times New Roman" w:eastAsia="Times New Roman" w:hAnsi="Times New Roman"/>
                <w:sz w:val="18"/>
                <w:szCs w:val="18"/>
                <w:color w:val="auto"/>
              </w:rPr>
              <w:t>5,000,000</w:t>
            </w:r>
          </w:p>
        </w:tc>
        <w:tc>
          <w:tcPr>
            <w:tcW w:w="1720" w:type="dxa"/>
            <w:vAlign w:val="bottom"/>
          </w:tcPr>
          <w:p>
            <w:pPr>
              <w:spacing w:after="0"/>
              <w:rPr>
                <w:sz w:val="18"/>
                <w:szCs w:val="18"/>
                <w:color w:val="auto"/>
              </w:rPr>
            </w:pP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w:t>
            </w: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Amendment to Section 7.12.</w:t>
            </w:r>
          </w:p>
        </w:tc>
        <w:tc>
          <w:tcPr>
            <w:tcW w:w="56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Section 7.12 of the Credit Agreement is hereby amended and restated as</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5154295</wp:posOffset>
            </wp:positionH>
            <wp:positionV relativeFrom="paragraph">
              <wp:posOffset>-728345</wp:posOffset>
            </wp:positionV>
            <wp:extent cx="28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94"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color w:val="auto"/>
        </w:rPr>
        <w:t>. Make or become legally obligated to make any Capital Expenditure,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Expenditures in the ordinary course of business not exceeding $15,000,000 in the aggregate for the Borrower and its Subsidiaries during fiscal year ending on or about October 31, 2022, and $30,000,000 in the aggregate for the Borrower and its Subsidiaries during any other fiscal year.</w:t>
      </w:r>
    </w:p>
    <w:p>
      <w:pPr>
        <w:spacing w:after="0" w:line="163" w:lineRule="exact"/>
        <w:rPr>
          <w:sz w:val="20"/>
          <w:szCs w:val="20"/>
          <w:color w:val="auto"/>
        </w:rPr>
      </w:pPr>
    </w:p>
    <w:p>
      <w:pPr>
        <w:jc w:val="both"/>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(m)</w:t>
      </w:r>
      <w:r>
        <w:rPr>
          <w:sz w:val="20"/>
          <w:szCs w:val="20"/>
          <w:color w:val="auto"/>
        </w:rPr>
        <w:tab/>
      </w:r>
      <w:r>
        <w:rPr>
          <w:rFonts w:ascii="Times New Roman" w:cs="Times New Roman" w:eastAsia="Times New Roman" w:hAnsi="Times New Roman"/>
          <w:sz w:val="18"/>
          <w:szCs w:val="18"/>
          <w:b w:val="1"/>
          <w:bCs w:val="1"/>
          <w:u w:val="single" w:color="auto"/>
          <w:color w:val="auto"/>
        </w:rPr>
        <w:t>Amendment to Section 11.04(a)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11.04(a)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is hereby amended and restated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193" w:lineRule="exact"/>
        <w:rPr>
          <w:sz w:val="20"/>
          <w:szCs w:val="20"/>
          <w:color w:val="auto"/>
        </w:rPr>
      </w:pPr>
    </w:p>
    <w:p>
      <w:pPr>
        <w:jc w:val="both"/>
        <w:ind w:left="1300" w:firstLine="652"/>
        <w:spacing w:after="0" w:line="254" w:lineRule="auto"/>
        <w:tabs>
          <w:tab w:leader="none" w:pos="259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Loan Parties shall pay (i) all reasonable out-of-pocket expenses incurred by the Administrative Agent and its Affiliates (including the reasonable fees, charges and disbursements of counsel and financial advisors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reasonable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158" w:lineRule="exact"/>
        <w:rPr>
          <w:rFonts w:ascii="Times New Roman" w:cs="Times New Roman" w:eastAsia="Times New Roman" w:hAnsi="Times New Roman"/>
          <w:sz w:val="18"/>
          <w:szCs w:val="18"/>
          <w:color w:val="auto"/>
        </w:rPr>
      </w:pPr>
    </w:p>
    <w:p>
      <w:pPr>
        <w:ind w:firstLine="1304"/>
        <w:spacing w:after="0" w:line="286" w:lineRule="auto"/>
        <w:tabs>
          <w:tab w:leader="none" w:pos="19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Schedule 1.01(b)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Credit Agreement is hereby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4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Schedule 6.14</w:t>
      </w:r>
      <w:r>
        <w:rPr>
          <w:rFonts w:ascii="Times New Roman" w:cs="Times New Roman" w:eastAsia="Times New Roman" w:hAnsi="Times New Roman"/>
          <w:sz w:val="18"/>
          <w:szCs w:val="18"/>
          <w:color w:val="auto"/>
        </w:rPr>
        <w:t>.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hereby added to the Credit Agreement in the form attached hereto as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49" w:name="page50"/>
    <w:bookmarkEnd w:id="49"/>
    <w:p>
      <w:pPr>
        <w:ind w:firstLine="1304"/>
        <w:spacing w:after="0" w:line="286"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3 of the Fourth Amendment</w:t>
      </w:r>
      <w:r>
        <w:rPr>
          <w:rFonts w:ascii="Times New Roman" w:cs="Times New Roman" w:eastAsia="Times New Roman" w:hAnsi="Times New Roman"/>
          <w:sz w:val="18"/>
          <w:szCs w:val="18"/>
          <w:color w:val="auto"/>
        </w:rPr>
        <w:t>. Section 3 of the Fourth Amendment to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hereby deleted in its entirety without replacement.</w:t>
      </w:r>
    </w:p>
    <w:p>
      <w:pPr>
        <w:spacing w:after="0" w:line="141" w:lineRule="exact"/>
        <w:rPr>
          <w:rFonts w:ascii="Times New Roman" w:cs="Times New Roman" w:eastAsia="Times New Roman" w:hAnsi="Times New Roman"/>
          <w:sz w:val="18"/>
          <w:szCs w:val="18"/>
          <w:color w:val="auto"/>
        </w:rPr>
      </w:pPr>
    </w:p>
    <w:p>
      <w:pPr>
        <w:ind w:firstLine="1304"/>
        <w:spacing w:after="0" w:line="286"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Section 5 of the Fourth Amendment</w:t>
      </w:r>
      <w:r>
        <w:rPr>
          <w:rFonts w:ascii="Times New Roman" w:cs="Times New Roman" w:eastAsia="Times New Roman" w:hAnsi="Times New Roman"/>
          <w:sz w:val="18"/>
          <w:szCs w:val="18"/>
          <w:color w:val="auto"/>
        </w:rPr>
        <w:t>. Section 5 of the Fourth Amendment to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hereby deleted in its entirety without replacement.</w:t>
      </w:r>
    </w:p>
    <w:p>
      <w:pPr>
        <w:spacing w:after="0" w:line="127" w:lineRule="exact"/>
        <w:rPr>
          <w:rFonts w:ascii="Times New Roman" w:cs="Times New Roman" w:eastAsia="Times New Roman" w:hAnsi="Times New Roman"/>
          <w:sz w:val="18"/>
          <w:szCs w:val="18"/>
          <w:color w:val="auto"/>
        </w:rPr>
      </w:pPr>
    </w:p>
    <w:p>
      <w:pPr>
        <w:ind w:firstLine="1304"/>
        <w:spacing w:after="0" w:line="286"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to Exhibit C (Compliance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C of the Credit Agreement is hereby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restated with the form Exhibit C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4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Limited Consent – Pledge to Support Mexican Tax Assessment (2013)</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9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has informed Administrative Agent and Lenders that to support surety bonds or other requirements regarding the Mexican Tax Assessment (2013) it intends to (i) pledge certain fixed Mexican assets of Calavo Mexico and (ii) (x) pledge cash, (y) letters of credit issued under the Credit Agreement, or (z) provide an intercompany loan to or an investment in Calavo Mexico so that Calavo Mexico can pledge cash to satisfy the Mexican Tax Assessment (2013);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under this clause (ii) shall not exceed $13,000,000 (“</w:t>
      </w:r>
      <w:r>
        <w:rPr>
          <w:rFonts w:ascii="Times New Roman" w:cs="Times New Roman" w:eastAsia="Times New Roman" w:hAnsi="Times New Roman"/>
          <w:sz w:val="18"/>
          <w:szCs w:val="18"/>
          <w:u w:val="single" w:color="auto"/>
          <w:color w:val="auto"/>
        </w:rPr>
        <w:t>Requested Pledge/Transfer</w:t>
      </w:r>
      <w:r>
        <w:rPr>
          <w:rFonts w:ascii="Times New Roman" w:cs="Times New Roman" w:eastAsia="Times New Roman" w:hAnsi="Times New Roman"/>
          <w:sz w:val="18"/>
          <w:szCs w:val="18"/>
          <w:color w:val="auto"/>
        </w:rPr>
        <w:t>”). As the Requested Pledge/Transfer is not permitted under Section 7.01 or Section 7.03 of the Credit Agreement, Borrower has requested that Administrative Agent and Lenders provide their written consent thereto.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and Lenders hereby consent to the Requested Pledge/Transfer so long as (i) at the time of the making of the Requested Pledge/Transfer, no Default exists or will exist as a result thereof, (ii) the Requested Pledge/Transfer does not occur before June 1, 2022, and (iii) the Requested Pledge/Transfer occurs no later than April 30, 2023.</w:t>
      </w:r>
    </w:p>
    <w:p>
      <w:pPr>
        <w:spacing w:after="0" w:line="16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consent is a one-time consent and applies only to the specified circumstances and does not modify or otherwise affect the Loan Parties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obligations to comply with such applicable provisions of the Credit Agreement or any other provision of the Credit Agreement or any other Loan Document in any other instance. The agreements and consent set forth in this Section 3 are limited to the extent specifically set forth above and no other terms, covenants or provisions of the Loan Documents are intended to be affected hereby.</w:t>
      </w:r>
    </w:p>
    <w:p>
      <w:pPr>
        <w:spacing w:after="0" w:line="16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Limited Waiver – Specified 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set forth 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and Lenders hereby waives the Specified Events of Default. The foregoing waiver is a one-time waiver and applies only to the specified circumstance and does not modify or otherwise affect the Borrower’s obligations to comply with such provision of the Credit Agreement or any other provision of the Credit Agreement in any other instance. By virtue of the waiver in the immediately preceding sentence, the Borrower hereby affirms and agrees that no other Event of Default has occurred as a result of the Specified Events of Default. The agreements and consents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limited to the extent specifically set forth above and no other terms, covenants or provisions of the Loan Documents are intended to be affected hereby.</w:t>
      </w:r>
    </w:p>
    <w:p>
      <w:pPr>
        <w:spacing w:after="0" w:line="15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and the obligations of Administrative Agent and the Lenders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effective only upon satisfaction of each of the following conditions precedent, each in a manner in form and substance acceptable to Administrative Agent in its sole discretion:</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Executed Amendments</w:t>
      </w:r>
      <w:r>
        <w:rPr>
          <w:rFonts w:ascii="Times New Roman" w:cs="Times New Roman" w:eastAsia="Times New Roman" w:hAnsi="Times New Roman"/>
          <w:sz w:val="18"/>
          <w:szCs w:val="18"/>
          <w:color w:val="auto"/>
        </w:rPr>
        <w:t>. Receipt by Administrative Agent of a fully-executed copy of this Amendment.</w:t>
      </w:r>
    </w:p>
    <w:p>
      <w:pPr>
        <w:spacing w:after="0" w:line="21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After giving effect to this Amendment, no Default or Event of Default shall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0" w:name="page51"/>
    <w:bookmarkEnd w:id="50"/>
    <w:p>
      <w:pPr>
        <w:ind w:firstLine="1304"/>
        <w:spacing w:after="0" w:line="282" w:lineRule="auto"/>
        <w:tabs>
          <w:tab w:leader="none" w:pos="194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Fees</w:t>
      </w:r>
      <w:r>
        <w:rPr>
          <w:rFonts w:ascii="Times New Roman" w:cs="Times New Roman" w:eastAsia="Times New Roman" w:hAnsi="Times New Roman"/>
          <w:sz w:val="18"/>
          <w:szCs w:val="18"/>
          <w:color w:val="auto"/>
        </w:rPr>
        <w:t>. The Borrower shall have paid all reasonable and documented out of pocket legal fees and expenses owed to counsel for Administrative Agent.</w:t>
      </w:r>
    </w:p>
    <w:p>
      <w:pPr>
        <w:spacing w:after="0" w:line="14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Fee and Expenses</w:t>
      </w:r>
      <w:r>
        <w:rPr>
          <w:rFonts w:ascii="Times New Roman" w:cs="Times New Roman" w:eastAsia="Times New Roman" w:hAnsi="Times New Roman"/>
          <w:sz w:val="18"/>
          <w:szCs w:val="18"/>
          <w:color w:val="auto"/>
        </w:rPr>
        <w:t>. The Borrower shall have paid to Administrative Agent an amendment fee equal to 12.5 basis points of the Revolving Facility (for the pro-rata benefit of the Lenders) plus all reasonable and out-of-pocket costs and expenses owed to and/or incurred by the Administrative Agent arising in connection with this Amendment;</w:t>
      </w:r>
    </w:p>
    <w:p>
      <w:pPr>
        <w:spacing w:after="0" w:line="148"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Incumbency Certificate</w:t>
      </w:r>
      <w:r>
        <w:rPr>
          <w:rFonts w:ascii="Times New Roman" w:cs="Times New Roman" w:eastAsia="Times New Roman" w:hAnsi="Times New Roman"/>
          <w:sz w:val="18"/>
          <w:szCs w:val="18"/>
          <w:color w:val="auto"/>
        </w:rPr>
        <w:t>. Administrative Agent shall have received a duly executed omnibus Incumbency Certificate for the Loan Parties.</w:t>
      </w:r>
    </w:p>
    <w:p>
      <w:pPr>
        <w:spacing w:after="0" w:line="14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Borrower has delivered a monthly Borrowing Base Certificate to Administrative Agent for the period ending on January 31, 2022, which is duly certified by the chief executive officer, chief financial officer, treasurer or controller of the Borrower.</w:t>
      </w:r>
    </w:p>
    <w:p>
      <w:pPr>
        <w:spacing w:after="0" w:line="162"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2"/>
          <w:numId w:val="4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The Borrower has delivered a Compliance Certificate to Administrative Agent for the period ending on February 28, 2022 which is duly certified by the chief executive officer, chief financial officer, treasurer or controller of the Borrower.</w:t>
      </w:r>
    </w:p>
    <w:p>
      <w:pPr>
        <w:spacing w:after="0" w:line="148" w:lineRule="exact"/>
        <w:rPr>
          <w:rFonts w:ascii="Times New Roman" w:cs="Times New Roman" w:eastAsia="Times New Roman" w:hAnsi="Times New Roman"/>
          <w:sz w:val="18"/>
          <w:szCs w:val="18"/>
          <w:color w:val="auto"/>
          <w:strike w:val="1"/>
        </w:rPr>
      </w:pPr>
    </w:p>
    <w:p>
      <w:pPr>
        <w:ind w:right="20" w:firstLine="1304"/>
        <w:spacing w:after="0" w:line="282" w:lineRule="auto"/>
        <w:tabs>
          <w:tab w:leader="none" w:pos="194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The Administrative Agent shall have received such other documents, certificates and information that the Administrative Agent shall require each in form and substance satisfactory to the Administrative Agent.</w:t>
      </w:r>
    </w:p>
    <w:p>
      <w:pPr>
        <w:spacing w:after="0" w:line="14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29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Reaffirmation of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represents and warrants that after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Amendment, the representations and warranties made by each obligor set forth in the Loan Documents are true and correct in all material respects as of the date hereof (except those that expressly relate to an earlier period).</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Reaffirmation of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(a) acknowledges and consents to all of the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(b) affirms all of its obligations under the Loan Documents and (c) agrees that this Amendment and all documents executed in connection herewith do not operate to reduce or discharge such Loan Party’s obligations under the Loan Documents.</w:t>
      </w:r>
    </w:p>
    <w:p>
      <w:pPr>
        <w:spacing w:after="0" w:line="143"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Acknowledgment by Loan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hereby represents and warrants that the execution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 and compliance by each Loan Party with all of the provisions of this Amendment: (a) are within the powers and purposes of each Loan Party; (b) have been duly authorized or approved by the board of directors or managers of each Loan Party; and</w:t>
      </w:r>
    </w:p>
    <w:p>
      <w:pPr>
        <w:jc w:val="both"/>
        <w:ind w:firstLine="8"/>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executed and delivered by or on behalf of each Loan Party, will constitute valid and binding obligations of each Loan Party, enforceable in accordance with their terms, except as enforceability may be limited by Debtor Relief Laws and Laws affecting the rights of creditors generally and by general equitable principles. Each Loan Party reaffirms its obligation to pay all amounts due to Lender under the Loan Documents in accordance with the terms thereof, as modified hereby.</w:t>
      </w:r>
    </w:p>
    <w:p>
      <w:pPr>
        <w:spacing w:after="0" w:line="17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Loan Party (collectively, the “</w:t>
      </w:r>
      <w:r>
        <w:rPr>
          <w:rFonts w:ascii="Times New Roman" w:cs="Times New Roman" w:eastAsia="Times New Roman" w:hAnsi="Times New Roman"/>
          <w:sz w:val="18"/>
          <w:szCs w:val="18"/>
          <w:u w:val="single" w:color="auto"/>
          <w:color w:val="auto"/>
        </w:rPr>
        <w:t>Releasing Parties</w:t>
      </w:r>
      <w:r>
        <w:rPr>
          <w:rFonts w:ascii="Times New Roman" w:cs="Times New Roman" w:eastAsia="Times New Roman" w:hAnsi="Times New Roman"/>
          <w:sz w:val="18"/>
          <w:szCs w:val="18"/>
          <w:color w:val="auto"/>
        </w:rPr>
        <w:t>”) releases, acquits and forever discharges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and each Lender, and each of their respective past and present directors, officers, employees, agents, attorneys, affiliates, predecessors, successors, administrators and assigns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of and from any and all claims, actions, causes of action, demands, rights, damages, costs, loss of service, expenses and compensation whatsoever heretofore or hereafter arising from any events or occurrences, or anything done, omitted to be done, or allowed to be done by any of the Released Parties, on or before the date of execution of this Amendment, WHETHER KNOWN OR UNKNOWN, FORESEEN OR UNFORESEEN, including, without limitation, any of the same arising from or related to anything done, omitted to be done, or allowed to be done by any of the Released Parties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1" w:name="page52"/>
    <w:bookmarkEnd w:id="51"/>
    <w:p>
      <w:pPr>
        <w:jc w:val="both"/>
        <w:spacing w:after="0" w:line="267" w:lineRule="auto"/>
        <w:rPr>
          <w:sz w:val="20"/>
          <w:szCs w:val="20"/>
          <w:color w:val="auto"/>
        </w:rPr>
      </w:pPr>
      <w:r>
        <w:rPr>
          <w:rFonts w:ascii="Times New Roman" w:cs="Times New Roman" w:eastAsia="Times New Roman" w:hAnsi="Times New Roman"/>
          <w:sz w:val="17"/>
          <w:szCs w:val="17"/>
          <w:color w:val="auto"/>
        </w:rPr>
        <w:t>in any way connected with this Amendment or any of the Loan Documents, any other credit facilities provided or not provided, any advances made or not made, or any past or present deposit or other accounts (including, without limitation, “dominion of funds” accounts and lockbox arrangements) of any Releasing Party with any Lender and the handling of the same by any Lender, including, without limitation, the manner and timing in which items were deposited or credited thereto or funds transferred therefrom or made available to any of the Releasing Parties, the honoring or returning of any checks drawn on any account, and any other dealings between the Releasing Parties and the Released Parties (the “</w:t>
      </w:r>
      <w:r>
        <w:rPr>
          <w:rFonts w:ascii="Times New Roman" w:cs="Times New Roman" w:eastAsia="Times New Roman" w:hAnsi="Times New Roman"/>
          <w:sz w:val="17"/>
          <w:szCs w:val="17"/>
          <w:u w:val="single" w:color="auto"/>
          <w:color w:val="auto"/>
        </w:rPr>
        <w:t>Released Matters</w:t>
      </w:r>
      <w:r>
        <w:rPr>
          <w:rFonts w:ascii="Times New Roman" w:cs="Times New Roman" w:eastAsia="Times New Roman" w:hAnsi="Times New Roman"/>
          <w:sz w:val="17"/>
          <w:szCs w:val="17"/>
          <w:color w:val="auto"/>
        </w:rPr>
        <w:t>”); provided, however, that (A) Releasing Parties shall retain their rights to funds in deposit accounts held with any Lender, as applicable, funds in transit for deposit into any such account and any refunds to which such Releasing Party is entitled to, subject to in each case any applicable security interests of Administrative Agent or any Lender therein, and any right of offset or recoupment with respect thereto, and (B) Released Matters shall not include Administrative Agent and the Lenders’ obligations under the Loan Documents or any other contracts or agreements between Administrative Agent and/or any Lender, on one hand, and Releasing Parties from and after the effectiveness of this Amendment. Releasing Parties each further agree never to commence, aid or participate in (except to the extent required by order or legal process issued by a court or governmental agency of competent jurisdiction) any legal action or other proceeding based in whole or in part upon the Released Matters. Releasing Parties each agree that this waiver and release is an essential and material component of this Amendment, and that the agreements in this paragraph are intended to be in full satisfaction of any alleged injuries or damages to or of any Releasing Parties in connection with the Released Matters. Each Releasing Party represents and warrants that it has not purported to convey, transfer or assign any right, title or interest in any Released Matter to any other person or entity and that the foregoing constitutes a full and complete release of the Released Matters. Releasing Parties each also understand that this release shall apply to all unknown or unanticipated results of the transactions and occurrences described above, as well as those known and anticipated. Releasing Parties each have consulted with legal counsel prior to signing this release, or had an opportunity to obtain such counsel and knowingly chose not to do so, and each Releasing Party executes such release voluntarily, with the intention of fully and finally extinguishing all Released Matters. In furtherance of this general release, Releasing Parties each acknowledge and waive the benefits of California Civil Code Section 1542 (and all similar ordinances and statutory, regulatory, or judicially created laws or rules of any other jurisdiction), which provides:</w:t>
      </w: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GENERAL RELEASE DOES NOT EXTEND TO CLAIMS THAT THE CREDITOR 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RELEASING PARTY DOES NOT KNOW OR SUSPECT TO EXIST IN HIS OR HER FAVOR AT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TIME OF EXECUTING THE RELEASE AND THAT, IF KNOWN BY HIM OR HER,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WOULD HAVE MATERIALLY AFFECTED HIS OR HER SETTLEMENT WITH THE DEBTOR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RELEASED PARTY.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Releasing Parties each have consulted with legal counsel prior to signing this release, or had an opportunity to obtain such counsel and knowingly chose not to do so, and each Releasing Party executes such release voluntarily, with the intention of fully and finally extinguishing all Released Matters.</w:t>
      </w:r>
    </w:p>
    <w:p>
      <w:pPr>
        <w:spacing w:after="0" w:line="145" w:lineRule="exact"/>
        <w:rPr>
          <w:sz w:val="20"/>
          <w:szCs w:val="20"/>
          <w:color w:val="auto"/>
        </w:rPr>
      </w:pPr>
    </w:p>
    <w:p>
      <w:pPr>
        <w:ind w:right="20" w:firstLine="656"/>
        <w:spacing w:after="0" w:line="286" w:lineRule="auto"/>
        <w:tabs>
          <w:tab w:leader="none" w:pos="129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modified hereby, all of the terms and provisions of the Loan Documents shall remain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and effect.</w:t>
      </w:r>
    </w:p>
    <w:p>
      <w:pPr>
        <w:spacing w:after="0" w:line="141"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Electronic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one or more counterparts, each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so executed shall be deemed to be an original, but all of which when taken together shall constitute one and the same instrument. Delivery of an executed counterpart of this Amendment may be in the form of an Electronic Record, telefacsimile or other electronic method of transmission and may be executed using Electronic Signature (including, without limitation, facsimile and .pdf) and shall be equally as effective, valid and enforceable as delivery of an original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of this Amendment. Any party delivering an executed counterpart of this Amendment by telefacsimile or other electronic method of transmission also shall deliver an original executed counterpart of this Amendment but the failure to deliver an original executed counterpart shall not affect the validity, enforceability, and binding effect of this Amendment. For the avoidance of doubt, the authorization under this paragraph may include, without limitation, use or acceptance by the Administrative Agent and Lenders of a manually signed paper which has been converted into electronic form (such as scanned into PDF format), or an electronically signed document converted into another format, for transmission, delivery and/or retention. For purposes hereof, “Electronic Record” and “Electronic Signature” shall have the meanings assigned to them, respectively, by 15 USC § 7006, as it may be amended from time to time.</w:t>
      </w:r>
    </w:p>
    <w:p>
      <w:pPr>
        <w:spacing w:after="0" w:line="174" w:lineRule="exact"/>
        <w:rPr>
          <w:sz w:val="20"/>
          <w:szCs w:val="20"/>
          <w:color w:val="auto"/>
        </w:rPr>
      </w:pPr>
    </w:p>
    <w:p>
      <w:pPr>
        <w:jc w:val="both"/>
        <w:ind w:firstLine="656"/>
        <w:spacing w:after="0" w:line="268" w:lineRule="auto"/>
        <w:tabs>
          <w:tab w:leader="none" w:pos="129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 deemed to be a contract made under, and for all purposes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the laws of the State of California (without regards to principles of conflict of laws which would defer to the laws of another jurisdiction as governing).</w:t>
      </w:r>
    </w:p>
    <w:p>
      <w:pPr>
        <w:spacing w:after="0" w:line="143"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Jury Trial Waiver; California Judicial Reference</w:t>
      </w:r>
      <w:r>
        <w:rPr>
          <w:rFonts w:ascii="Times New Roman" w:cs="Times New Roman" w:eastAsia="Times New Roman" w:hAnsi="Times New Roman"/>
          <w:sz w:val="18"/>
          <w:szCs w:val="18"/>
          <w:b w:val="1"/>
          <w:bCs w:val="1"/>
          <w:color w:val="auto"/>
        </w:rPr>
        <w:t xml:space="preserve">. To the fullest extent permitted by applicable law, each of the parties hereto waives its right to trial by jury in any proceeding or dispute of any kind relating to this Amendment or the other Loan Documents, Obligations or Collateral. </w:t>
      </w:r>
      <w:r>
        <w:rPr>
          <w:rFonts w:ascii="Times New Roman" w:cs="Times New Roman" w:eastAsia="Times New Roman" w:hAnsi="Times New Roman"/>
          <w:sz w:val="18"/>
          <w:szCs w:val="18"/>
          <w:color w:val="auto"/>
        </w:rPr>
        <w:t>Without limiting the applicability of any other section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of the Credit Agreement are hereby incorporated by this reference and shall apply to any action, proceeding, claim or controversy arising out of this Amendment.</w:t>
      </w:r>
    </w:p>
    <w:p>
      <w:pPr>
        <w:spacing w:after="0" w:line="16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Total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the Credit Agreement, and all other Loan Documents embody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of the parties with respect to the subject matter thereof and supersede all prior understandings regarding the same subject matter.</w:t>
      </w:r>
    </w:p>
    <w:p>
      <w:pPr>
        <w:spacing w:after="0" w:line="157"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6"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along with any document and certificate executed in connection herein,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limited to the security and pledge agreements and certificates referenced in Section 6 herein shall constitute a Loan Document under the Credit Agreement. Any provision of any Loan Document which applies to Loan Documents generally shall apply to this Amendment. It shall be an Event of Default under the Credit Agreement if any Loan Party breaches any covenant contained herein (subject to any applicable cure period set forth in the Credit Agreement) or if any representation or warranty contained herein proves to be inaccurate or untrue in any material respect.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3" w:name="page54"/>
    <w:bookmarkEnd w:id="5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a counterpart of this Amendment to be duly executed and delivered as of the date first above written.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BORROWER:</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CALAVO GROWERS, INC.,</w:t>
            </w:r>
          </w:p>
        </w:tc>
      </w:tr>
      <w:tr>
        <w:trPr>
          <w:trHeight w:val="214"/>
        </w:trPr>
        <w:tc>
          <w:tcPr>
            <w:tcW w:w="4620" w:type="dxa"/>
            <w:vAlign w:val="bottom"/>
          </w:tcPr>
          <w:p>
            <w:pPr>
              <w:spacing w:after="0"/>
              <w:rPr>
                <w:sz w:val="18"/>
                <w:szCs w:val="18"/>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California corporation</w:t>
            </w:r>
          </w:p>
        </w:tc>
      </w:tr>
      <w:tr>
        <w:trPr>
          <w:trHeight w:val="859"/>
        </w:trPr>
        <w:tc>
          <w:tcPr>
            <w:tcW w:w="4620" w:type="dxa"/>
            <w:vAlign w:val="bottom"/>
          </w:tcPr>
          <w:p>
            <w:pPr>
              <w:spacing w:after="0"/>
              <w:rPr>
                <w:sz w:val="24"/>
                <w:szCs w:val="24"/>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620" w:type="dxa"/>
            <w:vAlign w:val="bottom"/>
          </w:tcPr>
          <w:p>
            <w:pPr>
              <w:spacing w:after="0"/>
              <w:rPr>
                <w:sz w:val="16"/>
                <w:szCs w:val="16"/>
                <w:color w:val="auto"/>
              </w:rPr>
            </w:pPr>
          </w:p>
        </w:tc>
        <w:tc>
          <w:tcPr>
            <w:tcW w:w="8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GUARANTORS:</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RENAISSANCE FOOD GROUP, LLC</w:t>
            </w:r>
            <w:r>
              <w:rPr>
                <w:rFonts w:ascii="Times New Roman" w:cs="Times New Roman" w:eastAsia="Times New Roman" w:hAnsi="Times New Roman"/>
                <w:sz w:val="18"/>
                <w:szCs w:val="18"/>
                <w:color w:val="auto"/>
              </w:rPr>
              <w:t>,</w:t>
            </w:r>
          </w:p>
        </w:tc>
      </w:tr>
      <w:tr>
        <w:trPr>
          <w:trHeight w:val="214"/>
        </w:trPr>
        <w:tc>
          <w:tcPr>
            <w:tcW w:w="4620" w:type="dxa"/>
            <w:vAlign w:val="bottom"/>
          </w:tcPr>
          <w:p>
            <w:pPr>
              <w:spacing w:after="0"/>
              <w:rPr>
                <w:sz w:val="18"/>
                <w:szCs w:val="18"/>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27"/>
        </w:trPr>
        <w:tc>
          <w:tcPr>
            <w:tcW w:w="4620" w:type="dxa"/>
            <w:vAlign w:val="bottom"/>
          </w:tcPr>
          <w:p>
            <w:pPr>
              <w:spacing w:after="0"/>
              <w:rPr>
                <w:sz w:val="24"/>
                <w:szCs w:val="24"/>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620" w:type="dxa"/>
            <w:vAlign w:val="bottom"/>
          </w:tcPr>
          <w:p>
            <w:pPr>
              <w:spacing w:after="0"/>
              <w:rPr>
                <w:sz w:val="16"/>
                <w:szCs w:val="16"/>
                <w:color w:val="auto"/>
              </w:rPr>
            </w:pPr>
          </w:p>
        </w:tc>
        <w:tc>
          <w:tcPr>
            <w:tcW w:w="8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w:t>
            </w:r>
          </w:p>
        </w:tc>
      </w:tr>
      <w:tr>
        <w:trPr>
          <w:trHeight w:val="414"/>
        </w:trPr>
        <w:tc>
          <w:tcPr>
            <w:tcW w:w="4620" w:type="dxa"/>
            <w:vAlign w:val="bottom"/>
          </w:tcPr>
          <w:p>
            <w:pPr>
              <w:spacing w:after="0"/>
              <w:rPr>
                <w:sz w:val="24"/>
                <w:szCs w:val="24"/>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CALAVO DE MEXICO, S.A. DE C.V.,</w:t>
            </w:r>
          </w:p>
        </w:tc>
      </w:tr>
      <w:tr>
        <w:trPr>
          <w:trHeight w:val="216"/>
        </w:trPr>
        <w:tc>
          <w:tcPr>
            <w:tcW w:w="4620" w:type="dxa"/>
            <w:vAlign w:val="bottom"/>
          </w:tcPr>
          <w:p>
            <w:pPr>
              <w:spacing w:after="0"/>
              <w:rPr>
                <w:sz w:val="18"/>
                <w:szCs w:val="18"/>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sociedad anónima de capital variable organized under</w:t>
            </w:r>
          </w:p>
        </w:tc>
      </w:tr>
      <w:tr>
        <w:trPr>
          <w:trHeight w:val="234"/>
        </w:trPr>
        <w:tc>
          <w:tcPr>
            <w:tcW w:w="4620" w:type="dxa"/>
            <w:vAlign w:val="bottom"/>
          </w:tcPr>
          <w:p>
            <w:pPr>
              <w:spacing w:after="0"/>
              <w:rPr>
                <w:sz w:val="20"/>
                <w:szCs w:val="20"/>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laws of Mexico</w:t>
            </w:r>
          </w:p>
        </w:tc>
      </w:tr>
      <w:tr>
        <w:trPr>
          <w:trHeight w:val="432"/>
        </w:trPr>
        <w:tc>
          <w:tcPr>
            <w:tcW w:w="4620" w:type="dxa"/>
            <w:vAlign w:val="bottom"/>
          </w:tcPr>
          <w:p>
            <w:pPr>
              <w:spacing w:after="0"/>
              <w:rPr>
                <w:sz w:val="24"/>
                <w:szCs w:val="24"/>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620" w:type="dxa"/>
            <w:vAlign w:val="bottom"/>
          </w:tcPr>
          <w:p>
            <w:pPr>
              <w:spacing w:after="0"/>
              <w:rPr>
                <w:sz w:val="16"/>
                <w:szCs w:val="16"/>
                <w:color w:val="auto"/>
              </w:rPr>
            </w:pPr>
          </w:p>
        </w:tc>
        <w:tc>
          <w:tcPr>
            <w:tcW w:w="8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SIXTH AMENDMENT, LIMITED WAIVER AND LIMITED CONSENT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ADMINISTRATIVE AGENT:</w:t>
            </w: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BANK OF AMERICA, N.A.,</w:t>
            </w:r>
          </w:p>
        </w:tc>
      </w:tr>
      <w:tr>
        <w:trPr>
          <w:trHeight w:val="214"/>
        </w:trPr>
        <w:tc>
          <w:tcPr>
            <w:tcW w:w="4620" w:type="dxa"/>
            <w:vAlign w:val="bottom"/>
          </w:tcPr>
          <w:p>
            <w:pPr>
              <w:spacing w:after="0"/>
              <w:rPr>
                <w:sz w:val="18"/>
                <w:szCs w:val="18"/>
                <w:color w:val="auto"/>
              </w:rPr>
            </w:pP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Administrative Agent</w:t>
            </w:r>
          </w:p>
        </w:tc>
      </w:tr>
      <w:tr>
        <w:trPr>
          <w:trHeight w:val="859"/>
        </w:trPr>
        <w:tc>
          <w:tcPr>
            <w:tcW w:w="462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w:t>
            </w:r>
          </w:p>
        </w:tc>
      </w:tr>
      <w:tr>
        <w:trPr>
          <w:trHeight w:val="209"/>
        </w:trPr>
        <w:tc>
          <w:tcPr>
            <w:tcW w:w="462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Name:</w:t>
            </w:r>
          </w:p>
        </w:tc>
        <w:tc>
          <w:tcPr>
            <w:tcW w:w="4640" w:type="dxa"/>
            <w:vAlign w:val="bottom"/>
            <w:tcBorders>
              <w:top w:val="single" w:sz="8" w:color="auto"/>
              <w:bottom w:val="single" w:sz="8" w:color="auto"/>
            </w:tcBorders>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SIXTH AMENDMENT, LIMITED WAIVER AND LIMITED CONSENT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Lender, Non-</w:t>
            </w:r>
          </w:p>
        </w:tc>
      </w:tr>
      <w:tr>
        <w:trPr>
          <w:trHeight w:val="214"/>
        </w:trPr>
        <w:tc>
          <w:tcPr>
            <w:tcW w:w="4620" w:type="dxa"/>
            <w:vAlign w:val="bottom"/>
          </w:tcPr>
          <w:p>
            <w:pPr>
              <w:spacing w:after="0"/>
              <w:rPr>
                <w:sz w:val="18"/>
                <w:szCs w:val="18"/>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Patronage Lender, L/C Issuer and Swingline Lender</w:t>
            </w:r>
          </w:p>
        </w:tc>
      </w:tr>
      <w:tr>
        <w:trPr>
          <w:trHeight w:val="427"/>
        </w:trPr>
        <w:tc>
          <w:tcPr>
            <w:tcW w:w="4620" w:type="dxa"/>
            <w:vAlign w:val="bottom"/>
          </w:tcPr>
          <w:p>
            <w:pPr>
              <w:spacing w:after="0"/>
              <w:rPr>
                <w:sz w:val="24"/>
                <w:szCs w:val="24"/>
                <w:color w:val="auto"/>
              </w:rPr>
            </w:pPr>
          </w:p>
        </w:tc>
        <w:tc>
          <w:tcPr>
            <w:tcW w:w="5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209"/>
        </w:trPr>
        <w:tc>
          <w:tcPr>
            <w:tcW w:w="462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Name:</w:t>
            </w:r>
          </w:p>
        </w:tc>
        <w:tc>
          <w:tcPr>
            <w:tcW w:w="4560" w:type="dxa"/>
            <w:vAlign w:val="bottom"/>
            <w:tcBorders>
              <w:top w:val="single" w:sz="8" w:color="auto"/>
              <w:bottom w:val="single" w:sz="8" w:color="auto"/>
            </w:tcBorders>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SIXTH AMENDMENT, LIMITED WAIVER AND LIMITED CONSENT TO CREDIT AGREEMENT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6" w:name="page57"/>
    <w:bookmarkEnd w:id="56"/>
    <w:p>
      <w:pPr>
        <w:ind w:left="4520"/>
        <w:spacing w:after="0"/>
        <w:rPr>
          <w:sz w:val="20"/>
          <w:szCs w:val="20"/>
          <w:color w:val="auto"/>
        </w:rPr>
      </w:pPr>
      <w:r>
        <w:rPr>
          <w:rFonts w:ascii="Times New Roman" w:cs="Times New Roman" w:eastAsia="Times New Roman" w:hAnsi="Times New Roman"/>
          <w:sz w:val="18"/>
          <w:szCs w:val="18"/>
          <w:b w:val="1"/>
          <w:bCs w:val="1"/>
          <w:color w:val="auto"/>
        </w:rPr>
        <w:t>FARM CREDIT WEST, PCA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 and Patronage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828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22860</wp:posOffset>
            </wp:positionV>
            <wp:extent cx="28289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89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-121920</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SIXTH AMENDMENT, LIMITED WAIVER AND LIMITED CONSENT TO CREDIT AGREEMENT</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(CALAVO)</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348615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3" w:right="9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GUARANTOR ACKNOWLEDGMENT AND CONSENT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hereby expressly: (a) consents to the execution by Borrower, Administrative Agent and Lenders of this Amendment;</w:t>
      </w:r>
    </w:p>
    <w:p>
      <w:pPr>
        <w:spacing w:after="0" w:line="27" w:lineRule="exact"/>
        <w:rPr>
          <w:sz w:val="20"/>
          <w:szCs w:val="20"/>
          <w:color w:val="auto"/>
        </w:rPr>
      </w:pPr>
    </w:p>
    <w:p>
      <w:pPr>
        <w:jc w:val="both"/>
        <w:ind w:firstLine="8"/>
        <w:spacing w:after="0" w:line="250"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“Guaranteed Obligations” (as defined in the Credit Agreement) includes all of the obligations and liabilities owing from time to time by the Borrower under and/or in connection with the “Loan Documents” including, but not limited to, the obligations and liabilities of Borrower to Lenders under and pursuant to the Credit Agreement, as amended from time to time;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the Guarantor does not have any set-off, defense, or counterclaim to the payment or performance of any of the obligations of Borrower under the Credit Agreement or the Guarantor under the Guaranty (as defined in the Credit Agreement);</w:t>
      </w:r>
    </w:p>
    <w:p>
      <w:pPr>
        <w:jc w:val="both"/>
        <w:ind w:firstLine="8"/>
        <w:spacing w:after="0" w:line="250" w:lineRule="auto"/>
        <w:tabs>
          <w:tab w:leader="none" w:pos="2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reaffirms, assumes, and binds itself in all respects to all of the obligations, liabilities, duties, covenants, terms, and conditions that are contained in the Guaranty; and (e) agrees that all such obligations and liabilities under the Guaranty shall continue in full force and that the execution and delivery of this Amendment to, and its acceptance by, Administrative Agent shall not in any manner whatsoever</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or affect the liability of the Guarantor, (i) prejudice, waive, or be construed to impair, affect, prejudice, or waive the rights and abilities of Administrative Agent at law, in equity or by statute, against the Guarantor, and/or (ii) release or discharge, nor be construed to release or discharge, any of the obligations and liabilities owing to Administrative Agent or any Lender by the Guarantor.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AGREED TO AND ACCEPTED BY:</w:t>
            </w:r>
          </w:p>
        </w:tc>
        <w:tc>
          <w:tcPr>
            <w:tcW w:w="14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00"/>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RENAISSANCE FOOD GROUP, LLC,</w:t>
            </w:r>
          </w:p>
        </w:tc>
      </w:tr>
      <w:tr>
        <w:trPr>
          <w:trHeight w:val="234"/>
        </w:trPr>
        <w:tc>
          <w:tcPr>
            <w:tcW w:w="3880" w:type="dxa"/>
            <w:vAlign w:val="bottom"/>
          </w:tcPr>
          <w:p>
            <w:pPr>
              <w:spacing w:after="0"/>
              <w:rPr>
                <w:sz w:val="20"/>
                <w:szCs w:val="20"/>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864"/>
        </w:trPr>
        <w:tc>
          <w:tcPr>
            <w:tcW w:w="3880" w:type="dxa"/>
            <w:vAlign w:val="bottom"/>
          </w:tcPr>
          <w:p>
            <w:pPr>
              <w:spacing w:after="0"/>
              <w:rPr>
                <w:sz w:val="24"/>
                <w:szCs w:val="24"/>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880" w:type="dxa"/>
            <w:vAlign w:val="bottom"/>
          </w:tcPr>
          <w:p>
            <w:pPr>
              <w:spacing w:after="0"/>
              <w:rPr>
                <w:sz w:val="16"/>
                <w:szCs w:val="16"/>
                <w:color w:val="auto"/>
              </w:rPr>
            </w:pPr>
          </w:p>
        </w:tc>
        <w:tc>
          <w:tcPr>
            <w:tcW w:w="1480" w:type="dxa"/>
            <w:vAlign w:val="bottom"/>
          </w:tcPr>
          <w:p>
            <w:pPr>
              <w:ind w:left="98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4560" w:type="dxa"/>
            <w:vAlign w:val="bottom"/>
            <w:tcBorders>
              <w:top w:val="single" w:sz="8" w:color="auto"/>
            </w:tcBorders>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Title:</w:t>
            </w:r>
          </w:p>
        </w:tc>
      </w:tr>
      <w:tr>
        <w:trPr>
          <w:trHeight w:val="412"/>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CALAVO DE MEXICO, S.A. DE C.V., </w:t>
            </w:r>
            <w:r>
              <w:rPr>
                <w:rFonts w:ascii="Times New Roman" w:cs="Times New Roman" w:eastAsia="Times New Roman" w:hAnsi="Times New Roman"/>
                <w:sz w:val="18"/>
                <w:szCs w:val="18"/>
                <w:i w:val="1"/>
                <w:iCs w:val="1"/>
                <w:color w:val="auto"/>
              </w:rPr>
              <w:t>a</w:t>
            </w:r>
          </w:p>
        </w:tc>
      </w:tr>
      <w:tr>
        <w:trPr>
          <w:trHeight w:val="218"/>
        </w:trPr>
        <w:tc>
          <w:tcPr>
            <w:tcW w:w="3880" w:type="dxa"/>
            <w:vAlign w:val="bottom"/>
          </w:tcPr>
          <w:p>
            <w:pPr>
              <w:spacing w:after="0"/>
              <w:rPr>
                <w:sz w:val="18"/>
                <w:szCs w:val="18"/>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sociedad anónima de capital variable </w:t>
            </w:r>
            <w:r>
              <w:rPr>
                <w:rFonts w:ascii="Times New Roman" w:cs="Times New Roman" w:eastAsia="Times New Roman" w:hAnsi="Times New Roman"/>
                <w:sz w:val="18"/>
                <w:szCs w:val="18"/>
                <w:color w:val="auto"/>
              </w:rPr>
              <w:t>organized</w:t>
            </w:r>
          </w:p>
        </w:tc>
      </w:tr>
      <w:tr>
        <w:trPr>
          <w:trHeight w:val="234"/>
        </w:trPr>
        <w:tc>
          <w:tcPr>
            <w:tcW w:w="3880" w:type="dxa"/>
            <w:vAlign w:val="bottom"/>
          </w:tcPr>
          <w:p>
            <w:pPr>
              <w:spacing w:after="0"/>
              <w:rPr>
                <w:sz w:val="20"/>
                <w:szCs w:val="20"/>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under the laws of Mexico</w:t>
            </w:r>
          </w:p>
        </w:tc>
      </w:tr>
      <w:tr>
        <w:trPr>
          <w:trHeight w:val="432"/>
        </w:trPr>
        <w:tc>
          <w:tcPr>
            <w:tcW w:w="3880" w:type="dxa"/>
            <w:vAlign w:val="bottom"/>
          </w:tcPr>
          <w:p>
            <w:pPr>
              <w:spacing w:after="0"/>
              <w:rPr>
                <w:sz w:val="24"/>
                <w:szCs w:val="24"/>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880" w:type="dxa"/>
            <w:vAlign w:val="bottom"/>
          </w:tcPr>
          <w:p>
            <w:pPr>
              <w:spacing w:after="0"/>
              <w:rPr>
                <w:sz w:val="16"/>
                <w:szCs w:val="16"/>
                <w:color w:val="auto"/>
              </w:rPr>
            </w:pPr>
          </w:p>
        </w:tc>
        <w:tc>
          <w:tcPr>
            <w:tcW w:w="1480" w:type="dxa"/>
            <w:vAlign w:val="bottom"/>
          </w:tcPr>
          <w:p>
            <w:pPr>
              <w:ind w:left="98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4560" w:type="dxa"/>
            <w:vAlign w:val="bottom"/>
            <w:tcBorders>
              <w:top w:val="single" w:sz="8" w:color="auto"/>
            </w:tcBorders>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60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GUARANTOR ACKNOWLEDGMENT AND CONSENT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SIXTH AMENDMENT LIMITED WAIVER AND LIMITED CONSENT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CREDIT AGREEMENT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(CALAVO)</w:t>
      </w:r>
    </w:p>
    <w:p>
      <w:pPr>
        <w:spacing w:after="0" w:line="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7"/>
          <w:szCs w:val="17"/>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1.01(b) to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Initial Commitments and Applicable Percentages as of Sixth Amendment Effectiveness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Borders>
              <w:right w:val="single" w:sz="8" w:color="auto"/>
            </w:tcBorders>
          </w:tcPr>
          <w:p>
            <w:pPr>
              <w:spacing w:after="0"/>
              <w:rPr>
                <w:sz w:val="18"/>
                <w:szCs w:val="18"/>
                <w:color w:val="auto"/>
              </w:rPr>
            </w:pPr>
          </w:p>
        </w:tc>
        <w:tc>
          <w:tcPr>
            <w:tcW w:w="2540" w:type="dxa"/>
            <w:vAlign w:val="bottom"/>
            <w:tcBorders>
              <w:top w:val="single" w:sz="8" w:color="auto"/>
              <w:right w:val="single" w:sz="8" w:color="auto"/>
            </w:tcBorders>
            <w:shd w:val="clear" w:color="auto" w:fill="002060"/>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Lender</w:t>
            </w:r>
          </w:p>
        </w:tc>
        <w:tc>
          <w:tcPr>
            <w:tcW w:w="4040" w:type="dxa"/>
            <w:vAlign w:val="bottom"/>
            <w:tcBorders>
              <w:top w:val="single" w:sz="8" w:color="auto"/>
              <w:right w:val="single" w:sz="8" w:color="auto"/>
            </w:tcBorders>
            <w:shd w:val="clear" w:color="auto" w:fill="002060"/>
          </w:tcPr>
          <w:p>
            <w:pPr>
              <w:jc w:val="right"/>
              <w:ind w:right="1150"/>
              <w:spacing w:after="0"/>
              <w:rPr>
                <w:sz w:val="20"/>
                <w:szCs w:val="20"/>
                <w:color w:val="auto"/>
              </w:rPr>
            </w:pPr>
            <w:r>
              <w:rPr>
                <w:rFonts w:ascii="Times New Roman" w:cs="Times New Roman" w:eastAsia="Times New Roman" w:hAnsi="Times New Roman"/>
                <w:sz w:val="18"/>
                <w:szCs w:val="18"/>
                <w:b w:val="1"/>
                <w:bCs w:val="1"/>
                <w:color w:val="FFFFFF"/>
              </w:rPr>
              <w:t>Revolving Commitment</w:t>
            </w:r>
          </w:p>
        </w:tc>
        <w:tc>
          <w:tcPr>
            <w:tcW w:w="2980" w:type="dxa"/>
            <w:vAlign w:val="bottom"/>
            <w:tcBorders>
              <w:top w:val="single" w:sz="8" w:color="auto"/>
              <w:right w:val="single" w:sz="8" w:color="auto"/>
            </w:tcBorders>
            <w:shd w:val="clear" w:color="auto" w:fill="002060"/>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Applicable Percentage</w:t>
            </w:r>
          </w:p>
        </w:tc>
        <w:tc>
          <w:tcPr>
            <w:tcW w:w="160" w:type="dxa"/>
            <w:vAlign w:val="bottom"/>
          </w:tcPr>
          <w:p>
            <w:pPr>
              <w:spacing w:after="0"/>
              <w:rPr>
                <w:sz w:val="18"/>
                <w:szCs w:val="18"/>
                <w:color w:val="auto"/>
              </w:rPr>
            </w:pPr>
          </w:p>
        </w:tc>
      </w:tr>
      <w:tr>
        <w:trPr>
          <w:trHeight w:val="238"/>
        </w:trPr>
        <w:tc>
          <w:tcPr>
            <w:tcW w:w="200" w:type="dxa"/>
            <w:vAlign w:val="bottom"/>
            <w:tcBorders>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shd w:val="clear" w:color="auto" w:fill="002060"/>
          </w:tcPr>
          <w:p>
            <w:pPr>
              <w:spacing w:after="0"/>
              <w:rPr>
                <w:sz w:val="20"/>
                <w:szCs w:val="20"/>
                <w:color w:val="auto"/>
              </w:rPr>
            </w:pPr>
          </w:p>
        </w:tc>
        <w:tc>
          <w:tcPr>
            <w:tcW w:w="4040" w:type="dxa"/>
            <w:vAlign w:val="bottom"/>
            <w:tcBorders>
              <w:bottom w:val="single" w:sz="8" w:color="auto"/>
              <w:right w:val="single" w:sz="8" w:color="auto"/>
            </w:tcBorders>
            <w:shd w:val="clear" w:color="auto" w:fill="002060"/>
          </w:tcPr>
          <w:p>
            <w:pPr>
              <w:spacing w:after="0"/>
              <w:rPr>
                <w:sz w:val="20"/>
                <w:szCs w:val="20"/>
                <w:color w:val="auto"/>
              </w:rPr>
            </w:pPr>
          </w:p>
        </w:tc>
        <w:tc>
          <w:tcPr>
            <w:tcW w:w="2980" w:type="dxa"/>
            <w:vAlign w:val="bottom"/>
            <w:tcBorders>
              <w:bottom w:val="single" w:sz="8" w:color="auto"/>
              <w:right w:val="single" w:sz="8" w:color="auto"/>
            </w:tcBorders>
            <w:shd w:val="clear" w:color="auto" w:fill="002060"/>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(Revolving Loans)</w:t>
            </w:r>
          </w:p>
        </w:tc>
        <w:tc>
          <w:tcPr>
            <w:tcW w:w="160" w:type="dxa"/>
            <w:vAlign w:val="bottom"/>
          </w:tcPr>
          <w:p>
            <w:pPr>
              <w:spacing w:after="0"/>
              <w:rPr>
                <w:sz w:val="20"/>
                <w:szCs w:val="20"/>
                <w:color w:val="auto"/>
              </w:rPr>
            </w:pPr>
          </w:p>
        </w:tc>
      </w:tr>
      <w:tr>
        <w:trPr>
          <w:trHeight w:val="209"/>
        </w:trPr>
        <w:tc>
          <w:tcPr>
            <w:tcW w:w="200" w:type="dxa"/>
            <w:vAlign w:val="bottom"/>
            <w:tcBorders>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4040" w:type="dxa"/>
            <w:vAlign w:val="bottom"/>
            <w:tcBorders>
              <w:bottom w:val="single" w:sz="8" w:color="auto"/>
              <w:right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color w:val="auto"/>
              </w:rPr>
              <w:t>$40,000,000</w:t>
            </w:r>
          </w:p>
        </w:tc>
        <w:tc>
          <w:tcPr>
            <w:tcW w:w="298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Pr>
          <w:p>
            <w:pPr>
              <w:spacing w:after="0"/>
              <w:rPr>
                <w:sz w:val="18"/>
                <w:szCs w:val="18"/>
                <w:color w:val="auto"/>
              </w:rPr>
            </w:pPr>
          </w:p>
        </w:tc>
      </w:tr>
      <w:tr>
        <w:trPr>
          <w:trHeight w:val="209"/>
        </w:trPr>
        <w:tc>
          <w:tcPr>
            <w:tcW w:w="200" w:type="dxa"/>
            <w:vAlign w:val="bottom"/>
            <w:tcBorders>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Farm Credit West</w:t>
            </w:r>
          </w:p>
        </w:tc>
        <w:tc>
          <w:tcPr>
            <w:tcW w:w="4040" w:type="dxa"/>
            <w:vAlign w:val="bottom"/>
            <w:tcBorders>
              <w:bottom w:val="single" w:sz="8" w:color="auto"/>
              <w:right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color w:val="auto"/>
              </w:rPr>
              <w:t>$40,000,000</w:t>
            </w:r>
          </w:p>
        </w:tc>
        <w:tc>
          <w:tcPr>
            <w:tcW w:w="298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50%</w:t>
            </w:r>
          </w:p>
        </w:tc>
        <w:tc>
          <w:tcPr>
            <w:tcW w:w="160" w:type="dxa"/>
            <w:vAlign w:val="bottom"/>
          </w:tcPr>
          <w:p>
            <w:pPr>
              <w:spacing w:after="0"/>
              <w:rPr>
                <w:sz w:val="18"/>
                <w:szCs w:val="18"/>
                <w:color w:val="auto"/>
              </w:rPr>
            </w:pPr>
          </w:p>
        </w:tc>
      </w:tr>
      <w:tr>
        <w:trPr>
          <w:trHeight w:val="210"/>
        </w:trPr>
        <w:tc>
          <w:tcPr>
            <w:tcW w:w="200" w:type="dxa"/>
            <w:vAlign w:val="bottom"/>
            <w:tcBorders>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4040" w:type="dxa"/>
            <w:vAlign w:val="bottom"/>
            <w:tcBorders>
              <w:bottom w:val="single" w:sz="8" w:color="auto"/>
              <w:right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$80,000,000</w:t>
            </w:r>
          </w:p>
        </w:tc>
        <w:tc>
          <w:tcPr>
            <w:tcW w:w="298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60" w:type="dxa"/>
            <w:vAlign w:val="bottom"/>
          </w:tcPr>
          <w:p>
            <w:pPr>
              <w:spacing w:after="0"/>
              <w:rPr>
                <w:sz w:val="18"/>
                <w:szCs w:val="18"/>
                <w:color w:val="auto"/>
              </w:rPr>
            </w:pPr>
          </w:p>
        </w:tc>
      </w:tr>
      <w:tr>
        <w:trPr>
          <w:trHeight w:val="999"/>
        </w:trPr>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6.14 to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Business Locations</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currently has the following U.S. business locations:</w:t>
      </w:r>
    </w:p>
    <w:p>
      <w:pPr>
        <w:spacing w:after="0" w:line="225" w:lineRule="exact"/>
        <w:rPr>
          <w:rFonts w:ascii="Times New Roman" w:cs="Times New Roman" w:eastAsia="Times New Roman" w:hAnsi="Times New Roman"/>
          <w:sz w:val="18"/>
          <w:szCs w:val="18"/>
          <w:color w:val="auto"/>
        </w:rPr>
      </w:pPr>
    </w:p>
    <w:p>
      <w:pPr>
        <w:ind w:left="340" w:right="4260"/>
        <w:spacing w:after="0" w:line="5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 1141-A Cummings Road, Santa Paula, CA 93060 Other Locations:</w:t>
      </w:r>
    </w:p>
    <w:tbl>
      <w:tblPr>
        <w:tblLayout w:type="fixed"/>
        <w:tblInd w:w="0" w:type="dxa"/>
        <w:tblCellMar>
          <w:top w:w="0" w:type="dxa"/>
          <w:left w:w="0" w:type="dxa"/>
          <w:bottom w:w="0" w:type="dxa"/>
          <w:right w:w="0" w:type="dxa"/>
        </w:tblCellMar>
      </w:tblPr>
      <w:tr>
        <w:trPr>
          <w:trHeight w:val="210"/>
        </w:trPr>
        <w:tc>
          <w:tcPr>
            <w:tcW w:w="102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tcBorders>
            <w:shd w:val="clear" w:color="auto" w:fill="002060"/>
          </w:tcPr>
          <w:p>
            <w:pPr>
              <w:spacing w:after="0"/>
              <w:rPr>
                <w:sz w:val="18"/>
                <w:szCs w:val="18"/>
                <w:color w:val="auto"/>
              </w:rPr>
            </w:pPr>
          </w:p>
        </w:tc>
        <w:tc>
          <w:tcPr>
            <w:tcW w:w="3660" w:type="dxa"/>
            <w:vAlign w:val="bottom"/>
            <w:tcBorders>
              <w:top w:val="single" w:sz="8" w:color="auto"/>
              <w:bottom w:val="single" w:sz="8" w:color="auto"/>
              <w:right w:val="single" w:sz="8" w:color="auto"/>
            </w:tcBorders>
            <w:shd w:val="clear" w:color="auto" w:fill="002060"/>
          </w:tcPr>
          <w:p>
            <w:pPr>
              <w:ind w:left="1380"/>
              <w:spacing w:after="0"/>
              <w:rPr>
                <w:sz w:val="20"/>
                <w:szCs w:val="20"/>
                <w:color w:val="auto"/>
              </w:rPr>
            </w:pPr>
            <w:r>
              <w:rPr>
                <w:rFonts w:ascii="Times New Roman" w:cs="Times New Roman" w:eastAsia="Times New Roman" w:hAnsi="Times New Roman"/>
                <w:sz w:val="18"/>
                <w:szCs w:val="18"/>
                <w:color w:val="FFFFFF"/>
              </w:rPr>
              <w:t>Address</w:t>
            </w:r>
          </w:p>
        </w:tc>
        <w:tc>
          <w:tcPr>
            <w:tcW w:w="3940" w:type="dxa"/>
            <w:vAlign w:val="bottom"/>
            <w:tcBorders>
              <w:top w:val="single" w:sz="8" w:color="auto"/>
              <w:bottom w:val="single" w:sz="8" w:color="auto"/>
              <w:right w:val="single" w:sz="8" w:color="auto"/>
            </w:tcBorders>
            <w:shd w:val="clear" w:color="auto" w:fill="002060"/>
          </w:tcPr>
          <w:p>
            <w:pPr>
              <w:ind w:left="1560"/>
              <w:spacing w:after="0"/>
              <w:rPr>
                <w:sz w:val="20"/>
                <w:szCs w:val="20"/>
                <w:color w:val="auto"/>
              </w:rPr>
            </w:pPr>
            <w:r>
              <w:rPr>
                <w:rFonts w:ascii="Times New Roman" w:cs="Times New Roman" w:eastAsia="Times New Roman" w:hAnsi="Times New Roman"/>
                <w:sz w:val="18"/>
                <w:szCs w:val="18"/>
                <w:color w:val="FFFFFF"/>
              </w:rPr>
              <w:t>Operations</w:t>
            </w:r>
          </w:p>
        </w:tc>
        <w:tc>
          <w:tcPr>
            <w:tcW w:w="100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655</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 Main Street, Santa Paula, CA 93060</w:t>
            </w:r>
          </w:p>
        </w:tc>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SPPH (own and operate facility)</w:t>
            </w:r>
          </w:p>
        </w:tc>
        <w:tc>
          <w:tcPr>
            <w:tcW w:w="100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15765 W. Telegraph Road, Santa Paula, CA 93060</w:t>
            </w:r>
          </w:p>
        </w:tc>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 VAD (own and operate facility)</w:t>
            </w:r>
          </w:p>
        </w:tc>
        <w:tc>
          <w:tcPr>
            <w:tcW w:w="100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1730 Eastridge Ave Riverside CA 92507</w:t>
            </w:r>
          </w:p>
        </w:tc>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GHSC (own and operate facility)</w:t>
            </w:r>
          </w:p>
        </w:tc>
        <w:tc>
          <w:tcPr>
            <w:tcW w:w="100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300</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Old Tucson Rd., Nogales, AZ 85648</w:t>
            </w:r>
          </w:p>
        </w:tc>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Tomatoes – rented cold storage</w:t>
            </w:r>
          </w:p>
        </w:tc>
        <w:tc>
          <w:tcPr>
            <w:tcW w:w="1000" w:type="dxa"/>
            <w:vAlign w:val="bottom"/>
          </w:tcPr>
          <w:p>
            <w:pPr>
              <w:spacing w:after="0"/>
              <w:rPr>
                <w:sz w:val="18"/>
                <w:szCs w:val="18"/>
                <w:color w:val="auto"/>
              </w:rPr>
            </w:pPr>
          </w:p>
        </w:tc>
      </w:tr>
      <w:tr>
        <w:trPr>
          <w:trHeight w:val="209"/>
        </w:trPr>
        <w:tc>
          <w:tcPr>
            <w:tcW w:w="102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500</w:t>
            </w:r>
          </w:p>
        </w:tc>
        <w:tc>
          <w:tcPr>
            <w:tcW w:w="3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 Elmer Road, Vineland, NJ 08360</w:t>
            </w:r>
          </w:p>
        </w:tc>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Co-packer</w:t>
            </w:r>
          </w:p>
        </w:tc>
        <w:tc>
          <w:tcPr>
            <w:tcW w:w="1000" w:type="dxa"/>
            <w:vAlign w:val="bottom"/>
          </w:tcPr>
          <w:p>
            <w:pPr>
              <w:spacing w:after="0"/>
              <w:rPr>
                <w:sz w:val="18"/>
                <w:szCs w:val="18"/>
                <w:color w:val="auto"/>
              </w:rPr>
            </w:pPr>
          </w:p>
        </w:tc>
      </w:tr>
      <w:tr>
        <w:trPr>
          <w:trHeight w:val="210"/>
        </w:trPr>
        <w:tc>
          <w:tcPr>
            <w:tcW w:w="102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16-664 Milo Street, Keaau, HI 96749</w:t>
            </w:r>
          </w:p>
        </w:tc>
        <w:tc>
          <w:tcPr>
            <w:tcW w:w="3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 space</w:t>
            </w:r>
          </w:p>
        </w:tc>
        <w:tc>
          <w:tcPr>
            <w:tcW w:w="1000" w:type="dxa"/>
            <w:vAlign w:val="bottom"/>
          </w:tcPr>
          <w:p>
            <w:pPr>
              <w:spacing w:after="0"/>
              <w:rPr>
                <w:sz w:val="18"/>
                <w:szCs w:val="18"/>
                <w:color w:val="auto"/>
              </w:rPr>
            </w:pPr>
          </w:p>
        </w:tc>
      </w:tr>
      <w:tr>
        <w:trPr>
          <w:trHeight w:val="191"/>
        </w:trPr>
        <w:tc>
          <w:tcPr>
            <w:tcW w:w="102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9"/>
              </w:rPr>
              <w:t>11020 White Rock Rd., Ste 100, Rancho Cordova, CA</w:t>
            </w:r>
          </w:p>
        </w:tc>
        <w:tc>
          <w:tcPr>
            <w:tcW w:w="39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Office space</w:t>
            </w:r>
          </w:p>
        </w:tc>
        <w:tc>
          <w:tcPr>
            <w:tcW w:w="1000" w:type="dxa"/>
            <w:vAlign w:val="bottom"/>
          </w:tcPr>
          <w:p>
            <w:pPr>
              <w:spacing w:after="0"/>
              <w:rPr>
                <w:sz w:val="16"/>
                <w:szCs w:val="16"/>
                <w:color w:val="auto"/>
              </w:rPr>
            </w:pPr>
          </w:p>
        </w:tc>
      </w:tr>
      <w:tr>
        <w:trPr>
          <w:trHeight w:val="234"/>
        </w:trPr>
        <w:tc>
          <w:tcPr>
            <w:tcW w:w="1020" w:type="dxa"/>
            <w:vAlign w:val="bottom"/>
            <w:tcBorders>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95670</w:t>
            </w:r>
          </w:p>
        </w:tc>
        <w:tc>
          <w:tcPr>
            <w:tcW w:w="3940" w:type="dxa"/>
            <w:vAlign w:val="bottom"/>
            <w:tcBorders>
              <w:bottom w:val="single" w:sz="8" w:color="auto"/>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1216"/>
        </w:trPr>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1323340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u w:val="single" w:color="auto"/>
          <w:color w:val="auto"/>
        </w:rPr>
        <w:t>Schedule 1</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320" w:type="dxa"/>
            <w:vAlign w:val="bottom"/>
            <w:gridSpan w:val="5"/>
          </w:tcPr>
          <w:p>
            <w:pPr>
              <w:jc w:val="center"/>
              <w:ind w:right="1580"/>
              <w:spacing w:after="0" w:line="203" w:lineRule="exact"/>
              <w:rPr>
                <w:sz w:val="20"/>
                <w:szCs w:val="20"/>
                <w:color w:val="auto"/>
              </w:rPr>
            </w:pPr>
            <w:r>
              <w:rPr>
                <w:rFonts w:ascii="Times New Roman" w:cs="Times New Roman" w:eastAsia="Times New Roman" w:hAnsi="Times New Roman"/>
                <w:sz w:val="18"/>
                <w:szCs w:val="18"/>
                <w:b w:val="1"/>
                <w:bCs w:val="1"/>
                <w:color w:val="auto"/>
                <w:w w:val="99"/>
              </w:rPr>
              <w:t>EXHIBIT C</w:t>
            </w:r>
          </w:p>
        </w:tc>
      </w:tr>
      <w:tr>
        <w:trPr>
          <w:trHeight w:val="430"/>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of</w:t>
            </w:r>
          </w:p>
        </w:tc>
        <w:tc>
          <w:tcPr>
            <w:tcW w:w="4480" w:type="dxa"/>
            <w:vAlign w:val="bottom"/>
            <w:gridSpan w:val="3"/>
          </w:tcPr>
          <w:p>
            <w:pPr>
              <w:spacing w:after="0"/>
              <w:rPr>
                <w:sz w:val="24"/>
                <w:szCs w:val="24"/>
                <w:color w:val="auto"/>
              </w:rPr>
            </w:pPr>
          </w:p>
        </w:tc>
      </w:tr>
      <w:tr>
        <w:trPr>
          <w:trHeight w:val="238"/>
        </w:trPr>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32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Compliance Certificate</w:t>
            </w:r>
          </w:p>
        </w:tc>
      </w:tr>
      <w:tr>
        <w:trPr>
          <w:trHeight w:val="432"/>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2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Financial Statement Date: [________, ____]</w:t>
            </w:r>
          </w:p>
        </w:tc>
      </w:tr>
      <w:tr>
        <w:trPr>
          <w:trHeight w:val="432"/>
        </w:trPr>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92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Bank of America, N.A., as Administrative Agent</w:t>
            </w:r>
          </w:p>
        </w:tc>
      </w:tr>
      <w:tr>
        <w:trPr>
          <w:trHeight w:val="414"/>
        </w:trPr>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w:t>
            </w:r>
          </w:p>
        </w:tc>
        <w:tc>
          <w:tcPr>
            <w:tcW w:w="92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Credit Agreement, dated as of June 14, 2016, by and among Calavo Growers, Inc., a California corporation (the</w:t>
            </w:r>
          </w:p>
        </w:tc>
      </w:tr>
      <w:tr>
        <w:trPr>
          <w:trHeight w:val="194"/>
        </w:trPr>
        <w:tc>
          <w:tcPr>
            <w:tcW w:w="640" w:type="dxa"/>
            <w:vAlign w:val="bottom"/>
          </w:tcPr>
          <w:p>
            <w:pPr>
              <w:spacing w:after="0"/>
              <w:rPr>
                <w:sz w:val="16"/>
                <w:szCs w:val="16"/>
                <w:color w:val="auto"/>
              </w:rPr>
            </w:pPr>
          </w:p>
        </w:tc>
        <w:tc>
          <w:tcPr>
            <w:tcW w:w="9280" w:type="dxa"/>
            <w:vAlign w:val="bottom"/>
            <w:gridSpan w:val="7"/>
          </w:tcPr>
          <w:p>
            <w:pPr>
              <w:ind w:left="200"/>
              <w:spacing w:after="0" w:line="194" w:lineRule="exact"/>
              <w:rPr>
                <w:sz w:val="20"/>
                <w:szCs w:val="20"/>
                <w:color w:val="auto"/>
              </w:rPr>
            </w:pPr>
            <w:r>
              <w:rPr>
                <w:rFonts w:ascii="Times New Roman" w:cs="Times New Roman" w:eastAsia="Times New Roman" w:hAnsi="Times New Roman"/>
                <w:sz w:val="18"/>
                <w:szCs w:val="18"/>
                <w:color w:val="auto"/>
              </w:rPr>
              <w:t>“Borrower”), the Guarantors, the Lenders and Bank of America, N.A., as Administrative Agent, L/C Issuer and Swingline</w:t>
            </w: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9280" w:type="dxa"/>
            <w:vAlign w:val="bottom"/>
            <w:gridSpan w:val="7"/>
          </w:tcPr>
          <w:p>
            <w:pPr>
              <w:ind w:left="200"/>
              <w:spacing w:after="0" w:line="196" w:lineRule="exact"/>
              <w:rPr>
                <w:sz w:val="20"/>
                <w:szCs w:val="20"/>
                <w:color w:val="auto"/>
              </w:rPr>
            </w:pPr>
            <w:r>
              <w:rPr>
                <w:rFonts w:ascii="Times New Roman" w:cs="Times New Roman" w:eastAsia="Times New Roman" w:hAnsi="Times New Roman"/>
                <w:sz w:val="18"/>
                <w:szCs w:val="18"/>
                <w:color w:val="auto"/>
              </w:rPr>
              <w:t>Lender (as amended, modified, extended, restated, replaced, or supplemented from time to time, the “Credit Agreement”;</w:t>
            </w:r>
          </w:p>
        </w:tc>
      </w:tr>
      <w:tr>
        <w:trPr>
          <w:trHeight w:val="20"/>
        </w:trPr>
        <w:tc>
          <w:tcPr>
            <w:tcW w:w="640" w:type="dxa"/>
            <w:vAlign w:val="bottom"/>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92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capitalized terms used herein and not otherwise defined shall have the meanings set forth in the Credit Agreement)</w:t>
            </w:r>
          </w:p>
        </w:tc>
      </w:tr>
      <w:tr>
        <w:trPr>
          <w:trHeight w:val="648"/>
        </w:trPr>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DATE:</w:t>
            </w:r>
          </w:p>
        </w:tc>
        <w:tc>
          <w:tcPr>
            <w:tcW w:w="92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[Date]</w:t>
            </w:r>
          </w:p>
        </w:tc>
      </w:tr>
      <w:tr>
        <w:trPr>
          <w:trHeight w:val="216"/>
        </w:trPr>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427"/>
        </w:trPr>
        <w:tc>
          <w:tcPr>
            <w:tcW w:w="640" w:type="dxa"/>
            <w:vAlign w:val="bottom"/>
          </w:tcPr>
          <w:p>
            <w:pPr>
              <w:spacing w:after="0"/>
              <w:rPr>
                <w:sz w:val="24"/>
                <w:szCs w:val="24"/>
                <w:color w:val="auto"/>
              </w:rPr>
            </w:pPr>
          </w:p>
        </w:tc>
        <w:tc>
          <w:tcPr>
            <w:tcW w:w="92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undersigned Responsible Officer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hereby certifies as of the date hereof that [he/she] is the [_____________________] of</w:t>
            </w:r>
          </w:p>
        </w:tc>
      </w:tr>
    </w:tbl>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and that, as such, [he/she] is authorized to execute and deliver this Certificate to the Administrative Agent on the behalf of the Borrower and the other Loan Parties, and that: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[Use following paragraph 1 for fiscal year-end financial statements]</w:t>
      </w:r>
    </w:p>
    <w:p>
      <w:pPr>
        <w:spacing w:after="0" w:line="227" w:lineRule="exact"/>
        <w:rPr>
          <w:sz w:val="20"/>
          <w:szCs w:val="20"/>
          <w:color w:val="auto"/>
        </w:rPr>
      </w:pPr>
    </w:p>
    <w:p>
      <w:pPr>
        <w:jc w:val="both"/>
        <w:ind w:firstLine="656"/>
        <w:spacing w:after="0" w:line="256"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delivered (i) the year-end audited financial statements required by Section 6.01(a) of the Credit Agreement for the fiscal year of the Borrower ended as of the above date, together with the report and opinion of an independent certified public accountant required by such section and (ii) the Consolidated balance sheets of the Borrower and its Subsidiaries as at the end of such fiscal year and the related Consolidated statements of income or operations, changes in shareholders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equity and cash flows for such fiscal year, setting forth in each case in comparative form the figures for the previous fiscal year, all in reasonable detail and prepared in accordance with GAAP.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[Use following paragraph 1 for fiscal [month-end/quarter-end] financial statements]</w:t>
      </w:r>
    </w:p>
    <w:p>
      <w:pPr>
        <w:spacing w:after="0" w:line="227" w:lineRule="exact"/>
        <w:rPr>
          <w:sz w:val="20"/>
          <w:szCs w:val="20"/>
          <w:color w:val="auto"/>
        </w:rPr>
      </w:pPr>
    </w:p>
    <w:p>
      <w:pPr>
        <w:jc w:val="both"/>
        <w:ind w:firstLine="656"/>
        <w:spacing w:after="0" w:line="256" w:lineRule="auto"/>
        <w:tabs>
          <w:tab w:leader="none" w:pos="12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delivered the unaudited financial statements required by Section 6.01(b) of the Credit Agreement for the fiscal [month/quarter] of the Borrower ended as of the above date. Such Consolidated financial statements fairly present the financial condition, results of operations, changes in shareholders</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equity and cash flows of the Borrower and its Subsidiaries in accordance with GAAP as at such date and for such period, subject only to normal year-end audit adjustments and the absence of footnotes and such Consolidated financial statements are fairly stated in all material respects when considered in relation to the Consolidated financial statements of the Borrower and its Subsidiaries.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reviewed and is familiar with the terms of the Credit Agreement and has made, or has caused to be made under [his/her] supervision, a review of the transactions and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1554480</wp:posOffset>
            </wp:positionV>
            <wp:extent cx="15684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right="40" w:hanging="332"/>
        <w:spacing w:after="0" w:line="208" w:lineRule="auto"/>
        <w:tabs>
          <w:tab w:leader="none" w:pos="340"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certificate should be from the chief executive officer, president, chief financial officer, treasurer, assistant treasurer or controller of the Borrower or Parent,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618490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(financial or otherwise) of the Borrower and its Subsidiaries during the accounting period covered by such financial statements.</w:t>
      </w:r>
    </w:p>
    <w:p>
      <w:pPr>
        <w:spacing w:after="0" w:line="225" w:lineRule="exact"/>
        <w:rPr>
          <w:sz w:val="20"/>
          <w:szCs w:val="20"/>
          <w:color w:val="auto"/>
        </w:rPr>
      </w:pPr>
    </w:p>
    <w:p>
      <w:pPr>
        <w:jc w:val="both"/>
        <w:ind w:firstLine="656"/>
        <w:spacing w:after="0" w:line="266"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activities of the Borrower and its Subsidiaries during such fiscal period has been made under the supervision of the undersigned with a view to determining whether during such fiscal period the Borrower and each of the other Loan Parties performed and observed all its obligations under the Loan Documents,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[select one:]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best knowledge of the undersigned, during such fiscal period each of the Loan Parties performed and observed each covenant and condition of the Loan Documents applicable to it, and no Default has occurred and is continuing.]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best knowledge of the undersigned, the following covenants or conditions have not been performed or observed and the following is a list of each such Default and its nature and status:]</w:t>
      </w:r>
    </w:p>
    <w:p>
      <w:pPr>
        <w:spacing w:after="0" w:line="162" w:lineRule="exact"/>
        <w:rPr>
          <w:sz w:val="20"/>
          <w:szCs w:val="20"/>
          <w:color w:val="auto"/>
        </w:rPr>
      </w:pPr>
    </w:p>
    <w:p>
      <w:pPr>
        <w:jc w:val="both"/>
        <w:ind w:firstLine="656"/>
        <w:spacing w:after="0" w:line="256"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and each other Loan Party contained in Article V of the Credit Agreement or any other Loan Document, or which are contained in any document furnished at any time under or in connection therewith are true and correct in all material respects on and as of the date hereof, and except that for purposes of this Compliance Certificate, the representations and warranties contained in subsections (a) and (b) of Section 5.05 of the Credit Agreement shall be deemed to refer to the most recent statements furnished pursuant to clauses (a) and (b), respectively, of Section 6.01 of the Credit Agreement, including the statements in connection with which this Compliance Certificate is delivered.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covenant analyses and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are true and accurate on and as of the date of this Certificate.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772795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CALAVO GROWERS,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17145</wp:posOffset>
            </wp:positionV>
            <wp:extent cx="25457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786130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22860</wp:posOffset>
            </wp:positionV>
            <wp:extent cx="25457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5715" cy="8255"/>
                    </a:xfrm>
                    <a:prstGeom prst="rect">
                      <a:avLst/>
                    </a:prstGeom>
                    <a:noFill/>
                  </pic:spPr>
                </pic:pic>
              </a:graphicData>
            </a:graphic>
          </wp:anchor>
        </w:drawing>
        <w:drawing>
          <wp:anchor simplePos="0" relativeHeight="251657728" behindDoc="1" locked="0" layoutInCell="0" allowOverlap="1">
            <wp:simplePos x="0" y="0"/>
            <wp:positionH relativeFrom="column">
              <wp:posOffset>485775</wp:posOffset>
            </wp:positionH>
            <wp:positionV relativeFrom="paragraph">
              <wp:posOffset>-121920</wp:posOffset>
            </wp:positionV>
            <wp:extent cx="25457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64" w:name="page65"/>
    <w:bookmarkEnd w:id="64"/>
    <w:p>
      <w:pPr>
        <w:jc w:val="cente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Schedule A</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Financial Statement Date: [________, ____] (“</w:t>
      </w:r>
      <w:r>
        <w:rPr>
          <w:rFonts w:ascii="Times New Roman" w:cs="Times New Roman" w:eastAsia="Times New Roman" w:hAnsi="Times New Roman"/>
          <w:sz w:val="18"/>
          <w:szCs w:val="18"/>
          <w:i w:val="1"/>
          <w:iCs w:val="1"/>
          <w:u w:val="single" w:color="auto"/>
          <w:color w:val="auto"/>
        </w:rPr>
        <w:t>Statement Date</w:t>
      </w:r>
      <w:r>
        <w:rPr>
          <w:rFonts w:ascii="Times New Roman" w:cs="Times New Roman" w:eastAsia="Times New Roman" w:hAnsi="Times New Roman"/>
          <w:sz w:val="18"/>
          <w:szCs w:val="18"/>
          <w:i w:val="1"/>
          <w:iCs w:val="1"/>
          <w:color w:val="auto"/>
        </w:rPr>
        <w:t>”)</w:t>
      </w:r>
    </w:p>
    <w:p>
      <w:pPr>
        <w:spacing w:after="0" w:line="203" w:lineRule="exact"/>
        <w:rPr>
          <w:sz w:val="20"/>
          <w:szCs w:val="20"/>
          <w:color w:val="auto"/>
        </w:rPr>
      </w:pPr>
    </w:p>
    <w:p>
      <w:pPr>
        <w:ind w:left="840" w:right="3680" w:hanging="644"/>
        <w:spacing w:after="0" w:line="286" w:lineRule="auto"/>
        <w:tabs>
          <w:tab w:leader="none" w:pos="8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Fixed Charge Coverage Ratio ($ in 000’s)</w:t>
      </w:r>
    </w:p>
    <w:p>
      <w:pPr>
        <w:spacing w:after="0" w:line="172" w:lineRule="exact"/>
        <w:rPr>
          <w:rFonts w:ascii="Times New Roman" w:cs="Times New Roman" w:eastAsia="Times New Roman" w:hAnsi="Times New Roman"/>
          <w:sz w:val="18"/>
          <w:szCs w:val="18"/>
          <w:b w:val="1"/>
          <w:bCs w:val="1"/>
          <w:color w:val="auto"/>
        </w:rPr>
      </w:pPr>
    </w:p>
    <w:p>
      <w:pPr>
        <w:ind w:left="860" w:right="120" w:hanging="569"/>
        <w:spacing w:after="0" w:line="261" w:lineRule="auto"/>
        <w:tabs>
          <w:tab w:leader="none" w:pos="8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of the Borrower and its Subsidiaries for the applicable period (or if after September 30, 2022, the Measurement Period) ending on above date (“</w:t>
      </w:r>
      <w:r>
        <w:rPr>
          <w:rFonts w:ascii="Times New Roman" w:cs="Times New Roman" w:eastAsia="Times New Roman" w:hAnsi="Times New Roman"/>
          <w:sz w:val="18"/>
          <w:szCs w:val="18"/>
          <w:u w:val="single" w:color="auto"/>
          <w:color w:val="auto"/>
        </w:rPr>
        <w:t>Subject Period</w:t>
      </w:r>
      <w:r>
        <w:rPr>
          <w:rFonts w:ascii="Times New Roman" w:cs="Times New Roman" w:eastAsia="Times New Roman" w:hAnsi="Times New Roman"/>
          <w:sz w:val="18"/>
          <w:szCs w:val="18"/>
          <w:color w:val="auto"/>
        </w:rPr>
        <w:t>”):</w:t>
      </w: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federal, state, local and foreign income taxes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for Subject Period:</w:t>
      </w:r>
    </w:p>
    <w:p>
      <w:pPr>
        <w:spacing w:after="0" w:line="9" w:lineRule="exact"/>
        <w:rPr>
          <w:rFonts w:ascii="Times New Roman" w:cs="Times New Roman" w:eastAsia="Times New Roman" w:hAnsi="Times New Roman"/>
          <w:sz w:val="18"/>
          <w:szCs w:val="18"/>
          <w:color w:val="auto"/>
        </w:rPr>
      </w:pPr>
    </w:p>
    <w:p>
      <w:pPr>
        <w:ind w:left="1260" w:right="100" w:hanging="402"/>
        <w:spacing w:after="0" w:line="265" w:lineRule="auto"/>
        <w:tabs>
          <w:tab w:leader="none" w:pos="1260" w:val="left"/>
        </w:tabs>
        <w:numPr>
          <w:ilvl w:val="2"/>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non-recurring charges and losses (excluding any such non-cash charges or losses to the extent (A) there were cash charges with respect to such charges and losses in past accounting periods or (B) there is a reasonable expectation that there will be cash charges with respect to such charges and losses in future accounting periods) for Subject Period:</w:t>
      </w: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line="250"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non-recurring or unusual expenses, losses, write-offs or charges for Subject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thereof at no time shall exceed ten percent (10%) of the Consolidated EBITDA (before giving effect to such expenses, losses, write-offs or charges) during any Subject Period, or such other amount as agreed to by the Administrative Agent in writing</w:t>
      </w:r>
    </w:p>
    <w:p>
      <w:pPr>
        <w:spacing w:after="0" w:line="1" w:lineRule="exact"/>
        <w:rPr>
          <w:rFonts w:ascii="Times New Roman" w:cs="Times New Roman" w:eastAsia="Times New Roman" w:hAnsi="Times New Roman"/>
          <w:sz w:val="18"/>
          <w:szCs w:val="18"/>
          <w:color w:val="auto"/>
        </w:rPr>
      </w:pPr>
    </w:p>
    <w:p>
      <w:pPr>
        <w:ind w:left="1260" w:right="240" w:hanging="402"/>
        <w:spacing w:after="0" w:line="250"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non-recurring gains (excluding any such non-cash gains to the extent (A) there were cash gains with respect to such gains in past accounting periods or (B) there is a reasonable expectation that there will be cash gains with respect to such gains in future accounting periods) for Subject Period:</w:t>
      </w:r>
    </w:p>
    <w:p>
      <w:pPr>
        <w:spacing w:after="0" w:line="1"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(Lines I.A.1 + 2 + 3 + 4 + 5 + 6 +7 -8):</w:t>
      </w:r>
    </w:p>
    <w:p>
      <w:pPr>
        <w:spacing w:after="0" w:line="206" w:lineRule="exact"/>
        <w:rPr>
          <w:rFonts w:ascii="Times New Roman" w:cs="Times New Roman" w:eastAsia="Times New Roman" w:hAnsi="Times New Roman"/>
          <w:sz w:val="18"/>
          <w:szCs w:val="18"/>
          <w:color w:val="auto"/>
        </w:rPr>
      </w:pPr>
    </w:p>
    <w:p>
      <w:pPr>
        <w:jc w:val="both"/>
        <w:ind w:left="860" w:right="60" w:hanging="569"/>
        <w:spacing w:after="0" w:line="261" w:lineRule="auto"/>
        <w:tabs>
          <w:tab w:leader="none" w:pos="8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Consolidated Capital Expenditures for Subject Period; provided for the purposes of calculating the Consolidated Fixed Charge Coverage Ratio for the measurement dates occurring between February 1, 2022 and September 30, 2022, Consolidated Capital Expenditures shall be deemed to be $500,000 for each month occurring during such period:</w:t>
      </w:r>
    </w:p>
    <w:p>
      <w:pPr>
        <w:spacing w:after="0" w:line="179" w:lineRule="exact"/>
        <w:rPr>
          <w:rFonts w:ascii="Times New Roman" w:cs="Times New Roman" w:eastAsia="Times New Roman" w:hAnsi="Times New Roman"/>
          <w:sz w:val="18"/>
          <w:szCs w:val="18"/>
          <w:color w:val="auto"/>
        </w:rPr>
      </w:pPr>
    </w:p>
    <w:p>
      <w:pPr>
        <w:ind w:left="860" w:hanging="569"/>
        <w:spacing w:after="0"/>
        <w:tabs>
          <w:tab w:leader="none" w:pos="8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for Subject Period:</w:t>
      </w:r>
    </w:p>
    <w:p>
      <w:pPr>
        <w:spacing w:after="0" w:line="27"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to the extent paid in cash during the Subject Period:</w:t>
      </w:r>
    </w:p>
    <w:p>
      <w:pPr>
        <w:spacing w:after="0" w:line="9" w:lineRule="exact"/>
        <w:rPr>
          <w:rFonts w:ascii="Times New Roman" w:cs="Times New Roman" w:eastAsia="Times New Roman" w:hAnsi="Times New Roman"/>
          <w:sz w:val="18"/>
          <w:szCs w:val="18"/>
          <w:color w:val="auto"/>
        </w:rPr>
      </w:pPr>
    </w:p>
    <w:p>
      <w:pPr>
        <w:ind w:left="1260" w:right="20" w:hanging="402"/>
        <w:spacing w:after="0" w:line="250"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redemptions or similar acquisitions for value of outstanding debt or regularly scheduled principal payments on debt for borrowed money or Capitalized Leases, but excluding (x) any such payments to the extent refinanced through the incurrence of additional Indebtedness otherwise expressly permitted under Section 7.02 of the Credit Agreement and (y) any redemption payments by or on behalf of Calavo Mexico with respect to the Calavo Mexico Letter of Credit, each made during the Subject Period:</w:t>
      </w:r>
    </w:p>
    <w:p>
      <w:pPr>
        <w:spacing w:after="0" w:line="2" w:lineRule="exact"/>
        <w:rPr>
          <w:rFonts w:ascii="Times New Roman" w:cs="Times New Roman" w:eastAsia="Times New Roman" w:hAnsi="Times New Roman"/>
          <w:sz w:val="18"/>
          <w:szCs w:val="18"/>
          <w:color w:val="auto"/>
        </w:rPr>
      </w:pPr>
    </w:p>
    <w:p>
      <w:pPr>
        <w:ind w:left="1260" w:right="200" w:hanging="402"/>
        <w:spacing w:after="0" w:line="233"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Restricted Payments paid in cash during the Subject Period; provided, that for the purposes of calculating the Consolidated Fixed Charge Coverage Ratio for the measurement dates occurring between February 1, 2022 and September 30, 2022, the dividend made by Borrower in December 2021 in the amount of $20,343,000 shall be deemed made in each month occurring during such period in an amount equal to 1/12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such dividend:</w:t>
      </w:r>
    </w:p>
    <w:p>
      <w:pPr>
        <w:spacing w:after="0" w:line="2" w:lineRule="exact"/>
        <w:rPr>
          <w:rFonts w:ascii="Times New Roman" w:cs="Times New Roman" w:eastAsia="Times New Roman" w:hAnsi="Times New Roman"/>
          <w:sz w:val="18"/>
          <w:szCs w:val="18"/>
          <w:color w:val="auto"/>
        </w:rPr>
      </w:pPr>
    </w:p>
    <w:p>
      <w:pPr>
        <w:ind w:left="1260" w:hanging="402"/>
        <w:spacing w:after="0" w:line="249" w:lineRule="auto"/>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federal, state, local and foreign income Taxes paid in cash, in each case, of or by the Borrower and its Subsidiaries during the Subject Period (excluding, to the extent included in such calculation for the fiscal year ended October 31, 2021, (x) the Mexican Tax Assessment (2011), which shall be excluded commencing July 31, 2021 and</w:t>
      </w:r>
    </w:p>
    <w:p>
      <w:pPr>
        <w:spacing w:after="0" w:line="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Mexican Tax Assessment (2013)):</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(Lines I.C.1 + 2 + 3 + 4):</w:t>
      </w:r>
    </w:p>
    <w:p>
      <w:pPr>
        <w:spacing w:after="0" w:line="206" w:lineRule="exact"/>
        <w:rPr>
          <w:rFonts w:ascii="Times New Roman" w:cs="Times New Roman" w:eastAsia="Times New Roman" w:hAnsi="Times New Roman"/>
          <w:sz w:val="18"/>
          <w:szCs w:val="18"/>
          <w:color w:val="auto"/>
        </w:rPr>
      </w:pPr>
    </w:p>
    <w:p>
      <w:pPr>
        <w:ind w:left="1260" w:right="1560" w:hanging="969"/>
        <w:spacing w:after="0" w:line="532" w:lineRule="auto"/>
        <w:tabs>
          <w:tab w:leader="none" w:pos="12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Fixed Charge Coverage Ratio ((Line I.A.9 – Line I.B) ÷ ( Line I.C.5)) </w:t>
      </w:r>
      <w:r>
        <w:rPr>
          <w:rFonts w:ascii="Times New Roman" w:cs="Times New Roman" w:eastAsia="Times New Roman" w:hAnsi="Times New Roman"/>
          <w:sz w:val="18"/>
          <w:szCs w:val="18"/>
          <w:i w:val="1"/>
          <w:iCs w:val="1"/>
          <w:color w:val="auto"/>
        </w:rPr>
        <w:t>Minimum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466090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 to 1.00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to 1.00</w:t>
      </w:r>
    </w:p>
    <w:p>
      <w:pPr>
        <w:sectPr>
          <w:pgSz w:w="11900" w:h="16838" w:orient="portrait"/>
          <w:cols w:equalWidth="0" w:num="2">
            <w:col w:w="7860" w:space="280"/>
            <w:col w:w="1260"/>
          </w:cols>
          <w:pgMar w:left="1440" w:top="873" w:right="1059" w:bottom="1440" w:gutter="0" w:footer="0" w:header="0"/>
        </w:sectPr>
      </w:pPr>
    </w:p>
    <w:bookmarkStart w:id="65" w:name="page66"/>
    <w:bookmarkEnd w:id="65"/>
    <w:p>
      <w:pPr>
        <w:ind w:left="840" w:right="4740" w:hanging="644"/>
        <w:spacing w:after="0" w:line="286" w:lineRule="auto"/>
        <w:tabs>
          <w:tab w:leader="none" w:pos="8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Leverage Ratio. ($ in 000’s)</w:t>
      </w:r>
    </w:p>
    <w:p>
      <w:pPr>
        <w:spacing w:after="0" w:line="172" w:lineRule="exact"/>
        <w:rPr>
          <w:rFonts w:ascii="Times New Roman" w:cs="Times New Roman" w:eastAsia="Times New Roman" w:hAnsi="Times New Roman"/>
          <w:sz w:val="18"/>
          <w:szCs w:val="18"/>
          <w:b w:val="1"/>
          <w:bCs w:val="1"/>
          <w:color w:val="auto"/>
        </w:rPr>
      </w:pPr>
    </w:p>
    <w:p>
      <w:pPr>
        <w:ind w:left="860" w:right="80" w:hanging="569"/>
        <w:spacing w:after="0" w:line="261" w:lineRule="auto"/>
        <w:tabs>
          <w:tab w:leader="none" w:pos="8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Funded Indebtedness at Statement Date (excluding Indebtedness under the Calavo Mexico Letter of Credit, to the extent such letter of credit is fully secured by cash):</w:t>
      </w:r>
    </w:p>
    <w:p>
      <w:pPr>
        <w:ind w:left="860" w:right="240" w:hanging="569"/>
        <w:spacing w:after="0" w:line="250" w:lineRule="auto"/>
        <w:tabs>
          <w:tab w:leader="none" w:pos="8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of the Borrower and its Subsidiaries for Measurement Period (or other applicable period) ending on above date (“</w:t>
      </w:r>
      <w:r>
        <w:rPr>
          <w:rFonts w:ascii="Times New Roman" w:cs="Times New Roman" w:eastAsia="Times New Roman" w:hAnsi="Times New Roman"/>
          <w:sz w:val="18"/>
          <w:szCs w:val="18"/>
          <w:u w:val="single" w:color="auto"/>
          <w:color w:val="auto"/>
        </w:rPr>
        <w:t>Subject Period</w:t>
      </w:r>
      <w:r>
        <w:rPr>
          <w:rFonts w:ascii="Times New Roman" w:cs="Times New Roman" w:eastAsia="Times New Roman" w:hAnsi="Times New Roman"/>
          <w:sz w:val="18"/>
          <w:szCs w:val="18"/>
          <w:color w:val="auto"/>
        </w:rPr>
        <w:t>”):</w:t>
      </w:r>
    </w:p>
    <w:p>
      <w:pPr>
        <w:ind w:left="1260" w:hanging="402"/>
        <w:spacing w:after="0"/>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federal, state, local and foreign income taxes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line="265" w:lineRule="auto"/>
        <w:tabs>
          <w:tab w:leader="none" w:pos="1260" w:val="left"/>
        </w:tabs>
        <w:numPr>
          <w:ilvl w:val="2"/>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non-recurring charges and losses (excluding any such non-cash charges or losses to the extent (A) there were cash charges with respect to such charges and losses in past accounting periods or (B) there is a reasonable expectation that there will be cash charges with respect to such charges and losses in future accounting periods) for the Subject Period:</w:t>
      </w:r>
    </w:p>
    <w:p>
      <w:pPr>
        <w:ind w:left="1260" w:hanging="402"/>
        <w:spacing w:after="0"/>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Subject Period:</w:t>
      </w:r>
    </w:p>
    <w:p>
      <w:pPr>
        <w:spacing w:after="0" w:line="9" w:lineRule="exact"/>
        <w:rPr>
          <w:rFonts w:ascii="Times New Roman" w:cs="Times New Roman" w:eastAsia="Times New Roman" w:hAnsi="Times New Roman"/>
          <w:sz w:val="18"/>
          <w:szCs w:val="18"/>
          <w:color w:val="auto"/>
        </w:rPr>
      </w:pPr>
    </w:p>
    <w:p>
      <w:pPr>
        <w:ind w:left="1260" w:hanging="402"/>
        <w:spacing w:after="0" w:line="250" w:lineRule="auto"/>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non-recurring or unusual expenses, losses, write-offs or charges for Subject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thereof at no time shall exceed ten percent (10%) of the Consolidated EBITDA (before giving effect to such expenses, losses, write-offs or charges) during any Subject Period, or such other amount as agreed to by the Administrative Agent in writing:</w:t>
      </w:r>
    </w:p>
    <w:p>
      <w:pPr>
        <w:spacing w:after="0" w:line="1" w:lineRule="exact"/>
        <w:rPr>
          <w:rFonts w:ascii="Times New Roman" w:cs="Times New Roman" w:eastAsia="Times New Roman" w:hAnsi="Times New Roman"/>
          <w:sz w:val="18"/>
          <w:szCs w:val="18"/>
          <w:color w:val="auto"/>
        </w:rPr>
      </w:pPr>
    </w:p>
    <w:p>
      <w:pPr>
        <w:ind w:left="1260" w:right="240" w:hanging="402"/>
        <w:spacing w:after="0" w:line="250" w:lineRule="auto"/>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non-recurring gains (excluding any such non-cash gains to the extent (A) there were cash gains with respect to such gains in past accounting periods or (B) there is a reasonable expectation that there will be cash gains with respect to such gains in future accounting periods) for Subject Period:</w:t>
      </w:r>
    </w:p>
    <w:p>
      <w:pPr>
        <w:spacing w:after="0" w:line="1" w:lineRule="exact"/>
        <w:rPr>
          <w:rFonts w:ascii="Times New Roman" w:cs="Times New Roman" w:eastAsia="Times New Roman" w:hAnsi="Times New Roman"/>
          <w:sz w:val="18"/>
          <w:szCs w:val="18"/>
          <w:color w:val="auto"/>
        </w:rPr>
      </w:pPr>
    </w:p>
    <w:p>
      <w:pPr>
        <w:ind w:left="1260" w:hanging="402"/>
        <w:spacing w:after="0"/>
        <w:tabs>
          <w:tab w:leader="none" w:pos="1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(Lines II.A.1 + 2 + 3 + 4 + 5 + 6 + 7 - 8):</w:t>
      </w:r>
    </w:p>
    <w:p>
      <w:pPr>
        <w:spacing w:after="0" w:line="206" w:lineRule="exact"/>
        <w:rPr>
          <w:rFonts w:ascii="Times New Roman" w:cs="Times New Roman" w:eastAsia="Times New Roman" w:hAnsi="Times New Roman"/>
          <w:sz w:val="18"/>
          <w:szCs w:val="18"/>
          <w:color w:val="auto"/>
        </w:rPr>
      </w:pPr>
    </w:p>
    <w:p>
      <w:pPr>
        <w:ind w:left="860" w:hanging="569"/>
        <w:spacing w:after="0"/>
        <w:tabs>
          <w:tab w:leader="none" w:pos="8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Leverage Ratio (Line II.A ÷ Line II.B.9):</w:t>
      </w:r>
    </w:p>
    <w:p>
      <w:pPr>
        <w:spacing w:after="0" w:line="27" w:lineRule="exact"/>
        <w:rPr>
          <w:sz w:val="20"/>
          <w:szCs w:val="20"/>
          <w:color w:val="auto"/>
        </w:rPr>
      </w:pPr>
    </w:p>
    <w:tbl>
      <w:tblPr>
        <w:tblLayout w:type="fixed"/>
        <w:tblInd w:w="860" w:type="dxa"/>
        <w:tblCellMar>
          <w:top w:w="0" w:type="dxa"/>
          <w:left w:w="0" w:type="dxa"/>
          <w:bottom w:w="0" w:type="dxa"/>
          <w:right w:w="0" w:type="dxa"/>
        </w:tblCellMar>
      </w:tblPr>
      <w:tr>
        <w:trPr>
          <w:trHeight w:val="236"/>
        </w:trPr>
        <w:tc>
          <w:tcPr>
            <w:tcW w:w="2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Maximum permitted: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749935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 to 1.0</w:t>
      </w:r>
    </w:p>
    <w:p>
      <w:pPr>
        <w:sectPr>
          <w:pgSz w:w="11900" w:h="16838" w:orient="portrait"/>
          <w:cols w:equalWidth="0" w:num="2">
            <w:col w:w="7860" w:space="280"/>
            <w:col w:w="1080"/>
          </w:cols>
          <w:pgMar w:left="1440" w:top="873" w:right="1239" w:bottom="1440" w:gutter="0" w:footer="0" w:header="0"/>
        </w:sectPr>
      </w:pPr>
    </w:p>
    <w:bookmarkStart w:id="66" w:name="page67"/>
    <w:bookmarkEnd w:id="66"/>
    <w:p>
      <w:pPr>
        <w:jc w:val="both"/>
        <w:ind w:firstLine="656"/>
        <w:spacing w:after="0" w:line="268" w:lineRule="auto"/>
        <w:tabs>
          <w:tab w:leader="none" w:pos="136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Minimum Consolidated EBITDA. </w:t>
      </w:r>
      <w:r>
        <w:rPr>
          <w:rFonts w:ascii="Times New Roman" w:cs="Times New Roman" w:eastAsia="Times New Roman" w:hAnsi="Times New Roman"/>
          <w:sz w:val="18"/>
          <w:szCs w:val="18"/>
          <w:color w:val="auto"/>
        </w:rPr>
        <w:t>As of [_____________ __], 20__, the minimum Consolidated EBITDA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$[__________], calculated as set forth below. The minimum Consolidated EBITDA permitted under </w:t>
      </w:r>
      <w:r>
        <w:rPr>
          <w:rFonts w:ascii="Times New Roman" w:cs="Times New Roman" w:eastAsia="Times New Roman" w:hAnsi="Times New Roman"/>
          <w:sz w:val="18"/>
          <w:szCs w:val="18"/>
          <w:u w:val="single" w:color="auto"/>
          <w:color w:val="auto"/>
        </w:rPr>
        <w:t>Section 7.11(c)</w:t>
      </w:r>
      <w:r>
        <w:rPr>
          <w:rFonts w:ascii="Times New Roman" w:cs="Times New Roman" w:eastAsia="Times New Roman" w:hAnsi="Times New Roman"/>
          <w:sz w:val="18"/>
          <w:szCs w:val="18"/>
          <w:color w:val="auto"/>
        </w:rPr>
        <w:t xml:space="preserve"> of the Credit Agreement as of such date is [$_______].</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Consolidated EBITDA</w:t>
            </w:r>
          </w:p>
        </w:tc>
        <w:tc>
          <w:tcPr>
            <w:tcW w:w="20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4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Net Income for the most recently completed Measurement Period: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Consolidated Interest Charges for the most recently completed Measurement Period: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provision for federal, state, local and foreign income taxes for the most recently completed</w:t>
            </w:r>
          </w:p>
        </w:tc>
        <w:tc>
          <w:tcPr>
            <w:tcW w:w="1380" w:type="dxa"/>
            <w:vAlign w:val="bottom"/>
          </w:tcPr>
          <w:p>
            <w:pPr>
              <w:spacing w:after="0"/>
              <w:rPr>
                <w:sz w:val="18"/>
                <w:szCs w:val="18"/>
                <w:color w:val="auto"/>
              </w:rPr>
            </w:pPr>
          </w:p>
        </w:tc>
      </w:tr>
      <w:tr>
        <w:trPr>
          <w:trHeight w:val="216"/>
        </w:trPr>
        <w:tc>
          <w:tcPr>
            <w:tcW w:w="7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Measurement Period: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 expense for the most recently completed Measurement Period: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bl>
    <w:p>
      <w:pPr>
        <w:jc w:val="both"/>
        <w:ind w:left="680" w:right="2160" w:hanging="9"/>
        <w:spacing w:after="0" w:line="265" w:lineRule="auto"/>
        <w:tabs>
          <w:tab w:leader="none" w:pos="100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non-recurring charges and losses (excluding any such non-cash charges or losses to the extent (A) there were cash charges with respect to such charges and losses in past accounting periods or (B) there is a reasonable expectation that there will be cash charges with respect to such charges and losses in future accounting periods) for the most recently completed Measurement</w:t>
      </w:r>
    </w:p>
    <w:p>
      <w:pPr>
        <w:sectPr>
          <w:pgSz w:w="11900" w:h="16838" w:orient="portrait"/>
          <w:cols w:equalWidth="0" w:num="1">
            <w:col w:w="9920"/>
          </w:cols>
          <w:pgMar w:left="980" w:top="873" w:right="999" w:bottom="1440" w:gutter="0" w:footer="0" w:header="0"/>
        </w:sectPr>
      </w:pP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1" w:lineRule="exact"/>
        <w:rPr>
          <w:sz w:val="20"/>
          <w:szCs w:val="20"/>
          <w:color w:val="auto"/>
        </w:rPr>
      </w:pPr>
    </w:p>
    <w:p>
      <w:pPr>
        <w:sectPr>
          <w:pgSz w:w="11900" w:h="16838" w:orient="portrait"/>
          <w:cols w:equalWidth="0" w:num="2">
            <w:col w:w="7420" w:space="720"/>
            <w:col w:w="1780"/>
          </w:cols>
          <w:pgMar w:left="980" w:top="873" w:right="9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color w:val="auto"/>
        </w:rPr>
        <w:t>(6) non-cash stock-based compensation expense for the most recently completed Measurement</w:t>
      </w:r>
    </w:p>
    <w:p>
      <w:pPr>
        <w:sectPr>
          <w:pgSz w:w="11900" w:h="16838" w:orient="portrait"/>
          <w:cols w:equalWidth="0" w:num="1">
            <w:col w:w="9920"/>
          </w:cols>
          <w:pgMar w:left="980" w:top="873" w:right="999" w:bottom="1440" w:gutter="0" w:footer="0" w:header="0"/>
          <w:type w:val="continuous"/>
        </w:sectPr>
      </w:pP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1" w:lineRule="exact"/>
        <w:rPr>
          <w:sz w:val="20"/>
          <w:szCs w:val="20"/>
          <w:color w:val="auto"/>
        </w:rPr>
      </w:pPr>
    </w:p>
    <w:p>
      <w:pPr>
        <w:sectPr>
          <w:pgSz w:w="11900" w:h="16838" w:orient="portrait"/>
          <w:cols w:equalWidth="0" w:num="2">
            <w:col w:w="7420" w:space="720"/>
            <w:col w:w="1780"/>
          </w:cols>
          <w:pgMar w:left="980" w:top="873" w:right="999" w:bottom="1440" w:gutter="0" w:footer="0" w:header="0"/>
          <w:type w:val="continuous"/>
        </w:sectPr>
      </w:pPr>
    </w:p>
    <w:p>
      <w:pPr>
        <w:ind w:left="680" w:right="2280" w:hanging="9"/>
        <w:spacing w:after="0" w:line="265" w:lineRule="auto"/>
        <w:tabs>
          <w:tab w:leader="none" w:pos="100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non-recurring or unusual expenses, losses, write-offs or charges; provided that the aggregate amount thereof at no time shall exceed ten percent (10%) of the Consolidated EBITDA (before giving effect to such expenses, losses, write-offs or charges) during any Measurement Period, or such other amount as agreed to by the Administrative Agent in writing, for the most recently</w:t>
      </w:r>
    </w:p>
    <w:p>
      <w:pPr>
        <w:sectPr>
          <w:pgSz w:w="11900" w:h="16838" w:orient="portrait"/>
          <w:cols w:equalWidth="0" w:num="1">
            <w:col w:w="9920"/>
          </w:cols>
          <w:pgMar w:left="980" w:top="873" w:right="999" w:bottom="1440" w:gutter="0" w:footer="0" w:header="0"/>
          <w:type w:val="continuous"/>
        </w:sectPr>
      </w:pP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completed Measurement Period:</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(8) Sum of Items (1) through Item A(7)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0" w:lineRule="exact"/>
        <w:rPr>
          <w:sz w:val="20"/>
          <w:szCs w:val="20"/>
          <w:color w:val="auto"/>
        </w:rPr>
      </w:pPr>
    </w:p>
    <w:p>
      <w:pPr>
        <w:sectPr>
          <w:pgSz w:w="11900" w:h="16838" w:orient="portrait"/>
          <w:cols w:equalWidth="0" w:num="2">
            <w:col w:w="7420" w:space="720"/>
            <w:col w:w="1780"/>
          </w:cols>
          <w:pgMar w:left="980" w:top="873" w:right="999" w:bottom="1440" w:gutter="0" w:footer="0" w:header="0"/>
          <w:type w:val="continuous"/>
        </w:sectPr>
      </w:pPr>
    </w:p>
    <w:p>
      <w:pPr>
        <w:ind w:left="680" w:right="2040" w:hanging="9"/>
        <w:spacing w:after="0" w:line="265" w:lineRule="auto"/>
        <w:tabs>
          <w:tab w:leader="none" w:pos="100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duplication and to the extent reflected as a gain or otherwise included in the calculation of Consolidated Net Income for such period (i) non-cash non-recurring gains (excluding any such non-cash gains to the extent (A) there were cash gains with respect to such gains in past accounting periods or (B) there is a reasonable expectation that there will be cash gains with respect to such</w:t>
      </w:r>
    </w:p>
    <w:tbl>
      <w:tblPr>
        <w:tblLayout w:type="fixed"/>
        <w:tblInd w:w="0" w:type="dxa"/>
        <w:tblCellMar>
          <w:top w:w="0" w:type="dxa"/>
          <w:left w:w="0" w:type="dxa"/>
          <w:bottom w:w="0" w:type="dxa"/>
          <w:right w:w="0" w:type="dxa"/>
        </w:tblCellMar>
      </w:tblPr>
      <w:tr>
        <w:trPr>
          <w:trHeight w:val="196"/>
        </w:trPr>
        <w:tc>
          <w:tcPr>
            <w:tcW w:w="764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gains in future accounting periods), for the most recently completed Measurement Period:</w:t>
            </w:r>
          </w:p>
        </w:tc>
        <w:tc>
          <w:tcPr>
            <w:tcW w:w="16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$____________</w:t>
            </w:r>
          </w:p>
        </w:tc>
        <w:tc>
          <w:tcPr>
            <w:tcW w:w="600" w:type="dxa"/>
            <w:vAlign w:val="bottom"/>
          </w:tcPr>
          <w:p>
            <w:pPr>
              <w:spacing w:after="0"/>
              <w:rPr>
                <w:sz w:val="17"/>
                <w:szCs w:val="17"/>
                <w:color w:val="auto"/>
              </w:rPr>
            </w:pPr>
          </w:p>
        </w:tc>
      </w:tr>
      <w:tr>
        <w:trPr>
          <w:trHeight w:val="196"/>
        </w:trPr>
        <w:tc>
          <w:tcPr>
            <w:tcW w:w="7640" w:type="dxa"/>
            <w:vAlign w:val="bottom"/>
          </w:tcPr>
          <w:p>
            <w:pPr>
              <w:ind w:left="680"/>
              <w:spacing w:after="0" w:line="196" w:lineRule="exact"/>
              <w:rPr>
                <w:sz w:val="20"/>
                <w:szCs w:val="20"/>
                <w:color w:val="auto"/>
              </w:rPr>
            </w:pPr>
            <w:r>
              <w:rPr>
                <w:rFonts w:ascii="Times New Roman" w:cs="Times New Roman" w:eastAsia="Times New Roman" w:hAnsi="Times New Roman"/>
                <w:sz w:val="18"/>
                <w:szCs w:val="18"/>
                <w:color w:val="auto"/>
              </w:rPr>
              <w:t xml:space="preserve">(10) Consolidated EBITDA (Item 8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Item 9)</w:t>
            </w:r>
          </w:p>
        </w:tc>
        <w:tc>
          <w:tcPr>
            <w:tcW w:w="16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$____________</w:t>
            </w:r>
          </w:p>
        </w:tc>
        <w:tc>
          <w:tcPr>
            <w:tcW w:w="6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973"/>
        </w:trPr>
        <w:tc>
          <w:tcPr>
            <w:tcW w:w="7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UNANIMOUS WRITTEN CONSENT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THE BOARD OF DIRECTORS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May 27, 2022</w:t>
      </w:r>
    </w:p>
    <w:p>
      <w:pPr>
        <w:spacing w:after="0" w:line="229"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0"/>
          <w:szCs w:val="20"/>
          <w:color w:val="auto"/>
        </w:rPr>
        <w:t>The undersigned, constituting all the directors of Calavo Growers, Inc., a California corporation (“</w:t>
      </w:r>
      <w:r>
        <w:rPr>
          <w:rFonts w:ascii="Times New Roman" w:cs="Times New Roman" w:eastAsia="Times New Roman" w:hAnsi="Times New Roman"/>
          <w:sz w:val="20"/>
          <w:szCs w:val="20"/>
          <w:u w:val="single" w:color="auto"/>
          <w:color w:val="auto"/>
        </w:rPr>
        <w:t>Calavo</w:t>
      </w:r>
      <w:r>
        <w:rPr>
          <w:rFonts w:ascii="Times New Roman" w:cs="Times New Roman" w:eastAsia="Times New Roman" w:hAnsi="Times New Roman"/>
          <w:sz w:val="20"/>
          <w:szCs w:val="20"/>
          <w:color w:val="auto"/>
        </w:rPr>
        <w:t>”), acting pursuant to authority granted by the California Corporations Code and Calavo’s Amended and Restated Bylaws, hereby take the following actions, approve and adopt the following recitals and resolutions, and transact the following business by written consent without a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Approval of Indemnification Agreement</w:t>
      </w:r>
    </w:p>
    <w:p>
      <w:pPr>
        <w:spacing w:after="0" w:line="220"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WHEREAS, Calavo’s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desires to attract and retain the services of highly competent individuals to serve as directors and officers of Calavo;</w:t>
      </w:r>
    </w:p>
    <w:p>
      <w:pPr>
        <w:spacing w:after="0" w:line="159"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WHEREAS, highly competent persons have become more reluctant to serve corporations as directors, officers or in other capacities unless they are provided with adequate protection through insurance or adequate indemnification against inordinate risks of claims and actions against them arising out of their service to and activities on behalf of the corporation; and</w:t>
      </w:r>
    </w:p>
    <w:p>
      <w:pPr>
        <w:spacing w:after="0" w:line="180" w:lineRule="exact"/>
        <w:rPr>
          <w:sz w:val="20"/>
          <w:szCs w:val="20"/>
          <w:color w:val="auto"/>
        </w:rPr>
      </w:pPr>
    </w:p>
    <w:p>
      <w:pPr>
        <w:ind w:right="200" w:firstLine="648"/>
        <w:spacing w:after="0" w:line="249" w:lineRule="auto"/>
        <w:rPr>
          <w:sz w:val="20"/>
          <w:szCs w:val="20"/>
          <w:color w:val="auto"/>
        </w:rPr>
      </w:pPr>
      <w:r>
        <w:rPr>
          <w:rFonts w:ascii="Times New Roman" w:cs="Times New Roman" w:eastAsia="Times New Roman" w:hAnsi="Times New Roman"/>
          <w:sz w:val="20"/>
          <w:szCs w:val="20"/>
          <w:color w:val="auto"/>
        </w:rPr>
        <w:t>WHEREAS, given the difficulty in attracting and retaining such persons, the Board has determined that it is advisable and in the best interests of Calavo and its shareholders to adopt a form of indemnification agreement that Calavo may use to provide indemnification to selected directors and officers that is broader than the indemnification rights the directors and officers have under applicable law.</w:t>
      </w:r>
    </w:p>
    <w:p>
      <w:pPr>
        <w:spacing w:after="0" w:line="180" w:lineRule="exact"/>
        <w:rPr>
          <w:sz w:val="20"/>
          <w:szCs w:val="20"/>
          <w:color w:val="auto"/>
        </w:rPr>
      </w:pPr>
    </w:p>
    <w:p>
      <w:pPr>
        <w:ind w:right="6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RESOLVED, that the form of Indemnification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adopted and approved; and</w:t>
      </w:r>
    </w:p>
    <w:p>
      <w:pPr>
        <w:spacing w:after="0" w:line="159"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0"/>
          <w:szCs w:val="20"/>
          <w:color w:val="auto"/>
        </w:rPr>
        <w:t>RESOLVED, that Calavo shall enter into an Indemnification Agreement with each of its directors and such executive officers as determined by Calavo in substantially the form attached hereto, together with any changes to each such agreement determined by the proper officers of Calavo to comply with applicable law, and that such determination shall be conclusively evidenced by such officer’s execution and delivery of a definitive Indemnification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Authorizing Resolutions</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RESOLVED, that the officers of Calavo be, and each of them hereby is, authorized and directed, for and on behalf of Calavo, to take such further actions and execute such documents as may be necessary or appropriate in order to implement the foregoing resolutions; and</w:t>
      </w:r>
    </w:p>
    <w:p>
      <w:pPr>
        <w:spacing w:after="0" w:line="174"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RESOLVED, that all actions heretofore taken by the officers of Calavo in connection with the subject matter of the foregoing resolutions are hereby ratified, approved and confirmed in all respects.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This written consent shall be filed with the minutes of the Board’s proceedings. This written consent may be executed in counterparts, each of which shall be deemed an original document, with the same effect as if the signatures were upon the same instrument. Signatures to this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68" w:name="page69"/>
    <w:bookmarkEnd w:id="68"/>
    <w:p>
      <w:pPr>
        <w:spacing w:after="0" w:line="268" w:lineRule="auto"/>
        <w:rPr>
          <w:sz w:val="20"/>
          <w:szCs w:val="20"/>
          <w:color w:val="auto"/>
        </w:rPr>
      </w:pPr>
      <w:r>
        <w:rPr>
          <w:rFonts w:ascii="Times New Roman" w:cs="Times New Roman" w:eastAsia="Times New Roman" w:hAnsi="Times New Roman"/>
          <w:sz w:val="20"/>
          <w:szCs w:val="20"/>
          <w:color w:val="auto"/>
        </w:rPr>
        <w:t>delivered by electronic or facsimile transmission, including by DocuSign or by e-mail transmission in PDF format, shall be valid.</w:t>
      </w:r>
    </w:p>
    <w:p>
      <w:pPr>
        <w:spacing w:after="0" w:line="1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118" w:right="1159" w:bottom="1440" w:gutter="0" w:footer="0" w:header="0"/>
        </w:sectPr>
      </w:pPr>
    </w:p>
    <w:bookmarkStart w:id="69" w:name="page70"/>
    <w:bookmarkEnd w:id="69"/>
    <w:p>
      <w:pPr>
        <w:ind w:firstLine="648"/>
        <w:spacing w:after="0" w:line="268" w:lineRule="auto"/>
        <w:rPr>
          <w:sz w:val="20"/>
          <w:szCs w:val="20"/>
          <w:color w:val="auto"/>
        </w:rPr>
      </w:pPr>
      <w:r>
        <w:rPr>
          <w:rFonts w:ascii="Times New Roman" w:cs="Times New Roman" w:eastAsia="Times New Roman" w:hAnsi="Times New Roman"/>
          <w:sz w:val="20"/>
          <w:szCs w:val="20"/>
          <w:color w:val="auto"/>
        </w:rPr>
        <w:t>IN WITNESS WHEREOF, the undersigned have executed and delivered this Unanimous Written Consent as of the date set forth above.</w:t>
      </w:r>
    </w:p>
    <w:p>
      <w:pPr>
        <w:spacing w:after="0" w:line="17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Farha Aslam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Farha Aslam</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Marc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Marc L. Brown</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Michael A. DiGregorio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Michael A. DiGregorio</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James 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James Helin</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Steven Hollister</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Kathleen M.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Kathleen M. Holmgren</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John M.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John M. Hunt</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J. Link Leavens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J. Link Leavens</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Donald M.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Donald M. Sanders</w:t>
      </w: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Adriana Mendizabal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13970</wp:posOffset>
            </wp:positionV>
            <wp:extent cx="31375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Adriana Mendizabal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118" w:right="113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INDEMNIFICATION AGREEMENT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Indemnification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as of this ____ day of __________, 2022, 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between Calavo Growers, Inc., a California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w:t>
      </w:r>
    </w:p>
    <w:p>
      <w:pPr>
        <w:spacing w:after="0"/>
        <w:rPr>
          <w:sz w:val="20"/>
          <w:szCs w:val="20"/>
          <w:color w:val="auto"/>
        </w:rPr>
      </w:pPr>
      <w:r>
        <w:rPr>
          <w:rFonts w:ascii="Times New Roman" w:cs="Times New Roman" w:eastAsia="Times New Roman" w:hAnsi="Times New Roman"/>
          <w:sz w:val="22"/>
          <w:szCs w:val="22"/>
          <w:color w:val="auto"/>
        </w:rPr>
        <w:t>__________________________________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is a director and/or officer of the Company.</w:t>
      </w:r>
    </w:p>
    <w:p>
      <w:pPr>
        <w:spacing w:after="0" w:line="206" w:lineRule="exact"/>
        <w:rPr>
          <w:rFonts w:ascii="Times New Roman" w:cs="Times New Roman" w:eastAsia="Times New Roman" w:hAnsi="Times New Roman"/>
          <w:sz w:val="22"/>
          <w:szCs w:val="22"/>
          <w:color w:val="auto"/>
        </w:rPr>
      </w:pPr>
    </w:p>
    <w:p>
      <w:pPr>
        <w:jc w:val="both"/>
        <w:ind w:right="340" w:firstLine="656"/>
        <w:spacing w:after="0" w:line="238"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recognizes that the vagaries of public policy and the interpretation of ambiguous statutes, regulations and court opinions are too uncertain to provide the Company’s officers and directors with adequate or reliable advance knowledge or guidance with respect to the legal risks and potential liabilities to which they may become personally exposed as a result of performing their duties in good faith as Agents (as defined below) for the Company Group (as defined below).</w:t>
      </w:r>
    </w:p>
    <w:p>
      <w:pPr>
        <w:spacing w:after="0" w:line="176" w:lineRule="exact"/>
        <w:rPr>
          <w:rFonts w:ascii="Times New Roman" w:cs="Times New Roman" w:eastAsia="Times New Roman" w:hAnsi="Times New Roman"/>
          <w:sz w:val="22"/>
          <w:szCs w:val="22"/>
          <w:color w:val="auto"/>
        </w:rPr>
      </w:pPr>
    </w:p>
    <w:p>
      <w:pPr>
        <w:ind w:right="740" w:firstLine="656"/>
        <w:spacing w:after="0" w:line="244"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recognizes that the cost to a director or officer of defending against lawsuits resulting from the performance of his or her duties in good faith for the Company Group, whether or not meritorious, is likely to be burdensome.</w:t>
      </w:r>
    </w:p>
    <w:p>
      <w:pPr>
        <w:spacing w:after="0" w:line="173" w:lineRule="exact"/>
        <w:rPr>
          <w:rFonts w:ascii="Times New Roman" w:cs="Times New Roman" w:eastAsia="Times New Roman" w:hAnsi="Times New Roman"/>
          <w:sz w:val="22"/>
          <w:szCs w:val="22"/>
          <w:color w:val="auto"/>
        </w:rPr>
      </w:pPr>
    </w:p>
    <w:p>
      <w:pPr>
        <w:ind w:right="60"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recognizes that the legal risks and potential liabilities, and the very threat thereof, associated with lawsuits filed against the officers and directors of the Company Group, and the resultant substantial time and expense spent and endured in defending against such lawsuits, bears no reasonable or logical relationship to the amount of compensation received by such officers and directors, and thus poses a significant deterrent to and results in increased reluctance on the part of experienced and capable individuals to serve as Agents of the Company Group.</w:t>
      </w:r>
    </w:p>
    <w:p>
      <w:pPr>
        <w:spacing w:after="0" w:line="181" w:lineRule="exact"/>
        <w:rPr>
          <w:rFonts w:ascii="Times New Roman" w:cs="Times New Roman" w:eastAsia="Times New Roman" w:hAnsi="Times New Roman"/>
          <w:sz w:val="22"/>
          <w:szCs w:val="22"/>
          <w:color w:val="auto"/>
        </w:rPr>
      </w:pPr>
    </w:p>
    <w:p>
      <w:pPr>
        <w:ind w:right="300"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induce and encourage highly experienced and capable persons such as Indemnitee to serve as Agents of the Company Group, secure in the knowledge that certain expenses, costs and liabilities incurred by them in their defense of such litigation will be borne by the Company and that they will receive protection against such risks and liabilities, the Board (as defined below) has determined that entering into this Agreement with Indemnitee is not only reasonable and prudent but necessary to promote and ensure the best interests of the Company and the Company’s shareholders.</w:t>
      </w:r>
    </w:p>
    <w:p>
      <w:pPr>
        <w:spacing w:after="0" w:line="181" w:lineRule="exact"/>
        <w:rPr>
          <w:rFonts w:ascii="Times New Roman" w:cs="Times New Roman" w:eastAsia="Times New Roman" w:hAnsi="Times New Roman"/>
          <w:sz w:val="22"/>
          <w:szCs w:val="22"/>
          <w:color w:val="auto"/>
        </w:rPr>
      </w:pPr>
    </w:p>
    <w:p>
      <w:pPr>
        <w:ind w:firstLine="656"/>
        <w:spacing w:after="0" w:line="239"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Indemnitee desire that the indemnification rights provided by this Agreement shall be supplemental to, and shall not supersede or replace, any indemnification rights which may be provided by other sources, including without limitation any indemnification which may be provided by the Company pursuant to its Bylaws, by other agreements or by applicable law.</w:t>
      </w:r>
    </w:p>
    <w:p>
      <w:pPr>
        <w:spacing w:after="0" w:line="180" w:lineRule="exact"/>
        <w:rPr>
          <w:rFonts w:ascii="Times New Roman" w:cs="Times New Roman" w:eastAsia="Times New Roman" w:hAnsi="Times New Roman"/>
          <w:sz w:val="22"/>
          <w:szCs w:val="22"/>
          <w:color w:val="auto"/>
        </w:rPr>
      </w:pPr>
    </w:p>
    <w:p>
      <w:pPr>
        <w:ind w:right="80" w:firstLine="656"/>
        <w:spacing w:after="0" w:line="238"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permitted by Sections 204(a)(11) and 317(g) of the California Corporations Code, Article V(b) of the Company’s Articles of Incorporation states that the Company “is authorized to provide indemnification of its agents (as such term is defined in Section 317 of the California Corporations Code), whether by bylaw, agreement, vote of shareholders or disinterested directors, or otherwise, to the fullest extent permissible under California law.”</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4" w:right="1039" w:bottom="1440" w:gutter="0" w:footer="0" w:header="0"/>
        </w:sectPr>
      </w:pPr>
    </w:p>
    <w:bookmarkStart w:id="71" w:name="page72"/>
    <w:bookmarkEnd w:id="71"/>
    <w:p>
      <w:pPr>
        <w:ind w:left="426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Indemnitee hereby agree as follows:</w:t>
      </w:r>
    </w:p>
    <w:p>
      <w:pPr>
        <w:spacing w:after="0" w:line="202" w:lineRule="exact"/>
        <w:rPr>
          <w:sz w:val="20"/>
          <w:szCs w:val="20"/>
          <w:color w:val="auto"/>
        </w:rPr>
      </w:pPr>
    </w:p>
    <w:p>
      <w:pPr>
        <w:ind w:firstLine="656"/>
        <w:spacing w:after="0" w:line="246" w:lineRule="auto"/>
        <w:tabs>
          <w:tab w:leader="none" w:pos="129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Service by Indemnitee. </w:t>
      </w:r>
      <w:r>
        <w:rPr>
          <w:rFonts w:ascii="Times New Roman" w:cs="Times New Roman" w:eastAsia="Times New Roman" w:hAnsi="Times New Roman"/>
          <w:sz w:val="21"/>
          <w:szCs w:val="21"/>
          <w:color w:val="auto"/>
        </w:rPr>
        <w:t>Indemnitee agrees to serve and/or to continue to serve as a director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of the Company; provided, however, that (i) if Indemnitee is a director of the Company, he or she is entitled to resign or retire at any time from such position, and (ii) if Indemnitee is an officer of the Company, he or she is entitled to resign or retire at any time from such position, and the Company is entitled to remove Indemnitee at any time from such position, subject to the terms of any employment agreement that Indemnitee may have entered into with the Company. For the avoidance of doubt, the Company’s obligations under this Agreement shall continue notwithstanding that Indemnitee may have ceased for any reason to serve as a director and/or officer of the Company. Furthermore, this Agreement is not an employment agreement between Indemnitee and the Company, and this Agreement does not create any right on the part of Indemnitee to continue to serve as a director or an officer of the Company or in any capacity with any other member of the Company Group.</w:t>
      </w:r>
    </w:p>
    <w:p>
      <w:pPr>
        <w:spacing w:after="0" w:line="17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terms have the meanings set forth below:</w:t>
      </w:r>
    </w:p>
    <w:p>
      <w:pPr>
        <w:spacing w:after="0" w:line="206"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(i) any action, suit, arbitration, alternative dispute resolution mechanism, formal or informal investigation, inquiry, judicial, administrative, or legislative hearing, or any other threatened, pending, or completed proceeding, whether brought by or in the right of the Company or otherwise, including any and all appeals, whether of a civil, criminal, administrative, legislative, investigative, or other nature, to which Indemnitee was or is a party or is threatened to be made a party or is otherwise involved in by reason of the fact that Indemnitee is or was as an Agent of the Company or while an Agent of the Company is or was serving at the request of the Company as an Agent of another corporation or of a partnership, joint venture, trust, or other enterprise, including service with respect to an employee benefit plan (including as a deemed fiduciary thereto), or by reason of anything done or not done by Indemnitee in any such capacity, whether or not Indemnitee is serving in such capacity at the time any expense, liability, or loss is incurred for which indemnification or advancement can be provided under this Agreement, or (ii) any situation that Indemnitee determines in good faith might lead to or culminate in the institution of any such action, suit, proceeding, arbitration or alternative dispute resolution mechanism.</w:t>
      </w:r>
    </w:p>
    <w:p>
      <w:pPr>
        <w:spacing w:after="0" w:line="182"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with respect to Indemnitee, Indemnitee in his or her capacity as an officer, director, employee, agent or trustee of the Company or any member of the Company Group or in his or her capacity as an officer, director, employee, agent or trustee of any other Entity for which he or she is serving in such capacity or capacities as the request of the Company. For purposes of this Agreement, if Indemnitee provides service as an officer, director, employee, agent or trustee of any Entity controlled by the Company or any employee benefit plan of the Company (including as a deemed fiduciary thereto), then Indemnitee shall be deemed to serve at the request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after the date of this Agreement, in a single transaction or in a series of related transactions, of any one or more of the following events:</w:t>
      </w:r>
    </w:p>
    <w:p>
      <w:pPr>
        <w:spacing w:after="0" w:line="158" w:lineRule="exact"/>
        <w:rPr>
          <w:sz w:val="20"/>
          <w:szCs w:val="20"/>
          <w:color w:val="auto"/>
        </w:rPr>
      </w:pPr>
    </w:p>
    <w:p>
      <w:pPr>
        <w:ind w:right="220" w:firstLine="1790"/>
        <w:spacing w:after="0" w:line="261" w:lineRule="auto"/>
        <w:tabs>
          <w:tab w:leader="none" w:pos="205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Exchange Act Person becomes the Owner, directly or indirectly, of securities of the Company representing more than 50% of the combined voting power of the Company’s then-outstanding securities other than by virtue of a merger, consolidation or similar transaction; notwithstanding the foregoing, a</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72" w:name="page73"/>
    <w:bookmarkEnd w:id="72"/>
    <w:p>
      <w:pPr>
        <w:ind w:right="140" w:firstLine="1782"/>
        <w:spacing w:after="0" w:line="245" w:lineRule="auto"/>
        <w:rPr>
          <w:sz w:val="20"/>
          <w:szCs w:val="20"/>
          <w:color w:val="auto"/>
        </w:rPr>
      </w:pPr>
      <w:r>
        <w:rPr>
          <w:rFonts w:ascii="Times New Roman" w:cs="Times New Roman" w:eastAsia="Times New Roman" w:hAnsi="Times New Roman"/>
          <w:sz w:val="21"/>
          <w:szCs w:val="21"/>
          <w:color w:val="auto"/>
        </w:rPr>
        <w:t>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1"/>
          <w:szCs w:val="21"/>
          <w:u w:val="single" w:color="auto"/>
          <w:color w:val="auto"/>
        </w:rPr>
        <w:t>Subject Person</w:t>
      </w:r>
      <w:r>
        <w:rPr>
          <w:rFonts w:ascii="Times New Roman" w:cs="Times New Roman" w:eastAsia="Times New Roman" w:hAnsi="Times New Roman"/>
          <w:sz w:val="21"/>
          <w:szCs w:val="21"/>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then-outstanding voting securities Owned by the Subject Person over the designated percentage threshold, then a Change in Control shall be deemed to occur;</w:t>
      </w:r>
    </w:p>
    <w:p>
      <w:pPr>
        <w:spacing w:after="0" w:line="174" w:lineRule="exact"/>
        <w:rPr>
          <w:sz w:val="20"/>
          <w:szCs w:val="20"/>
          <w:color w:val="auto"/>
        </w:rPr>
      </w:pPr>
    </w:p>
    <w:p>
      <w:pPr>
        <w:ind w:firstLine="1790"/>
        <w:spacing w:after="0" w:line="249" w:lineRule="auto"/>
        <w:tabs>
          <w:tab w:leader="none" w:pos="276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w:t>
      </w:r>
    </w:p>
    <w:p>
      <w:pPr>
        <w:spacing w:after="0" w:line="170" w:lineRule="exact"/>
        <w:rPr>
          <w:rFonts w:ascii="Times New Roman" w:cs="Times New Roman" w:eastAsia="Times New Roman" w:hAnsi="Times New Roman"/>
          <w:sz w:val="21"/>
          <w:szCs w:val="21"/>
          <w:color w:val="auto"/>
        </w:rPr>
      </w:pPr>
    </w:p>
    <w:p>
      <w:pPr>
        <w:ind w:firstLine="1790"/>
        <w:spacing w:after="0" w:line="236" w:lineRule="auto"/>
        <w:tabs>
          <w:tab w:leader="none" w:pos="282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consummated a sale, lease, exclusive license or other disposition of all or substantially all of the consolidated assets of the Company Group, other than a sale, lease, license or other disposition of all or substantially all of the consolidated assets of the Company Group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81" w:lineRule="exact"/>
        <w:rPr>
          <w:rFonts w:ascii="Times New Roman" w:cs="Times New Roman" w:eastAsia="Times New Roman" w:hAnsi="Times New Roman"/>
          <w:sz w:val="22"/>
          <w:szCs w:val="22"/>
          <w:color w:val="auto"/>
        </w:rPr>
      </w:pPr>
    </w:p>
    <w:p>
      <w:pPr>
        <w:ind w:right="60" w:firstLine="1790"/>
        <w:spacing w:after="0" w:line="236" w:lineRule="auto"/>
        <w:tabs>
          <w:tab w:leader="none" w:pos="28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at the beginning of any twelve-month period following the date of this Agreement,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cease for any reason to constitute at least a majority of the members of the Board on any subsequent date during such twelve-month period; provided, however, that if the appointment or election (or nomination for election) of any new Board member was approved or recommended by a majority vote of the members of the Incumbent Board then still in office, such new member shall, for purposes of this Agreement, be considered as a member of the Incumbent Board.</w:t>
      </w:r>
    </w:p>
    <w:p>
      <w:pPr>
        <w:spacing w:after="0" w:line="18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or any other provision of this Agreement, the term Change in Control shall not include a sale of assets, merger or other transaction effected exclusively for the purpose of changing the domicile of the Company.</w:t>
      </w:r>
    </w:p>
    <w:p>
      <w:pPr>
        <w:spacing w:after="0" w:line="6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means the Company, each subsidiary and parent of the Company, and any successor, resulting or surviving corporation of the Company or any subsidiary or parent of such successor, resulting or surviving corporation.</w:t>
      </w:r>
    </w:p>
    <w:p>
      <w:pPr>
        <w:spacing w:after="0" w:line="17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Disinterested Director</w:t>
      </w:r>
      <w:r>
        <w:rPr>
          <w:rFonts w:ascii="Times New Roman" w:cs="Times New Roman" w:eastAsia="Times New Roman" w:hAnsi="Times New Roman"/>
          <w:sz w:val="22"/>
          <w:szCs w:val="22"/>
          <w:color w:val="auto"/>
        </w:rPr>
        <w:t>” means a director of the Company who is not and was not a party to the Action in respect of which indemnification is sought by Indemnitee.</w:t>
      </w:r>
    </w:p>
    <w:p>
      <w:pPr>
        <w:spacing w:after="0" w:line="158"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means any corporation, limited liability company, partnership, joint venture, trust or other enterprise, or employee benefit plan.</w:t>
      </w:r>
    </w:p>
    <w:p>
      <w:pPr>
        <w:spacing w:after="0" w:line="158"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3" w:name="page74"/>
    <w:bookmarkEnd w:id="73"/>
    <w:p>
      <w:pPr>
        <w:ind w:right="80"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 Person</w:t>
      </w:r>
      <w:r>
        <w:rPr>
          <w:rFonts w:ascii="Times New Roman" w:cs="Times New Roman" w:eastAsia="Times New Roman" w:hAnsi="Times New Roman"/>
          <w:sz w:val="21"/>
          <w:szCs w:val="21"/>
          <w:color w:val="auto"/>
        </w:rPr>
        <w:t>” means any natural person, Entity or “group” (within the meaning of Section 13(d) or 14(d) of the Exchange Act), except that “Exchange Act Person” shall not include (i) the Company Group, (ii) any employee benefit plan of the Company Group or any trustee or other fiduciary holding securities under an employee benefit plan of the Company Group, (iii) an underwriter temporarily holding securities pursuant to a registered public offering of such securities, or (iv) an Entity Owned, directly or indirectly, by the shareholders of the Company in substantially the same proportions as their Ownership of stock of the Company.</w:t>
      </w:r>
    </w:p>
    <w:p>
      <w:pPr>
        <w:spacing w:after="0" w:line="171"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means any and all expenses, including, without limitation, attorneys’ and experts’ fees, court costs, transcript costs, travel expenses, duplicating, printing and binding costs, telephone charges, retainers and disbursements and advances thereon, the premium, security for, and other costs relating to any bond (including cost bonds, appraisal bonds, or their equivalents), and all other costs and expenses incurred in connection with investigating, defending, prosecuting, being a witness in or participating in (including on appeal), or preparing to defend or prosecute, be a witness or participate in, any Action, including any appeal regarding such Action and including expenses incurred by Indemnitee in establishing or enforcing a right to indemnification or advances under this Agreement. Expenses, however, shall not include amounts paid in settlement by Indemnitee or the amount of judgments or Fines against Indemnitee.</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Fines</w:t>
      </w:r>
      <w:r>
        <w:rPr>
          <w:rFonts w:ascii="Times New Roman" w:cs="Times New Roman" w:eastAsia="Times New Roman" w:hAnsi="Times New Roman"/>
          <w:sz w:val="22"/>
          <w:szCs w:val="22"/>
          <w:color w:val="auto"/>
        </w:rPr>
        <w:t>” include, in addition to fines, any excise taxes assessed on Indemnitee with respect to an employee benefit plan.</w:t>
      </w:r>
    </w:p>
    <w:p>
      <w:pPr>
        <w:spacing w:after="0" w:line="158"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Counsel</w:t>
      </w:r>
      <w:r>
        <w:rPr>
          <w:rFonts w:ascii="Times New Roman" w:cs="Times New Roman" w:eastAsia="Times New Roman" w:hAnsi="Times New Roman"/>
          <w:sz w:val="21"/>
          <w:szCs w:val="21"/>
          <w:color w:val="auto"/>
        </w:rPr>
        <w:t>” means a law firm, or a member of a law firm, that is experienced in matters of corporate law and neither currently is, nor in the five years prior to its selection or appointment has been, retained to represent (i) the Company or Indemnitee in any matter material to either such party (other than with respect to matters concerning Indemnitee under this Agreement or of other indemnitees under similar indemnification agreements) or (ii) any other party to the Action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means that a person or Entity owns, owned, is the owner of or has acquired ownership of securities, directly or indirectly, through any contract, arrangement, understanding, relationship or otherwise and has or shares voting power, which includes the power to vote or to direct the voting, with respect to such securities.</w:t>
      </w:r>
    </w:p>
    <w:p>
      <w:pPr>
        <w:spacing w:after="0" w:line="18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1"/>
          <w:szCs w:val="21"/>
          <w:color w:val="auto"/>
        </w:rPr>
        <w:t>For purposes of this Agreement, if Indemnitee acted in good faith and in a manner Indemnitee reasonably believed to be in the interest of the participants and beneficiaries of an employee benefit plan, Indemnitee shall be deemed to have acted in a manner “</w:t>
      </w:r>
      <w:r>
        <w:rPr>
          <w:rFonts w:ascii="Times New Roman" w:cs="Times New Roman" w:eastAsia="Times New Roman" w:hAnsi="Times New Roman"/>
          <w:sz w:val="21"/>
          <w:szCs w:val="21"/>
          <w:u w:val="single" w:color="auto"/>
          <w:color w:val="auto"/>
        </w:rPr>
        <w:t>in the best interests of the Company</w:t>
      </w:r>
      <w:r>
        <w:rPr>
          <w:rFonts w:ascii="Times New Roman" w:cs="Times New Roman" w:eastAsia="Times New Roman" w:hAnsi="Times New Roman"/>
          <w:sz w:val="21"/>
          <w:szCs w:val="21"/>
          <w:color w:val="auto"/>
        </w:rPr>
        <w:t>” as referred to in this Agreement.</w:t>
      </w:r>
    </w:p>
    <w:p>
      <w:pPr>
        <w:spacing w:after="0" w:line="153"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Third Party Proceedings</w:t>
      </w:r>
      <w:r>
        <w:rPr>
          <w:rFonts w:ascii="Times New Roman" w:cs="Times New Roman" w:eastAsia="Times New Roman" w:hAnsi="Times New Roman"/>
          <w:sz w:val="22"/>
          <w:szCs w:val="22"/>
          <w:color w:val="auto"/>
        </w:rPr>
        <w:t>. To the fullest extent permitted by applicable law but subject to the indemnification limitations set forth in this Agreement, the Company shall indemnify Indemnitee if Indemnitee is or was a party or is threatened to be made a party to any Action (other than an Action by or in the right of the Company to procure a judgment in its favor) by reason of the fact that Indemnitee is or was an Agent against all Expenses, judgments, Fines, amounts paid in settlement and other amounts actually and reasonably incurred by Indemnitee in connection with such Action unless the Company shall establish, in accordance with the procedures described in Sections 4 and 5 of this Agreement, that Indemnitee did not act 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4" w:name="page75"/>
    <w:bookmarkEnd w:id="74"/>
    <w:p>
      <w:pPr>
        <w:ind w:right="280"/>
        <w:spacing w:after="0" w:line="259" w:lineRule="auto"/>
        <w:rPr>
          <w:sz w:val="20"/>
          <w:szCs w:val="20"/>
          <w:color w:val="auto"/>
        </w:rPr>
      </w:pPr>
      <w:r>
        <w:rPr>
          <w:rFonts w:ascii="Times New Roman" w:cs="Times New Roman" w:eastAsia="Times New Roman" w:hAnsi="Times New Roman"/>
          <w:sz w:val="22"/>
          <w:szCs w:val="22"/>
          <w:color w:val="auto"/>
        </w:rPr>
        <w:t>good faith and in a manner Indemnitee reasonably believed to be in the best interests of the Company and, with respect to any criminal Action, had no reasonable cause to believe Indemnitee’s conduct was unlawful.</w:t>
      </w:r>
    </w:p>
    <w:p>
      <w:pPr>
        <w:spacing w:after="0" w:line="157"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Proceedings by or in the Right of the Company</w:t>
      </w:r>
      <w:r>
        <w:rPr>
          <w:rFonts w:ascii="Times New Roman" w:cs="Times New Roman" w:eastAsia="Times New Roman" w:hAnsi="Times New Roman"/>
          <w:sz w:val="21"/>
          <w:szCs w:val="21"/>
          <w:color w:val="auto"/>
        </w:rPr>
        <w:t xml:space="preserve">. To the fullest extent permitted by applicable law but subject to the indemnification limitations set forth in this Agreement, the Company shall indemnify Indemnitee if Indemnitee is or was a party or is threatened to be made a party to any Action by or in the right of the Company to procure a judgment in its favor by reason of the fact that Indemnitee is or was an Agent against all Expenses, judgments, Fines, amounts paid in settlement and other amounts actually and reasonably incurred by Indemnitee in connection with such Action unless the Company shall establish, in accordance with the procedures described in Sections 4 and 5 of this Agreement, that Indemnitee did not act in good faith and in a manner Indemnitee reasonably believed to be in the best interests of the Company and its shareholders;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and to the extent that the approval or determination by a court is required pursuant to applicable law in order for indemnification to be provided in the circumstances described in clause (i), (ii) and/or (iii) of this sentence, no indemnification shall be made by the Company (i) in respect of any claim, issue or matter as to which Indemnitee shall have been adjudged to be liable to the Company in the performance of Indemnitee’s duty to the Company and its shareholders unless and only to the extent that the court in which such Action is or was pending shall determine upon application that, in view of all the circumstances of the case, Indemnitee is fairly and reasonably entitled to indemnification for such Expenses as the court deems proper, (ii) of amounts paid in settling or otherwise disposing of a pending Action without court approval, and (iii) of Expenses incurred in defending a pending Action which is settled or otherwise disposed of without court approval.</w:t>
      </w:r>
    </w:p>
    <w:p>
      <w:pPr>
        <w:spacing w:after="0" w:line="173" w:lineRule="exact"/>
        <w:rPr>
          <w:sz w:val="20"/>
          <w:szCs w:val="20"/>
          <w:color w:val="auto"/>
        </w:rPr>
      </w:pPr>
    </w:p>
    <w:p>
      <w:pPr>
        <w:ind w:right="8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Mandatory Payment of Expenses</w:t>
      </w:r>
      <w:r>
        <w:rPr>
          <w:rFonts w:ascii="Times New Roman" w:cs="Times New Roman" w:eastAsia="Times New Roman" w:hAnsi="Times New Roman"/>
          <w:sz w:val="22"/>
          <w:szCs w:val="22"/>
          <w:color w:val="auto"/>
        </w:rPr>
        <w:t>. To the extent that Indemnitee has been successful on the merits or otherwise, in whole or in part, in defense of any Action referred to in Section 3.1 or 3.2, or in defense of any claim, issue or matter therein, or if it is ultimately determined, by final judicial decision of a court of competent jurisdiction from which there is no further right to appeal, that Indemnitee is otherwise entitled to be indemnified against Expenses, Indemnitee shall be indemnified against all Expenses actually and reasonably incurred by Indemnitee in connection therewith. For these purposes and without limitation, Indemnitee will be deemed to have been “successful on the merits” in circumstances including but not limited to the termination of any Action or of any claim, issue or matter therein, by the winning of a dismissal (with or without prejudice), motion for summary judgment, settlement (with or without court approval), or upon a plea of nolo contendere or its equivalent.</w:t>
      </w:r>
    </w:p>
    <w:p>
      <w:pPr>
        <w:spacing w:after="0" w:line="179" w:lineRule="exact"/>
        <w:rPr>
          <w:sz w:val="20"/>
          <w:szCs w:val="20"/>
          <w:color w:val="auto"/>
        </w:rPr>
      </w:pPr>
    </w:p>
    <w:p>
      <w:pPr>
        <w:ind w:right="220" w:firstLine="1296"/>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Approval of Settlements</w:t>
      </w:r>
      <w:r>
        <w:rPr>
          <w:rFonts w:ascii="Times New Roman" w:cs="Times New Roman" w:eastAsia="Times New Roman" w:hAnsi="Times New Roman"/>
          <w:sz w:val="22"/>
          <w:szCs w:val="22"/>
          <w:color w:val="auto"/>
        </w:rPr>
        <w:t>. Notwithstanding any other provision of this Agreement, the Company shall not be obligated to indemnify Indemnitee for any amounts paid in a settlement entered into by Indemnitee with respect to any Action unless the Company approves in writing such settlement or the Company unreasonably withholds such written approval following not less than ten (10) calendar days prior written notice of the proposed settlement.</w:t>
      </w:r>
    </w:p>
    <w:p>
      <w:pPr>
        <w:spacing w:after="0" w:line="173"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Expenses; Indemnification Procedure.</w:t>
      </w:r>
    </w:p>
    <w:p>
      <w:pPr>
        <w:spacing w:after="0" w:line="210"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The Company shall advance all Expenses actually and reasonably incurred by Indemnitee in connection with any Action referenced in Section 3.1 or 3.2 and in connection with any Action (including an Action under Section 5.1) initiated by Indemnitee to establish or enforce Indemnitee’s right to indemnification or advances under this Agreement. The advances to be made hereunder shall be paid by the Company to Indemnitee within thirty (30) calendar days following delivery of a written request therefor by Indemnitee to the Company. Such request shall reasonably evidence the Expenses incurred by Indemnitee, provided, however, that Indemnitee shall not be required to provide any documentation or information to the extent that the provision thereof would undermine or otherwise jeopardize attorney-client privilege. Advances shall include any and all reasonable Expenses incurred pursuing an Action to enforce this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75" w:name="page76"/>
    <w:bookmarkEnd w:id="75"/>
    <w:p>
      <w:pPr>
        <w:ind w:right="20"/>
        <w:spacing w:after="0" w:line="232" w:lineRule="auto"/>
        <w:rPr>
          <w:sz w:val="20"/>
          <w:szCs w:val="20"/>
          <w:color w:val="auto"/>
        </w:rPr>
      </w:pPr>
      <w:r>
        <w:rPr>
          <w:rFonts w:ascii="Times New Roman" w:cs="Times New Roman" w:eastAsia="Times New Roman" w:hAnsi="Times New Roman"/>
          <w:sz w:val="22"/>
          <w:szCs w:val="22"/>
          <w:color w:val="auto"/>
        </w:rPr>
        <w:t>right of advancement. Advances shall include Expenses actually and reasonably incurred by Indemnitee in preparing and forwarding statements to the Company to support the advances claimed. Advances shall be unsecured and interest free. Advances shall be made without regard to Indemnitee’s ultimate entitlement to indemnification under the other provisions of this Agreement or otherwise, ability to repay the expenses, or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The right to advances under this paragraph shall in all events continue until final disposition of any Action, including any appeal therein. Indemnitee shall qualify for advances upon the execution and delivery to the Company of this Agreement, which shall constitute an undertaking providing that Indemnitee undertakes to the fullest extent permitted by law to repay the advances (without interest) if and to the extent that it is ultimately determined by a court of competent jurisdiction in a final judgment, not subject to further appeal, that Indemnitee is not entitled to be indemnified by the Company. No other form of undertaking shall be required other than the execution of this Agreement. The Company shall not seek from a court, or agree to, a “bar order” which would have the effect of prohibiting or limiting Indemnitee's rights to receive advancement of Expenses under this Agreement.</w:t>
      </w:r>
    </w:p>
    <w:p>
      <w:pPr>
        <w:spacing w:after="0" w:line="192"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Notice to Company by Indemnitee</w:t>
      </w:r>
      <w:r>
        <w:rPr>
          <w:rFonts w:ascii="Times New Roman" w:cs="Times New Roman" w:eastAsia="Times New Roman" w:hAnsi="Times New Roman"/>
          <w:sz w:val="22"/>
          <w:szCs w:val="22"/>
          <w:color w:val="auto"/>
        </w:rPr>
        <w:t>. Indemnitee agrees to notify promptly the Company in writing of any claim made against Indemnitee for which indemnification will or could be sought under this Agreement; provided, however, that a delay in giving such notice will not deprive Indemnitee of any right to be indemnified under this Agreement unless, and then only to the extent that, the Company did not otherwise learn of the Action and such delay is materially prejudicial to the Company’s ability to defend such Action; and, provided, further, that notice will be deemed to have been given without any action on the part of Indemnitee in the event the Company is a party to the same Action. The omission to notify the Company will not relieve the Company from any liability for indemnification which it may have to Indemnitee otherwise than under this Agreement. Notice to the Company pursuant to this Section 4.2, shall be directed to the Chief Executive Officer of the Company at the executive offices of the Company (unless Indemnitee is the Chief Executive Officer, in which case the notice shall be addressed to the Board and to the Chief Financial Officer of the Company). In addition, Indemnitee shall give the Company such information and cooperation as it may reasonably require and as shall be within Indemnitee’s power, but in no case shall Indemnitee be required to convey any information that would cause Indemnitee to waive any privilege accorded by applicable law.</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Determination of Entitlement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 w:firstLine="1952"/>
        <w:spacing w:after="0" w:line="244" w:lineRule="auto"/>
        <w:tabs>
          <w:tab w:leader="none" w:pos="226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there has been a written notice by Indemnitee for indemnification pursuant to Section 4.2, then as soon as is reasonably practicable (but in any event not later than sixty (60) calendar days) after final disposition of the relevant Action, the Company shall make a determination by any of the methods set forth in Section 317(e) of the California Corporations Code, if and in the manner required by applicable law, with respect to Indemnitee’s entitlement thereto; provided, however, that, if a quorum of Disinterested Directors is not obtainable or a Change in Control shall have occurred, the determination shall be made by an Independent Counsel selected pursuant to Section 4.3(ii), with such determination to be made in a written opinion of such Independent Counsel delivered to the Board and Indemnitee within sixty (60) calendar days after such Independent Counsel is appointed. If it is so determined that Indemnitee is entitled to indemnification, payment to Indemnitee shall be made within ten (10) calendar days after such determination. If the person, persons or entity making such determination shall determine that Indemnitee is entitled to indemnification as to part (but not all) of the application for indemnification, such person shall reasonably prorate such partial indemnification among the claims, issues, or matters at issue at the time of the determination. Indemnitee shall reasonably cooperate with the person, persons or entity making such determination with respect to Indemnitee’s entitlement to indemnification, including providing to such person, persons or entity upon reasonable advance request 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76" w:name="page77"/>
    <w:bookmarkEnd w:id="76"/>
    <w:p>
      <w:pPr>
        <w:ind w:right="140"/>
        <w:spacing w:after="0" w:line="238" w:lineRule="auto"/>
        <w:rPr>
          <w:sz w:val="20"/>
          <w:szCs w:val="20"/>
          <w:color w:val="auto"/>
        </w:rPr>
      </w:pPr>
      <w:r>
        <w:rPr>
          <w:rFonts w:ascii="Times New Roman" w:cs="Times New Roman" w:eastAsia="Times New Roman" w:hAnsi="Times New Roman"/>
          <w:sz w:val="22"/>
          <w:szCs w:val="22"/>
          <w:color w:val="auto"/>
        </w:rPr>
        <w:t>documentation or information that is not privileged or otherwise protected from disclosure and that is reasonably available to Indemnitee and reasonably necessary to such determination. All Expenses (including attorneys’ fees and disbursements) actually and reasonably incurred by Indemnitee in so cooperating with the person, persons or entity making such determination shall be borne by the Company (irrespective of the determination as to Indemnitee’s entitlement to indemnification).</w:t>
      </w:r>
    </w:p>
    <w:p>
      <w:pPr>
        <w:spacing w:after="0" w:line="177" w:lineRule="exact"/>
        <w:rPr>
          <w:sz w:val="20"/>
          <w:szCs w:val="20"/>
          <w:color w:val="auto"/>
        </w:rPr>
      </w:pPr>
    </w:p>
    <w:p>
      <w:pPr>
        <w:ind w:right="100" w:firstLine="1952"/>
        <w:spacing w:after="0" w:line="238" w:lineRule="auto"/>
        <w:tabs>
          <w:tab w:leader="none" w:pos="22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occurrence of a Change in Control, entitlement to indemnification is to be determined by an Independent Counsel because a quorum of Disinterested Directors is not obtainable pursuant to Section 4.3(i), such Independent Counsel shall be selected by the Board. If entitlement to indemnification is to be determined by an Independent Counsel after the occurrence of a Change in Control pursuant to Section 4.3(i), such Independent Counsel shall be selected by Indemnitee.</w:t>
      </w:r>
    </w:p>
    <w:p>
      <w:pPr>
        <w:spacing w:after="0" w:line="176" w:lineRule="exact"/>
        <w:rPr>
          <w:rFonts w:ascii="Times New Roman" w:cs="Times New Roman" w:eastAsia="Times New Roman" w:hAnsi="Times New Roman"/>
          <w:sz w:val="22"/>
          <w:szCs w:val="22"/>
          <w:color w:val="auto"/>
        </w:rPr>
      </w:pPr>
    </w:p>
    <w:p>
      <w:pPr>
        <w:ind w:right="80" w:firstLine="1952"/>
        <w:spacing w:after="0" w:line="232" w:lineRule="auto"/>
        <w:tabs>
          <w:tab w:leader="none" w:pos="22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party selecting an Independent Counsel pursuant to Section 4.3(ii) shall give written notice to the other party advising it of the identity of the Independent Counsel so selected. Within ten (10) calendar days after such written notice of selection shall have been received, the notified party may deliver to the selecting party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the Independent Counsel. If such written objection is so made and substantiated, the Independent Counsel so selected may not serve as the Independent Counsel unless and until such objection is withdrawn or a court of competent jurisdiction has determined that such objection is without merit. If, within twenty (20) calendar days after the final disposition of the Action, no Independent Counsel shall have been selected and not objected to, either the Company or Indemnitee may petition a court of competent jurisdiction for resolution of any objection which shall have been made by the Company or Indemnitee to the other party’s selection of the Independent Counsel and/or for the appointment as the Independent Counsel of a person selected by the court or by such other person as the court shall designate, and the person with respect to whom all objections are so resolved or the person so appointed shall act as the Independent Counsel under Section 4.3(i) hereof. Upon the due commencement of any judicial proceeding or arbitration pursuant to Section 5.1 of this Agreement, the Independent Counsel shall be discharged and relieved of any further responsibility in such capacity (subject to the applicable standards of professional conduct then prevailing).</w:t>
      </w:r>
    </w:p>
    <w:p>
      <w:pPr>
        <w:spacing w:after="0" w:line="186" w:lineRule="exact"/>
        <w:rPr>
          <w:rFonts w:ascii="Times New Roman" w:cs="Times New Roman" w:eastAsia="Times New Roman" w:hAnsi="Times New Roman"/>
          <w:sz w:val="22"/>
          <w:szCs w:val="22"/>
          <w:color w:val="auto"/>
        </w:rPr>
      </w:pPr>
    </w:p>
    <w:p>
      <w:pPr>
        <w:ind w:right="600" w:firstLine="1952"/>
        <w:spacing w:after="0" w:line="258" w:lineRule="auto"/>
        <w:tabs>
          <w:tab w:leader="none" w:pos="22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the reasonable fees and expenses of any Independent Counsel serving under this Agreement.</w:t>
      </w:r>
    </w:p>
    <w:p>
      <w:pPr>
        <w:spacing w:after="0" w:line="158"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Presumptions and Burdens of Proof</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2033"/>
        <w:spacing w:after="0" w:line="233" w:lineRule="auto"/>
        <w:tabs>
          <w:tab w:leader="none" w:pos="238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any determination with respect to Indemnitee’s entitlement to indemnification and advances of Expenses under this Agreement, the person, persons or entity making such determination shall, to the fullest extent not prohibited by law, presume that Indemnitee is entitled to indemnification and advances of Expenses under this Agreement and has satisfied all requirements under this Agreement with respect to indemnification and advances of Expenses. The Company shall have, to the fullest extent not prohibited by law, the burden of proof to overcome the presumption described in the preceding sentence in connection with the making of any determination contrary to such presumption. Neither the failure of the person, persons or entity to have made a determination prior to the commencement of an Action pursuant to this Agreement that indemnification or advancement of Expenses is proper in the circumstances because Indemnitee has met the applicable standard of conduct, nor an actual determination by the person, persons or entity that Indemnitee has not met such applicable standard of conduct shall be a defense to the Action or create a presumption that Indemnitee has not met the applicable standard of conduct. Furthermore, any ambiguity in the terms of this Agreement shall be resolved in favor of Indemnitee.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77" w:name="page78"/>
    <w:bookmarkEnd w:id="77"/>
    <w:p>
      <w:pPr>
        <w:ind w:firstLine="2033"/>
        <w:spacing w:after="0" w:line="234" w:lineRule="auto"/>
        <w:tabs>
          <w:tab w:leader="none" w:pos="244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any Action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that he or she reasonably believed to be in or not opposed to the best interests of the Company or its shareholders or, with respect to any criminal Action, that Indemnitee had reasonable cause to believe that Indemnitee’s conduct was unlawful. Additionally, any admission of liability by the Company in connection with any settlement by the Company with a regulatory agency shall not, of itself, create a presumption that Indemnitee did not meet any particular standard of conduct or have any particular belief or that a court has determined that indemnification is not permitted by applicable law or otherwise.</w:t>
      </w:r>
    </w:p>
    <w:p>
      <w:pPr>
        <w:spacing w:after="0" w:line="180" w:lineRule="exact"/>
        <w:rPr>
          <w:rFonts w:ascii="Times New Roman" w:cs="Times New Roman" w:eastAsia="Times New Roman" w:hAnsi="Times New Roman"/>
          <w:sz w:val="22"/>
          <w:szCs w:val="22"/>
          <w:color w:val="auto"/>
        </w:rPr>
      </w:pPr>
    </w:p>
    <w:p>
      <w:pPr>
        <w:ind w:right="20" w:firstLine="2033"/>
        <w:spacing w:after="0" w:line="245" w:lineRule="auto"/>
        <w:tabs>
          <w:tab w:leader="none" w:pos="261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any determination of good faith, Indemnitee shall be presumed to have acted in good faith if Indemnitee’s action is in reliance on the records or books of account of the Company Group, including financial statements, or on information supplied to Indemnitee by the officers of the Company Group in the course of their duties, or on the advice of legal counsel for the Company Group or on information or records given or opinions or reports made to the Company Group or the Board by an independent certified public accountant and/or by an appraiser, financial advisor, compensation consultant or other expert selected by the Company Group or the Board. The provisions of this Section 4.4(iii) shall not be deemed to be exclusive or to limit in any way the other circumstances in which Indemnitee may be deemed or found to have met the applicable standard of conduct set forth in this Agreement. Whether or not the foregoing provisions of this Section 4.4(iii) are satisfied, it shall in any event be presumed that Indemnitee has at all times acted in good faith and in a manner he or she reasonably believed to be in or not opposed to the best interests of the Company and its shareholders.</w:t>
      </w:r>
    </w:p>
    <w:p>
      <w:pPr>
        <w:spacing w:after="0" w:line="177" w:lineRule="exact"/>
        <w:rPr>
          <w:sz w:val="20"/>
          <w:szCs w:val="20"/>
          <w:color w:val="auto"/>
        </w:rPr>
      </w:pPr>
    </w:p>
    <w:p>
      <w:pPr>
        <w:ind w:right="8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Relationship to Other Sources</w:t>
      </w:r>
      <w:r>
        <w:rPr>
          <w:rFonts w:ascii="Times New Roman" w:cs="Times New Roman" w:eastAsia="Times New Roman" w:hAnsi="Times New Roman"/>
          <w:sz w:val="22"/>
          <w:szCs w:val="22"/>
          <w:color w:val="auto"/>
        </w:rPr>
        <w:t>. Indemnitee shall not be required to exercise any rights against any other parties (for example, under any insurance policy purchased by the Company, Indemnitee or any other person or entity) before Indemnitee enforces this Agreement. However, to the extent the Company actually indemnifies Indemnitee or advances Expenses, the Company shall be entitled to enforce any such rights that Indemnitee may have against third parties. Indemnitee shall assist the Company in enforcing those rights if the Company pays Indemnitee’s actual and reasonable Expenses of doing so.</w:t>
      </w:r>
    </w:p>
    <w:p>
      <w:pPr>
        <w:spacing w:after="0" w:line="181" w:lineRule="exact"/>
        <w:rPr>
          <w:sz w:val="20"/>
          <w:szCs w:val="20"/>
          <w:color w:val="auto"/>
        </w:rPr>
      </w:pPr>
    </w:p>
    <w:p>
      <w:pPr>
        <w:ind w:right="2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Defense of Claims</w:t>
      </w:r>
      <w:r>
        <w:rPr>
          <w:rFonts w:ascii="Times New Roman" w:cs="Times New Roman" w:eastAsia="Times New Roman" w:hAnsi="Times New Roman"/>
          <w:sz w:val="22"/>
          <w:szCs w:val="22"/>
          <w:color w:val="auto"/>
        </w:rPr>
        <w:t xml:space="preserve">. The Company shall not settle any Action or claim (in whole or in part) that would impose any Expense, judgment, Fine, penalty, limitation or disclosure obligation with respect to Indemnitee, or that would directly or indirectly constitute or impose any admission or acknowledgment of fault or culpability with respect to Indemnitee, without Indemnitee’s prior written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settlements requiring solely the payment of money either by the Company or by Indemnitee for which the Company is obligated to reimburse Indemnitee promptly and completely, in either case without recourse to Indemnitee, no such consent of Indemnitee shall be required. Indemnitee shall not settle any Action or claim (in whole or in part) that would impose any Expense, judgment, Fine, penalty or limitation on the Company without the Company’s prior written consent, such consent not to be unreasonably withheld.</w:t>
      </w:r>
    </w:p>
    <w:p>
      <w:pPr>
        <w:spacing w:after="0" w:line="183" w:lineRule="exact"/>
        <w:rPr>
          <w:sz w:val="20"/>
          <w:szCs w:val="20"/>
          <w:color w:val="auto"/>
        </w:rPr>
      </w:pPr>
    </w:p>
    <w:p>
      <w:pPr>
        <w:ind w:right="6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Selection of Counsel</w:t>
      </w:r>
      <w:r>
        <w:rPr>
          <w:rFonts w:ascii="Times New Roman" w:cs="Times New Roman" w:eastAsia="Times New Roman" w:hAnsi="Times New Roman"/>
          <w:sz w:val="22"/>
          <w:szCs w:val="22"/>
          <w:color w:val="auto"/>
        </w:rPr>
        <w:t>. If the Company shall be obligated under Section 3 or 4 to indemnify Indemnitee or advance Expenses to Indemnitee in connection with any Action, the Company shall be entitled to assume the defense of such Action, with counsel approved by Indemnitee, such approval not to be unreasonably withheld,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Action; provided that (a) Indemnitee shall have the right to employ separate counsel in any such Action at Indemnitee’s expense; and (b) if (i) the employment of counsel by Indemnitee has been previously authorized by the Company, (ii) Indemnitee shall have reasonably concluded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1" w:right="1039" w:bottom="1440" w:gutter="0" w:footer="0" w:header="0"/>
        </w:sectPr>
      </w:pPr>
    </w:p>
    <w:bookmarkStart w:id="78" w:name="page79"/>
    <w:bookmarkEnd w:id="78"/>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that there may be a conflict of interest between the Company and Indemnitee in the conduct of any such defense, or (iii) the Company shall not, in fact, have employed counsel to assume the defense of such Action, then the fees and expenses of Indemnitee’s counsel shall be at the expense of the Company.</w:t>
      </w:r>
    </w:p>
    <w:p>
      <w:pPr>
        <w:spacing w:after="0" w:line="174" w:lineRule="exact"/>
        <w:rPr>
          <w:sz w:val="20"/>
          <w:szCs w:val="20"/>
          <w:color w:val="auto"/>
        </w:rPr>
      </w:pPr>
    </w:p>
    <w:p>
      <w:pPr>
        <w:ind w:right="2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Effect of Changes in the Law</w:t>
      </w:r>
      <w:r>
        <w:rPr>
          <w:rFonts w:ascii="Times New Roman" w:cs="Times New Roman" w:eastAsia="Times New Roman" w:hAnsi="Times New Roman"/>
          <w:sz w:val="22"/>
          <w:szCs w:val="22"/>
          <w:color w:val="auto"/>
        </w:rPr>
        <w:t>. Notwithstanding any other provision of this Agreement, (i) in the event of any change in any applicable law or judicial interpretation of such law which narrows the right or obligation of the Company to indemnify Indemnitee, such change, to the extent not otherwise required by such law or judicial interpretation to be applied to this Agreement, shall have no effect on this Agreement or the parties’ rights and obligations hereunder, and (ii) in the event of any change in any applicable law or judicial interpretation of such law which expands the right or obligation of the Company to indemnify Indemnitee, Indemnitee shall receive under this Agreement the greater benefit provided by such change, subject to any express indemnification limitations and provisions that are set forth in this Agreement.</w:t>
      </w:r>
    </w:p>
    <w:p>
      <w:pPr>
        <w:spacing w:after="0" w:line="178" w:lineRule="exact"/>
        <w:rPr>
          <w:sz w:val="20"/>
          <w:szCs w:val="20"/>
          <w:color w:val="auto"/>
        </w:rPr>
      </w:pPr>
    </w:p>
    <w:p>
      <w:pPr>
        <w:ind w:right="280" w:firstLine="1296"/>
        <w:spacing w:after="0" w:line="248"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u w:val="single" w:color="auto"/>
          <w:color w:val="auto"/>
        </w:rPr>
        <w:t>Nonexclusivity</w:t>
      </w:r>
      <w:r>
        <w:rPr>
          <w:rFonts w:ascii="Times New Roman" w:cs="Times New Roman" w:eastAsia="Times New Roman" w:hAnsi="Times New Roman"/>
          <w:sz w:val="21"/>
          <w:szCs w:val="21"/>
          <w:color w:val="auto"/>
        </w:rPr>
        <w:t>. The indemnification provided by this Agreement shall not be deemed exclusive of any rights to which Indemnitee may be entitled under the Company’s Articles of Incorporation, its Bylaws, any other agreement, any insurance policy maintained by the Company, any vote of shareholders or disinterested directors, applicable law, or otherwise, both as to action in Indemnitee’s official capacity and as to action in another capacity while holding such office. The indemnification provided under this Agreement shall continue as to Indemnitee from any action taken or not taken while serving in an indemnified capacity even though he or she may have ceased to serve in such capacity at the time of the Action.</w:t>
      </w:r>
    </w:p>
    <w:p>
      <w:pPr>
        <w:spacing w:after="0" w:line="166"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Remedies of Indemnitee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right="40" w:firstLine="1296"/>
        <w:spacing w:after="0" w:line="238" w:lineRule="auto"/>
        <w:rPr>
          <w:sz w:val="20"/>
          <w:szCs w:val="20"/>
          <w:color w:val="auto"/>
        </w:rPr>
      </w:pPr>
      <w:r>
        <w:rPr>
          <w:rFonts w:ascii="Times New Roman" w:cs="Times New Roman" w:eastAsia="Times New Roman" w:hAnsi="Times New Roman"/>
          <w:sz w:val="22"/>
          <w:szCs w:val="22"/>
          <w:color w:val="auto"/>
        </w:rPr>
        <w:t>5.1 In the event of any dispute between Indemnitee and the Company hereunder as to entitlement to indemnification or advancement of Expenses (including where (i) a determination is made pursuant to Section 4.3 of this Agreement that Indemnitee is not entitled to indemnification under this Agreement,</w:t>
      </w:r>
    </w:p>
    <w:p>
      <w:pPr>
        <w:ind w:firstLine="8"/>
        <w:spacing w:after="0" w:line="243" w:lineRule="auto"/>
        <w:tabs>
          <w:tab w:leader="none" w:pos="31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advancement of Expenses is not timely made pursuant to Section 4.1 of this Agreement, (iii) payment of indemnification pursuant to Section 4.3 of this Agreement is not made within ten (10) calendar days after a determination has been made that Indemnitee is entitled to indemnification, or (iv) no determination as to entitlement to indemnification is timely made pursuant to Section 4.3 of this Agreement), then Indemnitee shall be entitled to an adjudication by a court of Indemnitee’s entitlement to such indemnification or advancement. Alternatively, in such case,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spacing w:after="0" w:line="180" w:lineRule="exact"/>
        <w:rPr>
          <w:sz w:val="20"/>
          <w:szCs w:val="20"/>
          <w:color w:val="auto"/>
        </w:rPr>
      </w:pPr>
    </w:p>
    <w:p>
      <w:pPr>
        <w:ind w:right="120" w:firstLine="1296"/>
        <w:spacing w:after="0" w:line="246" w:lineRule="auto"/>
        <w:rPr>
          <w:sz w:val="20"/>
          <w:szCs w:val="20"/>
          <w:color w:val="auto"/>
        </w:rPr>
      </w:pPr>
      <w:r>
        <w:rPr>
          <w:rFonts w:ascii="Times New Roman" w:cs="Times New Roman" w:eastAsia="Times New Roman" w:hAnsi="Times New Roman"/>
          <w:sz w:val="21"/>
          <w:szCs w:val="21"/>
          <w:color w:val="auto"/>
        </w:rPr>
        <w:t>5.2 If a determination shall have been made pursuant to Section 4.3 of this Agreement that Indemnitee is not entitled to indemnification, any judicial proceeding or arbitration commenced pursuant to this Section 5 shall be conducted in all respects as a de novo trial, or arbitration, on the merits, and Indemnitee shall not be prejudiced by reason of that adverse determination. In any judicial proceeding or arbitration commenced pursuant to this Section 5, the Company shall have the burden of proving Indemnitee is not entitled to indemnification or advancement of Expenses and the Company may not refer to or introduce into evidence any determination pursuant to Section 4.3 of this Agreement adverse to Indemnitee for any purpose. If Indemnitee commences a judicial proceeding or arbitration pursuant to this Section 5, Indemnitee shall not be required to reimburse the Company for any advances pursuant to Section 4.1 until a final determination is made with respect to Indemnitee’s entitlement to indemnification (as to which all rights of appeal have been exhausted or lapsed).</w:t>
      </w:r>
    </w:p>
    <w:p>
      <w:pPr>
        <w:spacing w:after="0" w:line="171"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21"/>
          <w:szCs w:val="21"/>
          <w:color w:val="auto"/>
        </w:rPr>
        <w:t>5.3 If a determination shall have been made pursuant to Section 4.3 of this Agreement that Indemnitee is entitled to indemnification, the Company shall be bound by such determination in any judicial</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79" w:name="page80"/>
    <w:bookmarkEnd w:id="79"/>
    <w:p>
      <w:pPr>
        <w:ind w:right="460"/>
        <w:spacing w:after="0"/>
        <w:rPr>
          <w:sz w:val="20"/>
          <w:szCs w:val="20"/>
          <w:color w:val="auto"/>
        </w:rPr>
      </w:pPr>
      <w:r>
        <w:rPr>
          <w:rFonts w:ascii="Times New Roman" w:cs="Times New Roman" w:eastAsia="Times New Roman" w:hAnsi="Times New Roman"/>
          <w:sz w:val="22"/>
          <w:szCs w:val="22"/>
          <w:color w:val="auto"/>
        </w:rPr>
        <w:t>proceeding or arbitration commenced pursuant to this Section 5, absent (i) a misstatement by Indemnitee of a material fact, or an omission of a material fact necessary to make Indemnitee’s statement not materially misleading, in connection with such determination of Indemnitee’s entitlement to indemnification, or (ii) a prohibition of such indemnification under applicable law.</w:t>
      </w:r>
    </w:p>
    <w:p>
      <w:pPr>
        <w:spacing w:after="0" w:line="177" w:lineRule="exact"/>
        <w:rPr>
          <w:sz w:val="20"/>
          <w:szCs w:val="20"/>
          <w:color w:val="auto"/>
        </w:rPr>
      </w:pPr>
    </w:p>
    <w:p>
      <w:pPr>
        <w:ind w:right="300" w:firstLine="1296"/>
        <w:spacing w:after="0" w:line="239" w:lineRule="auto"/>
        <w:rPr>
          <w:sz w:val="20"/>
          <w:szCs w:val="20"/>
          <w:color w:val="auto"/>
        </w:rPr>
      </w:pPr>
      <w:r>
        <w:rPr>
          <w:rFonts w:ascii="Times New Roman" w:cs="Times New Roman" w:eastAsia="Times New Roman" w:hAnsi="Times New Roman"/>
          <w:sz w:val="22"/>
          <w:szCs w:val="22"/>
          <w:color w:val="auto"/>
        </w:rPr>
        <w:t>5.4 The Company shall be precluded from asserting in any judicial proceeding or arbitration commenced pursuant to this Section 5 that the procedures and presumptions of this Agreement are not valid, binding or enforceable and shall stipulate in any such court or before any such arbitrator that the Company is bound by all the provisions of this Agreement.</w:t>
      </w:r>
    </w:p>
    <w:p>
      <w:pPr>
        <w:spacing w:after="0" w:line="180"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1"/>
          <w:szCs w:val="21"/>
          <w:color w:val="auto"/>
        </w:rPr>
        <w:t>5.5 The Company shall indemnify Indemnitee to the fullest extent permitted by applicable law against all Expenses actually and reasonably incurred by Indemnitee in connection with any judicial proceeding or arbitration brought by Indemnitee for (i) indemnification or advances of Expenses by the Company (or otherwise for the enforcement, interpretation or defense of his or her rights) under this Agreement or any other agreement, including any other indemnification or advancement agreement, or any provision of the Company’s Articles of Incorporation or Bylaws now or hereafter in effect or (ii) recovery or advances under any directors’ and officers’ liability insurance policy maintained by the Company, regardless of whether Indemnitee ultimately is determined to be entitled to such indemnification, advancement or insurance recovery, as the case may be; provided, however, that this Section 5.5 shall not apply if, as part of such judicial proceeding or arbitration, the court of competent jurisdiction or the arbitrator, as the case may be, determines that the material assertions made by Indemnitee as a basis for such judicial proceeding or arbitration were not made in good faith or were frivolous.</w:t>
      </w:r>
    </w:p>
    <w:p>
      <w:pPr>
        <w:spacing w:after="0" w:line="177"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5.6 In the event of an Action instituted by or in the name of the Company under this Agreement to enforce or interpret any of the terms of this Agreement, Indemnitee shall be entitled to be paid all Expenses, including attorneys’ fees, actually and reasonably incurred by Indemnitee in defense of such Action (including with respect to Indemnitee’s counterclaims and cross-claims made in such Action), unless as a part of such Action the court determines that all of Indemnitee’s material defenses to such Action were made in bad faith or were frivolous.</w:t>
      </w:r>
    </w:p>
    <w:p>
      <w:pPr>
        <w:spacing w:after="0" w:line="177" w:lineRule="exact"/>
        <w:rPr>
          <w:sz w:val="20"/>
          <w:szCs w:val="20"/>
          <w:color w:val="auto"/>
        </w:rPr>
      </w:pPr>
    </w:p>
    <w:p>
      <w:pPr>
        <w:ind w:right="140" w:firstLine="656"/>
        <w:spacing w:after="0" w:line="237"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Partial Indemnification. </w:t>
      </w:r>
      <w:r>
        <w:rPr>
          <w:rFonts w:ascii="Times New Roman" w:cs="Times New Roman" w:eastAsia="Times New Roman" w:hAnsi="Times New Roman"/>
          <w:sz w:val="22"/>
          <w:szCs w:val="22"/>
          <w:color w:val="auto"/>
        </w:rPr>
        <w:t>If Indemnitee is entitled under any provision of this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by the Company for some or a portion of the Expenses, judgments, Fines, amounts paid in settlement and other amounts actually and reasonably incurred by Indemnitee in connection with any Action, but not, however, for the total amount thereof, the Company shall nevertheless indemnify Indemnitee for the portion of such Expenses, judgments, amounts paid in settlement, Fines and other amounts to which Indemnitee is entitled.</w:t>
      </w:r>
    </w:p>
    <w:p>
      <w:pPr>
        <w:spacing w:after="0" w:line="175" w:lineRule="exact"/>
        <w:rPr>
          <w:rFonts w:ascii="Times New Roman" w:cs="Times New Roman" w:eastAsia="Times New Roman" w:hAnsi="Times New Roman"/>
          <w:sz w:val="22"/>
          <w:szCs w:val="22"/>
          <w:color w:val="auto"/>
        </w:rPr>
      </w:pPr>
    </w:p>
    <w:p>
      <w:pPr>
        <w:ind w:firstLine="656"/>
        <w:spacing w:after="0" w:line="234" w:lineRule="auto"/>
        <w:tabs>
          <w:tab w:leader="none" w:pos="129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If any provision or provisions of this Agreement shall be held to be invalid, illegal,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unenforceable as applied to any person or entity or circumstance for any reason whatsoever, then, to the fullest extent permitted by law (a) the validity, legality, and enforceability of such provision in any other circumstance and of the remaining provisions of this Agreement (including, without limitation, all portions of any paragraphs of this Agreement containing any such provision held to be invalid, illegal, or unenforceable, that are not by themselves invalid, illegal, or unenforceable) and the application of such provision to other persons or entities or circumstances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of the parties that the Company provide protection to Indemnitee to the fullest extent set forth in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80" w:name="page81"/>
    <w:bookmarkEnd w:id="80"/>
    <w:p>
      <w:pPr>
        <w:ind w:right="20" w:firstLine="656"/>
        <w:spacing w:after="0" w:line="262" w:lineRule="auto"/>
        <w:tabs>
          <w:tab w:leader="none" w:pos="12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Exceptions. </w:t>
      </w:r>
      <w:r>
        <w:rPr>
          <w:rFonts w:ascii="Times New Roman" w:cs="Times New Roman" w:eastAsia="Times New Roman" w:hAnsi="Times New Roman"/>
          <w:sz w:val="22"/>
          <w:szCs w:val="22"/>
          <w:color w:val="auto"/>
        </w:rPr>
        <w:t>Any other provision herein to the contrary notwithstanding,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pursuant to the terms of this Agreement:</w:t>
      </w:r>
    </w:p>
    <w:p>
      <w:pPr>
        <w:spacing w:after="0" w:line="154"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Claims Initiated by Indemnitee</w:t>
      </w:r>
      <w:r>
        <w:rPr>
          <w:rFonts w:ascii="Times New Roman" w:cs="Times New Roman" w:eastAsia="Times New Roman" w:hAnsi="Times New Roman"/>
          <w:sz w:val="22"/>
          <w:szCs w:val="22"/>
          <w:color w:val="auto"/>
        </w:rPr>
        <w:t>. To indemnify or advance Expenses to Indemnitee with respect to an Action initiated or brought voluntarily by Indemnitee and not by way of defense unless the Company has authorized or ratified the initiation or bringing of such Action in writing or unless such Action is brought by Indemnitee to establish or enforce a right to indemnification under this Agreement or under the Company’s Articles of Incorporation, its Bylaws, any other agreement, any insurance policy maintained by the Company, applicable law or otherwise; or</w:t>
      </w:r>
    </w:p>
    <w:p>
      <w:pPr>
        <w:spacing w:after="0" w:line="181" w:lineRule="exact"/>
        <w:rPr>
          <w:sz w:val="20"/>
          <w:szCs w:val="20"/>
          <w:color w:val="auto"/>
        </w:rPr>
      </w:pPr>
    </w:p>
    <w:p>
      <w:pPr>
        <w:ind w:right="16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Lack of Good Faith</w:t>
      </w:r>
      <w:r>
        <w:rPr>
          <w:rFonts w:ascii="Times New Roman" w:cs="Times New Roman" w:eastAsia="Times New Roman" w:hAnsi="Times New Roman"/>
          <w:sz w:val="22"/>
          <w:szCs w:val="22"/>
          <w:color w:val="auto"/>
        </w:rPr>
        <w:t>. To indemnify Indemnitee for any Expenses incurred by Indemnitee with respect to any Action initiated by Indemnitee to enforce or interpret this Agreement, if a court of competent jurisdiction in a final adjudication not subject to further appeal determines that each of the material assertions made by Indemnitee in such Action was not made in good faith or was frivolous; or</w:t>
      </w:r>
    </w:p>
    <w:p>
      <w:pPr>
        <w:spacing w:after="0" w:line="180" w:lineRule="exact"/>
        <w:rPr>
          <w:sz w:val="20"/>
          <w:szCs w:val="20"/>
          <w:color w:val="auto"/>
        </w:rPr>
      </w:pPr>
    </w:p>
    <w:p>
      <w:pPr>
        <w:ind w:right="60" w:firstLine="1296"/>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No Duplication of Payments</w:t>
      </w:r>
      <w:r>
        <w:rPr>
          <w:rFonts w:ascii="Times New Roman" w:cs="Times New Roman" w:eastAsia="Times New Roman" w:hAnsi="Times New Roman"/>
          <w:sz w:val="22"/>
          <w:szCs w:val="22"/>
          <w:color w:val="auto"/>
        </w:rPr>
        <w:t>. To make any payment in connection with any claim made against Indemnitee to the extent Indemnitee has otherwise received payment (under any insurance policy maintained by the Company, the Articles of Incorporation or Bylaws of the Company, another agreement or otherwise) of the amounts otherwise indemnifiable hereunder; if the Company makes any indemnification payment to Indemnitee in connection with any claim made against Indemnitee and Indemnitee has already received or thereafter receives payments in connection with the same claim, then Indemnitee shall reimburse the Company in an amount equal to the lesser of (i) the amount of the payment otherwise received by Indemnitee and (ii) the full amount of the indemnification payment made by the Company; or</w:t>
      </w:r>
    </w:p>
    <w:p>
      <w:pPr>
        <w:spacing w:after="0" w:line="178" w:lineRule="exact"/>
        <w:rPr>
          <w:sz w:val="20"/>
          <w:szCs w:val="20"/>
          <w:color w:val="auto"/>
        </w:rPr>
      </w:pPr>
    </w:p>
    <w:p>
      <w:pPr>
        <w:ind w:right="36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Indemnification Prohibited by Applicable Law</w:t>
      </w:r>
      <w:r>
        <w:rPr>
          <w:rFonts w:ascii="Times New Roman" w:cs="Times New Roman" w:eastAsia="Times New Roman" w:hAnsi="Times New Roman"/>
          <w:sz w:val="22"/>
          <w:szCs w:val="22"/>
          <w:color w:val="auto"/>
        </w:rPr>
        <w:t>. To indemnify or advance Expenses to Indemnitee if such indemnification or advance of Expenses is prohibited by applicable law as determined by a court of competent jurisdiction in a final adjudication not subject to further appeal; or</w:t>
      </w:r>
    </w:p>
    <w:p>
      <w:pPr>
        <w:spacing w:after="0" w:line="173" w:lineRule="exact"/>
        <w:rPr>
          <w:sz w:val="20"/>
          <w:szCs w:val="20"/>
          <w:color w:val="auto"/>
        </w:rPr>
      </w:pPr>
    </w:p>
    <w:p>
      <w:pPr>
        <w:jc w:val="both"/>
        <w:ind w:right="2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To indemnify or advance Expenses to Indemnitee with respect to an Action if Indemnitee’s employment agreement with the Company or any other member of the Company Group expressly states that the Company is not obligated to provide indemnification or advance Expenses with respect to such Action; or</w:t>
      </w:r>
    </w:p>
    <w:p>
      <w:pPr>
        <w:spacing w:after="0" w:line="180" w:lineRule="exact"/>
        <w:rPr>
          <w:sz w:val="20"/>
          <w:szCs w:val="20"/>
          <w:color w:val="auto"/>
        </w:rPr>
      </w:pPr>
    </w:p>
    <w:p>
      <w:pPr>
        <w:ind w:right="38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Claims under Section 16(b)</w:t>
      </w:r>
      <w:r>
        <w:rPr>
          <w:rFonts w:ascii="Times New Roman" w:cs="Times New Roman" w:eastAsia="Times New Roman" w:hAnsi="Times New Roman"/>
          <w:sz w:val="22"/>
          <w:szCs w:val="22"/>
          <w:color w:val="auto"/>
        </w:rPr>
        <w:t>. To indemnify Indemnitee for Expenses and the payment of profits arising from the purchase and sale by Indemnitee of securities in violation of Section 16(b) of the Exchange Act or any similar successor statute; or</w:t>
      </w:r>
    </w:p>
    <w:p>
      <w:pPr>
        <w:spacing w:after="0" w:line="173" w:lineRule="exact"/>
        <w:rPr>
          <w:sz w:val="20"/>
          <w:szCs w:val="20"/>
          <w:color w:val="auto"/>
        </w:rPr>
      </w:pPr>
    </w:p>
    <w:p>
      <w:pPr>
        <w:ind w:right="40" w:firstLine="1296"/>
        <w:spacing w:after="0" w:line="234"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Claims under Sarbanes-Oxley Act of 2002; Clawbacks of Compensation</w:t>
      </w:r>
      <w:r>
        <w:rPr>
          <w:rFonts w:ascii="Times New Roman" w:cs="Times New Roman" w:eastAsia="Times New Roman" w:hAnsi="Times New Roman"/>
          <w:sz w:val="22"/>
          <w:szCs w:val="22"/>
          <w:color w:val="auto"/>
        </w:rPr>
        <w:t>. To indemnify Indemnitee for (i)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(ii) the payment to the Company of profits arising from the purchase and sale by Indemnitee of securities in violation of Section 306 of the Sarbanes-Oxley Act of 2002), or (iii) any reimbursement of the Company by Indemnitee of any compensation pursuant to any compensation recoupment or clawback policy adopted by the Board or the Company’s Compensation Committee.</w:t>
      </w:r>
    </w:p>
    <w:p>
      <w:pPr>
        <w:spacing w:after="0" w:line="179"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Liability Insurance; Subrogation.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08" w:right="1019" w:bottom="1440" w:gutter="0" w:footer="0" w:header="0"/>
        </w:sectPr>
      </w:pPr>
    </w:p>
    <w:bookmarkStart w:id="81" w:name="page82"/>
    <w:bookmarkEnd w:id="81"/>
    <w:p>
      <w:pPr>
        <w:ind w:firstLine="1296"/>
        <w:spacing w:after="0" w:line="236" w:lineRule="auto"/>
        <w:rPr>
          <w:sz w:val="20"/>
          <w:szCs w:val="20"/>
          <w:color w:val="auto"/>
        </w:rPr>
      </w:pPr>
      <w:r>
        <w:rPr>
          <w:rFonts w:ascii="Times New Roman" w:cs="Times New Roman" w:eastAsia="Times New Roman" w:hAnsi="Times New Roman"/>
          <w:sz w:val="22"/>
          <w:szCs w:val="22"/>
          <w:color w:val="auto"/>
        </w:rPr>
        <w:t>9.1 The Company shall give prompt notice of the commencement of each Action to its directors’ and officers’ liability insurers in accordance with the procedures set forth in the respective policies. The Company shall thereafter take all necessary or desirable action to cause such insurers to pay, on behalf of Indemnitee, all amounts payable as a result of each Action in accordance with the terms of such policies. The Company at its discretion may instruct the insurers and their insurance brokers that they may communicate directly with Indemnitee regarding such Action.</w:t>
      </w:r>
    </w:p>
    <w:p>
      <w:pPr>
        <w:spacing w:after="0" w:line="182" w:lineRule="exact"/>
        <w:rPr>
          <w:sz w:val="20"/>
          <w:szCs w:val="20"/>
          <w:color w:val="auto"/>
        </w:rPr>
      </w:pPr>
    </w:p>
    <w:p>
      <w:pPr>
        <w:ind w:firstLine="1296"/>
        <w:spacing w:after="0" w:line="244" w:lineRule="auto"/>
        <w:rPr>
          <w:sz w:val="20"/>
          <w:szCs w:val="20"/>
          <w:color w:val="auto"/>
        </w:rPr>
      </w:pPr>
      <w:r>
        <w:rPr>
          <w:rFonts w:ascii="Times New Roman" w:cs="Times New Roman" w:eastAsia="Times New Roman" w:hAnsi="Times New Roman"/>
          <w:sz w:val="21"/>
          <w:szCs w:val="21"/>
          <w:color w:val="auto"/>
        </w:rPr>
        <w:t>9.2 At all times during which the Company has actual or potential indemnification obligations to Indemnitee under this Agreement, the Company shall purchase and maintain at the Company’s expense a policy or policies of insurance with a reputable insurance company or companies providing Indemnitee and other directors and executive officers of the Company with a commercially reasonable amount of coverage against Expenses, judgments, Fines, amounts paid in settlement and other amounts and liabilities asserted against them, or incurred by them, with respect to Actions brought or threatened against them by reason of the fact that they are or were serving as Agents, regardless as to whether the Company has the power to indemnify Indemnitee and such other directors and officers under this Agreement and other indemnification agreements. In all such policies of liability insurance (including with respect to the period after Indemnitee has ceased to serve as a director or an officer of the Company),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The Company shall pay any and all premiums, deductibles, retentions and similar payments that are owed under such policies of liability insurance and shall comply with all the terms of such policies of liability insurance.</w:t>
      </w:r>
    </w:p>
    <w:p>
      <w:pPr>
        <w:spacing w:after="0" w:line="181" w:lineRule="exact"/>
        <w:rPr>
          <w:sz w:val="20"/>
          <w:szCs w:val="20"/>
          <w:color w:val="auto"/>
        </w:rPr>
      </w:pPr>
    </w:p>
    <w:p>
      <w:pPr>
        <w:ind w:right="160" w:firstLine="1296"/>
        <w:spacing w:after="0" w:line="235" w:lineRule="auto"/>
        <w:rPr>
          <w:sz w:val="20"/>
          <w:szCs w:val="20"/>
          <w:color w:val="auto"/>
        </w:rPr>
      </w:pPr>
      <w:r>
        <w:rPr>
          <w:rFonts w:ascii="Times New Roman" w:cs="Times New Roman" w:eastAsia="Times New Roman" w:hAnsi="Times New Roman"/>
          <w:sz w:val="22"/>
          <w:szCs w:val="22"/>
          <w:color w:val="auto"/>
        </w:rPr>
        <w:t>9.3 In the event of any payment by the Company under this Agreement, the Company shall be subrogated to the extent of such payment to all of the rights of recovery of Indemnitee with respect to any insurance policy purchased by the Company. Indemnitee shall execute all papers reasonably required and shall take all action reasonably necessary to secure such rights, including the execution of documents reasonably necessary to enable the Company effectively to bring suit to enforce such rights. The Company shall pay or reimburse Indemnitee for all Expenses actually and reasonably incurred by Indemnitee in connection with such subrogation.</w:t>
      </w:r>
    </w:p>
    <w:p>
      <w:pPr>
        <w:spacing w:after="0" w:line="179" w:lineRule="exact"/>
        <w:rPr>
          <w:sz w:val="20"/>
          <w:szCs w:val="20"/>
          <w:color w:val="auto"/>
        </w:rPr>
      </w:pPr>
    </w:p>
    <w:p>
      <w:pPr>
        <w:ind w:right="120" w:firstLine="656"/>
        <w:spacing w:after="0" w:line="235"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Execution; Amendments</w:t>
      </w:r>
      <w:r>
        <w:rPr>
          <w:rFonts w:ascii="Times New Roman" w:cs="Times New Roman" w:eastAsia="Times New Roman" w:hAnsi="Times New Roman"/>
          <w:sz w:val="22"/>
          <w:szCs w:val="22"/>
          <w:color w:val="auto"/>
        </w:rPr>
        <w:t>. This Agreement may be executed in two or more counterparts,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This Agreement may not be amended, modified or terminated except pursuant to a writing executed by Indemnitee and the Company.</w:t>
      </w:r>
    </w:p>
    <w:p>
      <w:pPr>
        <w:spacing w:after="0" w:line="178" w:lineRule="exact"/>
        <w:rPr>
          <w:rFonts w:ascii="Times New Roman" w:cs="Times New Roman" w:eastAsia="Times New Roman" w:hAnsi="Times New Roman"/>
          <w:sz w:val="22"/>
          <w:szCs w:val="22"/>
          <w:color w:val="auto"/>
        </w:rPr>
      </w:pPr>
    </w:p>
    <w:p>
      <w:pPr>
        <w:ind w:right="60" w:firstLine="656"/>
        <w:spacing w:after="0" w:line="235"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Successors and Assigns. </w:t>
      </w:r>
      <w:r>
        <w:rPr>
          <w:rFonts w:ascii="Times New Roman" w:cs="Times New Roman" w:eastAsia="Times New Roman" w:hAnsi="Times New Roman"/>
          <w:sz w:val="22"/>
          <w:szCs w:val="22"/>
          <w:color w:val="auto"/>
        </w:rPr>
        <w:t>This Agreement shall be binding upon, and shall be enforceable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 against, the Company and its successors and assigns and shall inure to the benefit of Indemnitee and Indemnitee’s estate, heirs, legal representatives and assigns. Without limiting the generality of the preceding sentence, this Agreement shall be binding upon, and shall be enforceable by Indemnitee against, any Entity that acquires all or substantially all of the assets or outstanding securities of the Company in a merger, consolidation, purchase of assets or other transaction, provided that no such transaction shall relieve the Company of its obligations under this Agreement. In addition, the Company shall require and cause any successor (whether direct or indirect by purchase, merger, consolidation or otherwise) to all, substantially all, or a substantial part, of the business and/or assets of the Company, by written agreement in form and substance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2" w:name="page83"/>
    <w:bookmarkEnd w:id="82"/>
    <w:p>
      <w:pPr>
        <w:ind w:right="40"/>
        <w:spacing w:after="0" w:line="259" w:lineRule="auto"/>
        <w:rPr>
          <w:sz w:val="20"/>
          <w:szCs w:val="20"/>
          <w:color w:val="auto"/>
        </w:rPr>
      </w:pPr>
      <w:r>
        <w:rPr>
          <w:rFonts w:ascii="Times New Roman" w:cs="Times New Roman" w:eastAsia="Times New Roman" w:hAnsi="Times New Roman"/>
          <w:sz w:val="22"/>
          <w:szCs w:val="22"/>
          <w:color w:val="auto"/>
        </w:rPr>
        <w:t>satisfactory to Indemnitee, expressly to assume and agree to perform this Agreement and indemnify Indemnitee to the fullest extent permitted by law.</w:t>
      </w:r>
    </w:p>
    <w:p>
      <w:pPr>
        <w:spacing w:after="0" w:line="153" w:lineRule="exact"/>
        <w:rPr>
          <w:sz w:val="20"/>
          <w:szCs w:val="20"/>
          <w:color w:val="auto"/>
        </w:rPr>
      </w:pPr>
    </w:p>
    <w:p>
      <w:pPr>
        <w:ind w:right="160" w:firstLine="656"/>
        <w:spacing w:after="0" w:line="247" w:lineRule="auto"/>
        <w:tabs>
          <w:tab w:leader="none" w:pos="129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Information Sharing. </w:t>
      </w:r>
      <w:r>
        <w:rPr>
          <w:rFonts w:ascii="Times New Roman" w:cs="Times New Roman" w:eastAsia="Times New Roman" w:hAnsi="Times New Roman"/>
          <w:sz w:val="21"/>
          <w:szCs w:val="21"/>
          <w:color w:val="auto"/>
        </w:rPr>
        <w:t>If Indemnitee is the subject of or is implicated in any way during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investigation, whether formal or informal, the Company shall promptly notify Indemnitee of such investigation. The Company shall further share with Indemnitee any information it has turned over to any third parties concerning the investigation (“</w:t>
      </w:r>
      <w:r>
        <w:rPr>
          <w:rFonts w:ascii="Times New Roman" w:cs="Times New Roman" w:eastAsia="Times New Roman" w:hAnsi="Times New Roman"/>
          <w:sz w:val="21"/>
          <w:szCs w:val="21"/>
          <w:u w:val="single" w:color="auto"/>
          <w:color w:val="auto"/>
        </w:rPr>
        <w:t>Shared Information</w:t>
      </w:r>
      <w:r>
        <w:rPr>
          <w:rFonts w:ascii="Times New Roman" w:cs="Times New Roman" w:eastAsia="Times New Roman" w:hAnsi="Times New Roman"/>
          <w:sz w:val="21"/>
          <w:szCs w:val="21"/>
          <w:color w:val="auto"/>
        </w:rPr>
        <w:t xml:space="preserve">”) at the time such information is so furnished. By executing this Agreement, Indemnitee agrees that such Shared Information is material non-public information that Indemnitee is obligated to hold in confidence and may not disclose publicly;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Indemnitee is permitted to use the Shared Information and to disclose such Shared Information to Indemnitee’s legal counsel and third parties solely in connection with defending Indemnitee from legal liability.</w:t>
      </w:r>
    </w:p>
    <w:p>
      <w:pPr>
        <w:spacing w:after="0" w:line="171" w:lineRule="exact"/>
        <w:rPr>
          <w:rFonts w:ascii="Times New Roman" w:cs="Times New Roman" w:eastAsia="Times New Roman" w:hAnsi="Times New Roman"/>
          <w:sz w:val="21"/>
          <w:szCs w:val="21"/>
          <w:color w:val="auto"/>
        </w:rPr>
      </w:pPr>
    </w:p>
    <w:p>
      <w:pPr>
        <w:ind w:right="20" w:firstLine="656"/>
        <w:spacing w:after="0" w:line="245" w:lineRule="auto"/>
        <w:tabs>
          <w:tab w:leader="none" w:pos="129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Contribution</w:t>
      </w:r>
      <w:r>
        <w:rPr>
          <w:rFonts w:ascii="Times New Roman" w:cs="Times New Roman" w:eastAsia="Times New Roman" w:hAnsi="Times New Roman"/>
          <w:sz w:val="21"/>
          <w:szCs w:val="21"/>
          <w:color w:val="auto"/>
        </w:rPr>
        <w:t>. If the indemnification provided pursuant to this Agreement is unavailable in whole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in part and may not be paid to Indemnitee for any reason other than those set forth in Section 8, then in respect to an Action in which the Company is jointly liable with Indemnitee (or would be if joined in such Action), to the fullest extent permissible under applicable law, the Company, in lieu of indemnifying and holding harmless Indemnitee, shall pay, in the first instance, the entire amount incurred by Indemnitee, whether for Expenses, judgments, Fines, decisions of arbitrators, penalties, and/or amounts paid or to be paid in settlement, in connection with any Action without requiring Indemnitee to contribute to such payment, and the Company hereby waives and relinquishes any right of contribution it may have at any time against Indemnitee;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right to contribution described in this section shall terminate at the time the Company concludes (pursuant to the terms of this Agreement) that (i) Indemnitee is not entitled to indemnification pursuant to this Agreement, or (ii) such indemnification obligation to Indemnitee has been fully discharged by the Company.</w:t>
      </w:r>
    </w:p>
    <w:p>
      <w:pPr>
        <w:spacing w:after="0" w:line="177" w:lineRule="exact"/>
        <w:rPr>
          <w:rFonts w:ascii="Times New Roman" w:cs="Times New Roman" w:eastAsia="Times New Roman" w:hAnsi="Times New Roman"/>
          <w:sz w:val="21"/>
          <w:szCs w:val="21"/>
          <w:color w:val="auto"/>
        </w:rPr>
      </w:pPr>
    </w:p>
    <w:p>
      <w:pPr>
        <w:ind w:firstLine="656"/>
        <w:spacing w:after="0" w:line="235"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Notices. </w:t>
      </w:r>
      <w:r>
        <w:rPr>
          <w:rFonts w:ascii="Times New Roman" w:cs="Times New Roman" w:eastAsia="Times New Roman" w:hAnsi="Times New Roman"/>
          <w:sz w:val="22"/>
          <w:szCs w:val="22"/>
          <w:color w:val="auto"/>
        </w:rPr>
        <w:t>All notices, requests, demands and other communications (collectively,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given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shall be in writing, and shall be delivered by personal service, courier, facsimile transmission or by United States first class, registered or certified mail, postage prepaid, addressed to the Company at its principal executive offices or to Indemnitee at the address set forth on the signature page of this Agreement. Any Notice, other than a Notice sent by registered or certified mail, shall be effective when received; a Notice sent by registered or certified mail, postage prepaid return receipt requested, shall be effective on the earlier of when received or the third day following deposit in the United States mails. Any party may from time to time change its address for further Notices hereunder by giving notice to the other party in the manner prescribed in this Section.</w:t>
      </w:r>
    </w:p>
    <w:p>
      <w:pPr>
        <w:spacing w:after="0" w:line="173" w:lineRule="exact"/>
        <w:rPr>
          <w:rFonts w:ascii="Times New Roman" w:cs="Times New Roman" w:eastAsia="Times New Roman" w:hAnsi="Times New Roman"/>
          <w:sz w:val="22"/>
          <w:szCs w:val="22"/>
          <w:color w:val="auto"/>
        </w:rPr>
      </w:pPr>
    </w:p>
    <w:p>
      <w:pPr>
        <w:ind w:right="60" w:firstLine="656"/>
        <w:spacing w:after="0" w:line="238"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Consent to Jurisdiction. </w:t>
      </w:r>
      <w:r>
        <w:rPr>
          <w:rFonts w:ascii="Times New Roman" w:cs="Times New Roman" w:eastAsia="Times New Roman" w:hAnsi="Times New Roman"/>
          <w:sz w:val="22"/>
          <w:szCs w:val="22"/>
          <w:color w:val="auto"/>
        </w:rPr>
        <w:t>Each of the Company and Indemnitee irrevocably consents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of the courts of the State of California for all purposes in connection with any Action which arises out of or relates to this Agreement and agrees that, except with respect to an arbitration commenced by Indemnitee pursuant to Section 5.1, any Action instituted under this Agreement shall be brought only in the state courts of the State of California or in federal courts located in such State.</w:t>
      </w:r>
    </w:p>
    <w:p>
      <w:pPr>
        <w:spacing w:after="0" w:line="176" w:lineRule="exact"/>
        <w:rPr>
          <w:rFonts w:ascii="Times New Roman" w:cs="Times New Roman" w:eastAsia="Times New Roman" w:hAnsi="Times New Roman"/>
          <w:sz w:val="22"/>
          <w:szCs w:val="22"/>
          <w:color w:val="auto"/>
        </w:rPr>
      </w:pPr>
    </w:p>
    <w:p>
      <w:pPr>
        <w:ind w:right="60" w:firstLine="656"/>
        <w:spacing w:after="0" w:line="262" w:lineRule="auto"/>
        <w:tabs>
          <w:tab w:leader="none" w:pos="129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Agreement shall be governed by and its provisions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laws of the State of California without regard to its conflict of laws rules.</w:t>
      </w:r>
    </w:p>
    <w:p>
      <w:pPr>
        <w:spacing w:after="0" w:line="149" w:lineRule="exact"/>
        <w:rPr>
          <w:rFonts w:ascii="Times New Roman" w:cs="Times New Roman" w:eastAsia="Times New Roman" w:hAnsi="Times New Roman"/>
          <w:sz w:val="22"/>
          <w:szCs w:val="22"/>
          <w:color w:val="auto"/>
        </w:rPr>
      </w:pPr>
    </w:p>
    <w:p>
      <w:pPr>
        <w:jc w:val="both"/>
        <w:ind w:right="100" w:firstLine="656"/>
        <w:spacing w:after="0" w:line="263" w:lineRule="auto"/>
        <w:tabs>
          <w:tab w:leader="none" w:pos="129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Interpretation. </w:t>
      </w:r>
      <w:r>
        <w:rPr>
          <w:rFonts w:ascii="Times New Roman" w:cs="Times New Roman" w:eastAsia="Times New Roman" w:hAnsi="Times New Roman"/>
          <w:sz w:val="21"/>
          <w:szCs w:val="21"/>
          <w:color w:val="auto"/>
        </w:rPr>
        <w:t>As used in this Agreement, the word “including” means without limitation,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word “or” is exclusive and the words “herein,” “hereof,” “hereto” and “hereunder” refer to this Agreement as a whole. Unless the context otherwise requires, references herein to Sections mean the Sections of this Agreement.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3" w:name="page84"/>
    <w:bookmarkEnd w:id="83"/>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executed and delivered this Agreement as of the date first written above.</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-7620</wp:posOffset>
            </wp:positionV>
            <wp:extent cx="21971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97100" cy="8255"/>
                    </a:xfrm>
                    <a:prstGeom prst="rect">
                      <a:avLst/>
                    </a:prstGeom>
                    <a:noFill/>
                  </pic:spPr>
                </pic:pic>
              </a:graphicData>
            </a:graphic>
          </wp:anchor>
        </w:drawing>
      </w:r>
    </w:p>
    <w:p>
      <w:pPr>
        <w:spacing w:after="0" w:line="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20345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3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2998470</wp:posOffset>
            </wp:positionH>
            <wp:positionV relativeFrom="paragraph">
              <wp:posOffset>-7620</wp:posOffset>
            </wp:positionV>
            <wp:extent cx="20516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1685" cy="8890"/>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INDEMNITEE: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2205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22059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0599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Signature</w:t>
      </w: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22059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05990" cy="889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22059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0599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40"/>
          </w:cols>
          <w:pgMar w:left="980" w:top="111" w:right="1279" w:bottom="1440" w:gutter="0" w:footer="0" w:header="0"/>
        </w:sectPr>
      </w:pPr>
    </w:p>
    <w:bookmarkStart w:id="84" w:name="page85"/>
    <w:bookmarkEnd w:id="8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Brian Kocher, certify that:</w:t>
      </w:r>
    </w:p>
    <w:p>
      <w:pPr>
        <w:spacing w:after="0" w:line="221" w:lineRule="exact"/>
        <w:rPr>
          <w:sz w:val="20"/>
          <w:szCs w:val="20"/>
          <w:color w:val="auto"/>
        </w:rPr>
      </w:pPr>
    </w:p>
    <w:p>
      <w:pPr>
        <w:ind w:left="700" w:hanging="656"/>
        <w:spacing w:after="0"/>
        <w:tabs>
          <w:tab w:leader="none" w:pos="7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21" w:lineRule="exact"/>
        <w:rPr>
          <w:rFonts w:ascii="Times New Roman" w:cs="Times New Roman" w:eastAsia="Times New Roman" w:hAnsi="Times New Roman"/>
          <w:sz w:val="16"/>
          <w:szCs w:val="16"/>
          <w:color w:val="auto"/>
        </w:rPr>
      </w:pPr>
    </w:p>
    <w:p>
      <w:pPr>
        <w:ind w:left="700" w:right="179" w:hanging="656"/>
        <w:spacing w:after="0" w:line="272" w:lineRule="auto"/>
        <w:tabs>
          <w:tab w:leader="none" w:pos="7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Times New Roman" w:cs="Times New Roman" w:eastAsia="Times New Roman" w:hAnsi="Times New Roman"/>
          <w:sz w:val="16"/>
          <w:szCs w:val="16"/>
          <w:color w:val="auto"/>
        </w:rPr>
      </w:pPr>
    </w:p>
    <w:p>
      <w:pPr>
        <w:ind w:left="700" w:right="239" w:hanging="656"/>
        <w:spacing w:after="0" w:line="272" w:lineRule="auto"/>
        <w:tabs>
          <w:tab w:leader="none" w:pos="7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Times New Roman" w:cs="Times New Roman" w:eastAsia="Times New Roman" w:hAnsi="Times New Roman"/>
          <w:sz w:val="16"/>
          <w:szCs w:val="16"/>
          <w:color w:val="auto"/>
        </w:rPr>
      </w:pPr>
    </w:p>
    <w:p>
      <w:pPr>
        <w:ind w:left="700" w:right="539" w:hanging="656"/>
        <w:spacing w:after="0" w:line="272" w:lineRule="auto"/>
        <w:tabs>
          <w:tab w:leader="none" w:pos="7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6"/>
          <w:szCs w:val="16"/>
          <w:color w:val="auto"/>
        </w:rPr>
      </w:pPr>
    </w:p>
    <w:p>
      <w:pPr>
        <w:ind w:left="1340" w:right="79" w:hanging="648"/>
        <w:spacing w:after="0" w:line="263" w:lineRule="auto"/>
        <w:tabs>
          <w:tab w:leader="none" w:pos="134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6"/>
          <w:szCs w:val="16"/>
          <w:color w:val="auto"/>
        </w:rPr>
      </w:pPr>
    </w:p>
    <w:p>
      <w:pPr>
        <w:ind w:left="1340" w:right="119" w:hanging="648"/>
        <w:spacing w:after="0" w:line="263" w:lineRule="auto"/>
        <w:tabs>
          <w:tab w:leader="none" w:pos="134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9" w:lineRule="exact"/>
        <w:rPr>
          <w:rFonts w:ascii="Times New Roman" w:cs="Times New Roman" w:eastAsia="Times New Roman" w:hAnsi="Times New Roman"/>
          <w:sz w:val="16"/>
          <w:szCs w:val="16"/>
          <w:color w:val="auto"/>
        </w:rPr>
      </w:pPr>
    </w:p>
    <w:p>
      <w:pPr>
        <w:ind w:left="1340" w:right="159" w:hanging="648"/>
        <w:spacing w:after="0" w:line="272" w:lineRule="auto"/>
        <w:tabs>
          <w:tab w:leader="none" w:pos="134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Times New Roman" w:cs="Times New Roman" w:eastAsia="Times New Roman" w:hAnsi="Times New Roman"/>
          <w:sz w:val="16"/>
          <w:szCs w:val="16"/>
          <w:color w:val="auto"/>
        </w:rPr>
      </w:pPr>
    </w:p>
    <w:p>
      <w:pPr>
        <w:ind w:left="1340" w:right="179" w:hanging="648"/>
        <w:spacing w:after="0" w:line="272" w:lineRule="auto"/>
        <w:tabs>
          <w:tab w:leader="none" w:pos="134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0" w:lineRule="exact"/>
        <w:rPr>
          <w:rFonts w:ascii="Times New Roman" w:cs="Times New Roman" w:eastAsia="Times New Roman" w:hAnsi="Times New Roman"/>
          <w:sz w:val="16"/>
          <w:szCs w:val="16"/>
          <w:color w:val="auto"/>
        </w:rPr>
      </w:pPr>
    </w:p>
    <w:p>
      <w:pPr>
        <w:ind w:left="1340" w:right="279" w:hanging="648"/>
        <w:spacing w:after="0" w:line="272" w:lineRule="auto"/>
        <w:tabs>
          <w:tab w:leader="none" w:pos="134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40"/>
        <w:spacing w:after="0"/>
        <w:tabs>
          <w:tab w:leader="none" w:pos="4480" w:val="left"/>
        </w:tabs>
        <w:rPr>
          <w:sz w:val="20"/>
          <w:szCs w:val="20"/>
          <w:color w:val="auto"/>
        </w:rPr>
      </w:pPr>
      <w:r>
        <w:rPr>
          <w:rFonts w:ascii="Times New Roman" w:cs="Times New Roman" w:eastAsia="Times New Roman" w:hAnsi="Times New Roman"/>
          <w:sz w:val="16"/>
          <w:szCs w:val="16"/>
          <w:color w:val="auto"/>
        </w:rPr>
        <w:t>Date: June 2</w:t>
      </w:r>
      <w:r>
        <w:rPr>
          <w:rFonts w:ascii="Times New Roman" w:cs="Times New Roman" w:eastAsia="Times New Roman" w:hAnsi="Times New Roman"/>
          <w:sz w:val="17"/>
          <w:szCs w:val="17"/>
          <w:color w:val="auto"/>
        </w:rPr>
        <w:t>, 2022</w:t>
      </w:r>
      <w:r>
        <w:rPr>
          <w:sz w:val="20"/>
          <w:szCs w:val="20"/>
          <w:color w:val="auto"/>
        </w:rPr>
        <w:tab/>
      </w:r>
      <w:r>
        <w:rPr>
          <w:rFonts w:ascii="Times New Roman" w:cs="Times New Roman" w:eastAsia="Times New Roman" w:hAnsi="Times New Roman"/>
          <w:sz w:val="16"/>
          <w:szCs w:val="16"/>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28289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Brian Kocher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President, Chief Executive Officer and Interim Chief</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Financial Officer (Principal Executive Officer and Principal</w:t>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5" w:lineRule="exact"/>
        <w:rPr>
          <w:sz w:val="20"/>
          <w:szCs w:val="20"/>
          <w:color w:val="auto"/>
        </w:rPr>
      </w:pPr>
    </w:p>
    <w:p>
      <w:pPr>
        <w:ind w:left="40" w:right="199" w:firstLine="648"/>
        <w:spacing w:after="0" w:line="253" w:lineRule="auto"/>
        <w:rPr>
          <w:sz w:val="20"/>
          <w:szCs w:val="20"/>
          <w:color w:val="auto"/>
        </w:rPr>
      </w:pPr>
      <w:r>
        <w:rPr>
          <w:rFonts w:ascii="Times New Roman" w:cs="Times New Roman" w:eastAsia="Times New Roman" w:hAnsi="Times New Roman"/>
          <w:sz w:val="18"/>
          <w:szCs w:val="18"/>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April 30, 2022,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June 2, 2022</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Brian Kocher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Chief Executive Officer and Interim Chief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1720215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7"/>
    </w:lvl>
  </w:abstractNum>
  <w:abstractNum w:abstractNumId="3">
    <w:nsid w:val="1D4ED43B"/>
    <w:multiLevelType w:val="hybridMultilevel"/>
    <w:lvl w:ilvl="0">
      <w:lvlJc w:val="left"/>
      <w:lvlText w:val="o"/>
      <w:numFmt w:val="bullet"/>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1)"/>
      <w:numFmt w:val="decimal"/>
      <w:start w:val="2"/>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lowerLetter"/>
      <w:start w:val="7"/>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01"/>
    </w:lvl>
  </w:abstractNum>
  <w:abstractNum w:abstractNumId="16">
    <w:nsid w:val="749ABB43"/>
    <w:multiLevelType w:val="hybridMultilevel"/>
    <w:lvl w:ilvl="0">
      <w:lvlJc w:val="left"/>
      <w:lvlText w:val="*"/>
      <w:numFmt w:val="bullet"/>
      <w:start w:val="1"/>
    </w:lvl>
    <w:lvl w:ilvl="1">
      <w:lvlJc w:val="left"/>
      <w:lvlText w:val="%2"/>
      <w:numFmt w:val="decimal"/>
      <w:start w:val="104"/>
    </w:lvl>
  </w:abstractNum>
  <w:abstractNum w:abstractNumId="17">
    <w:nsid w:val="3DC240FB"/>
    <w:multiLevelType w:val="hybridMultilevel"/>
    <w:lvl w:ilvl="0">
      <w:lvlJc w:val="left"/>
      <w:lvlText w:val="%1."/>
      <w:numFmt w:val="decimal"/>
      <w:start w:val="1"/>
    </w:lvl>
    <w:lvl w:ilvl="1">
      <w:lvlJc w:val="left"/>
      <w:lvlText w:val="(%2)"/>
      <w:numFmt w:val="lowerLetter"/>
      <w:start w:val="1"/>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8"/>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lowerLetter"/>
      <w:start w:val="7"/>
    </w:lvl>
  </w:abstractNum>
  <w:abstractNum w:abstractNumId="22">
    <w:nsid w:val="70C6A529"/>
    <w:multiLevelType w:val="hybridMultilevel"/>
    <w:lvl w:ilvl="0">
      <w:lvlJc w:val="left"/>
      <w:lvlText w:val="(%1)"/>
      <w:numFmt w:val="lowerLetter"/>
      <w:start w:val="1"/>
    </w:lvl>
  </w:abstractNum>
  <w:abstractNum w:abstractNumId="23">
    <w:nsid w:val="520EEDD1"/>
    <w:multiLevelType w:val="hybridMultilevel"/>
    <w:lvl w:ilvl="0">
      <w:lvlJc w:val="left"/>
      <w:lvlText w:val="(%1)"/>
      <w:numFmt w:val="lowerLetter"/>
      <w:start w:val="2"/>
    </w:lvl>
  </w:abstractNum>
  <w:abstractNum w:abstractNumId="24">
    <w:nsid w:val="374A3FE6"/>
    <w:multiLevelType w:val="hybridMultilevel"/>
    <w:lvl w:ilvl="0">
      <w:lvlJc w:val="left"/>
      <w:lvlText w:val="(%1)"/>
      <w:numFmt w:val="lowerRoman"/>
      <w:start w:val="1"/>
    </w:lvl>
  </w:abstractNum>
  <w:abstractNum w:abstractNumId="25">
    <w:nsid w:val="4F4EF005"/>
    <w:multiLevelType w:val="hybridMultilevel"/>
    <w:lvl w:ilvl="0">
      <w:lvlJc w:val="left"/>
      <w:lvlText w:val="(%1)"/>
      <w:numFmt w:val="lowerLetter"/>
      <w:start w:val="4"/>
    </w:lvl>
  </w:abstractNum>
  <w:abstractNum w:abstractNumId="26">
    <w:nsid w:val="23F9C13C"/>
    <w:multiLevelType w:val="hybridMultilevel"/>
    <w:lvl w:ilvl="0">
      <w:lvlJc w:val="left"/>
      <w:lvlText w:val="(%1)"/>
      <w:numFmt w:val="lowerRoman"/>
      <w:start w:val="2"/>
    </w:lvl>
  </w:abstractNum>
  <w:abstractNum w:abstractNumId="27">
    <w:nsid w:val="649BB77C"/>
    <w:multiLevelType w:val="hybridMultilevel"/>
    <w:lvl w:ilvl="0">
      <w:lvlJc w:val="left"/>
      <w:lvlText w:val="(%1)"/>
      <w:numFmt w:val="lowerLetter"/>
      <w:start w:val="5"/>
    </w:lvl>
  </w:abstractNum>
  <w:abstractNum w:abstractNumId="28">
    <w:nsid w:val="275AC794"/>
    <w:multiLevelType w:val="hybridMultilevel"/>
    <w:lvl w:ilvl="0">
      <w:lvlJc w:val="left"/>
      <w:lvlText w:val="(%1)"/>
      <w:numFmt w:val="lowerLetter"/>
      <w:start w:val="2"/>
    </w:lvl>
  </w:abstractNum>
  <w:abstractNum w:abstractNumId="29">
    <w:nsid w:val="39386575"/>
    <w:multiLevelType w:val="hybridMultilevel"/>
    <w:lvl w:ilvl="0">
      <w:lvlJc w:val="left"/>
      <w:lvlText w:val="(%1)"/>
      <w:numFmt w:val="lowerLetter"/>
      <w:start w:val="6"/>
    </w:lvl>
  </w:abstractNum>
  <w:abstractNum w:abstractNumId="30">
    <w:nsid w:val="1CF10FD8"/>
    <w:multiLevelType w:val="hybridMultilevel"/>
    <w:lvl w:ilvl="0">
      <w:lvlJc w:val="left"/>
      <w:lvlText w:val="(%1)"/>
      <w:numFmt w:val="lowerLetter"/>
      <w:start w:val="2"/>
    </w:lvl>
  </w:abstractNum>
  <w:abstractNum w:abstractNumId="31">
    <w:nsid w:val="180115BE"/>
    <w:multiLevelType w:val="hybridMultilevel"/>
    <w:lvl w:ilvl="0">
      <w:lvlJc w:val="left"/>
      <w:lvlText w:val="(%1)"/>
      <w:numFmt w:val="lowerRoman"/>
      <w:start w:val="1"/>
    </w:lvl>
  </w:abstractNum>
  <w:abstractNum w:abstractNumId="32">
    <w:nsid w:val="235BA861"/>
    <w:multiLevelType w:val="hybridMultilevel"/>
    <w:lvl w:ilvl="0">
      <w:lvlJc w:val="left"/>
      <w:lvlText w:val="(%1)"/>
      <w:numFmt w:val="lowerRoman"/>
      <w:start w:val="2"/>
    </w:lvl>
  </w:abstractNum>
  <w:abstractNum w:abstractNumId="33">
    <w:nsid w:val="47398C89"/>
    <w:multiLevelType w:val="hybridMultilevel"/>
    <w:lvl w:ilvl="0">
      <w:lvlJc w:val="left"/>
      <w:lvlText w:val="(%1)"/>
      <w:numFmt w:val="lowerLetter"/>
      <w:start w:val="7"/>
    </w:lvl>
  </w:abstractNum>
  <w:abstractNum w:abstractNumId="34">
    <w:nsid w:val="354FE9F9"/>
    <w:multiLevelType w:val="hybridMultilevel"/>
    <w:lvl w:ilvl="0">
      <w:lvlJc w:val="left"/>
      <w:lvlText w:val="(%1)"/>
      <w:numFmt w:val="lowerLetter"/>
      <w:start w:val="1"/>
    </w:lvl>
  </w:abstractNum>
  <w:abstractNum w:abstractNumId="35">
    <w:nsid w:val="15B5AF5C"/>
    <w:multiLevelType w:val="hybridMultilevel"/>
    <w:lvl w:ilvl="0">
      <w:lvlJc w:val="left"/>
      <w:lvlText w:val="(%1)"/>
      <w:numFmt w:val="lowerLetter"/>
      <w:start w:val="8"/>
    </w:lvl>
  </w:abstractNum>
  <w:abstractNum w:abstractNumId="36">
    <w:nsid w:val="741226BB"/>
    <w:multiLevelType w:val="hybridMultilevel"/>
    <w:lvl w:ilvl="0">
      <w:lvlJc w:val="left"/>
      <w:lvlText w:val="(%1)"/>
      <w:numFmt w:val="lowerRoman"/>
      <w:start w:val="1"/>
    </w:lvl>
  </w:abstractNum>
  <w:abstractNum w:abstractNumId="37">
    <w:nsid w:val="D34B6A8"/>
    <w:multiLevelType w:val="hybridMultilevel"/>
    <w:lvl w:ilvl="0">
      <w:lvlJc w:val="left"/>
      <w:lvlText w:val="(%1)"/>
      <w:numFmt w:val="lowerLetter"/>
      <w:start w:val="13"/>
    </w:lvl>
  </w:abstractNum>
  <w:abstractNum w:abstractNumId="38">
    <w:nsid w:val="10233C99"/>
    <w:multiLevelType w:val="hybridMultilevel"/>
    <w:lvl w:ilvl="0">
      <w:lvlJc w:val="left"/>
      <w:lvlText w:val="(%1)"/>
      <w:numFmt w:val="lowerLetter"/>
      <w:start w:val="10"/>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lowerLetter"/>
      <w:start w:val="11"/>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lowerLetter"/>
      <w:start w:val="1"/>
    </w:lvl>
    <w:lvl w:ilvl="1">
      <w:lvlJc w:val="left"/>
      <w:lvlText w:val="(%2)"/>
      <w:numFmt w:val="lowerLetter"/>
      <w:start w:val="1"/>
    </w:lvl>
  </w:abstractNum>
  <w:abstractNum w:abstractNumId="43">
    <w:nsid w:val="579BE4F1"/>
    <w:multiLevelType w:val="hybridMultilevel"/>
    <w:lvl w:ilvl="0">
      <w:lvlJc w:val="left"/>
      <w:lvlText w:val="(%1)"/>
      <w:numFmt w:val="lowerLetter"/>
      <w:start w:val="14"/>
    </w:lvl>
    <w:lvl w:ilvl="1">
      <w:lvlJc w:val="left"/>
      <w:lvlText w:val="%2"/>
      <w:numFmt w:val="lowerLetter"/>
      <w:start w:val="1"/>
    </w:lvl>
  </w:abstractNum>
  <w:abstractNum w:abstractNumId="44">
    <w:nsid w:val="310C50B3"/>
    <w:multiLevelType w:val="hybridMultilevel"/>
    <w:lvl w:ilvl="0">
      <w:lvlJc w:val="left"/>
      <w:lvlText w:val="%1"/>
      <w:numFmt w:val="decimal"/>
      <w:start w:val="1"/>
    </w:lvl>
    <w:lvl w:ilvl="1">
      <w:lvlJc w:val="left"/>
      <w:lvlText w:val="(%2)"/>
      <w:numFmt w:val="lowerLetter"/>
      <w:start w:val="16"/>
    </w:lvl>
  </w:abstractNum>
  <w:abstractNum w:abstractNumId="45">
    <w:nsid w:val="5FF87E05"/>
    <w:multiLevelType w:val="hybridMultilevel"/>
    <w:lvl w:ilvl="0">
      <w:lvlJc w:val="left"/>
      <w:lvlText w:val="%1."/>
      <w:numFmt w:val="decimal"/>
      <w:start w:val="3"/>
    </w:lvl>
    <w:lvl w:ilvl="1">
      <w:lvlJc w:val="left"/>
      <w:lvlText w:val="(%2)"/>
      <w:numFmt w:val="lowerLetter"/>
      <w:start w:val="1"/>
    </w:lvl>
  </w:abstractNum>
  <w:abstractNum w:abstractNumId="46">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7">
    <w:nsid w:val="25A70BF7"/>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8">
    <w:nsid w:val="1DBABF00"/>
    <w:multiLevelType w:val="hybridMultilevel"/>
    <w:lvl w:ilvl="0">
      <w:lvlJc w:val="left"/>
      <w:lvlText w:val="(%1)"/>
      <w:numFmt w:val="lowerLetter"/>
      <w:start w:val="3"/>
    </w:lvl>
    <w:lvl w:ilvl="1">
      <w:lvlJc w:val="left"/>
      <w:lvlText w:val="%2."/>
      <w:numFmt w:val="decimal"/>
      <w:start w:val="9"/>
    </w:lvl>
    <w:lvl w:ilvl="2">
      <w:lvlJc w:val="left"/>
      <w:lvlText w:val="%3"/>
      <w:numFmt w:val="lowerLetter"/>
      <w:start w:val="1"/>
    </w:lvl>
  </w:abstractNum>
  <w:abstractNum w:abstractNumId="49">
    <w:nsid w:val="4AD084E9"/>
    <w:multiLevelType w:val="hybridMultilevel"/>
    <w:lvl w:ilvl="0">
      <w:lvlJc w:val="left"/>
      <w:lvlText w:val="%1."/>
      <w:numFmt w:val="decimal"/>
      <w:start w:val="10"/>
    </w:lvl>
  </w:abstractNum>
  <w:abstractNum w:abstractNumId="50">
    <w:nsid w:val="1F48EAA1"/>
    <w:multiLevelType w:val="hybridMultilevel"/>
    <w:lvl w:ilvl="0">
      <w:lvlJc w:val="left"/>
      <w:lvlText w:val="%1."/>
      <w:numFmt w:val="decimal"/>
      <w:start w:val="12"/>
    </w:lvl>
  </w:abstractNum>
  <w:abstractNum w:abstractNumId="51">
    <w:nsid w:val="1381823A"/>
    <w:multiLevelType w:val="hybridMultilevel"/>
    <w:lvl w:ilvl="0">
      <w:lvlJc w:val="left"/>
      <w:lvlText w:val="(%1)"/>
      <w:numFmt w:val="lowerLetter"/>
      <w:start w:val="2"/>
    </w:lvl>
  </w:abstractNum>
  <w:abstractNum w:abstractNumId="52">
    <w:nsid w:val="5DB70AE5"/>
    <w:multiLevelType w:val="hybridMultilevel"/>
    <w:lvl w:ilvl="0">
      <w:lvlJc w:val="left"/>
      <w:lvlText w:val="(%1)"/>
      <w:numFmt w:val="lowerLetter"/>
      <w:start w:val="9"/>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bullet"/>
      <w:start w:val="1"/>
    </w:lvl>
  </w:abstractNum>
  <w:abstractNum w:abstractNumId="57">
    <w:nsid w:val="98A3148"/>
    <w:multiLevelType w:val="hybridMultilevel"/>
    <w:lvl w:ilvl="0">
      <w:lvlJc w:val="left"/>
      <w:lvlText w:val="%1."/>
      <w:numFmt w:val="decimal"/>
      <w:start w:val="3"/>
    </w:lvl>
  </w:abstractNum>
  <w:abstractNum w:abstractNumId="58">
    <w:nsid w:val="799D0247"/>
    <w:multiLevelType w:val="hybridMultilevel"/>
    <w:lvl w:ilvl="0">
      <w:lvlJc w:val="left"/>
      <w:lvlText w:val="%1."/>
      <w:numFmt w:val="decimal"/>
      <w:start w:val="4"/>
    </w:lvl>
  </w:abstractNum>
  <w:abstractNum w:abstractNumId="59">
    <w:nsid w:val="6B94764"/>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0">
    <w:nsid w:val="42C296BD"/>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1">
    <w:nsid w:val="168E121F"/>
    <w:multiLevelType w:val="hybridMultilevel"/>
    <w:lvl w:ilvl="0">
      <w:lvlJc w:val="left"/>
      <w:lvlText w:val="%1."/>
      <w:numFmt w:val="upperLetter"/>
      <w:start w:val="61"/>
    </w:lvl>
  </w:abstractNum>
  <w:abstractNum w:abstractNumId="62">
    <w:nsid w:val="1EBA5D23"/>
    <w:multiLevelType w:val="hybridMultilevel"/>
    <w:lvl w:ilvl="0">
      <w:lvlJc w:val="left"/>
      <w:lvlText w:val="(%1)"/>
      <w:numFmt w:val="decimal"/>
      <w:start w:val="5"/>
    </w:lvl>
  </w:abstractNum>
  <w:abstractNum w:abstractNumId="63">
    <w:nsid w:val="661E3F1E"/>
    <w:multiLevelType w:val="hybridMultilevel"/>
    <w:lvl w:ilvl="0">
      <w:lvlJc w:val="left"/>
      <w:lvlText w:val="(%1)"/>
      <w:numFmt w:val="decimal"/>
      <w:start w:val="7"/>
    </w:lvl>
  </w:abstractNum>
  <w:abstractNum w:abstractNumId="64">
    <w:nsid w:val="5DC79EA8"/>
    <w:multiLevelType w:val="hybridMultilevel"/>
    <w:lvl w:ilvl="0">
      <w:lvlJc w:val="left"/>
      <w:lvlText w:val="(%1)"/>
      <w:numFmt w:val="decimal"/>
      <w:start w:val="9"/>
    </w:lvl>
  </w:abstractNum>
  <w:abstractNum w:abstractNumId="65">
    <w:nsid w:val="540A471C"/>
    <w:multiLevelType w:val="hybridMultilevel"/>
    <w:lvl w:ilvl="0">
      <w:lvlJc w:val="left"/>
      <w:lvlText w:val="%1."/>
      <w:numFmt w:val="upperLetter"/>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lowerRoman"/>
      <w:start w:val="2"/>
    </w:lvl>
  </w:abstractNum>
  <w:abstractNum w:abstractNumId="69">
    <w:nsid w:val="BF72B14"/>
    <w:multiLevelType w:val="hybridMultilevel"/>
    <w:lvl w:ilvl="0">
      <w:lvlJc w:val="left"/>
      <w:lvlText w:val="%1."/>
      <w:numFmt w:val="decimal"/>
      <w:start w:val="3"/>
    </w:lvl>
  </w:abstractNum>
  <w:abstractNum w:abstractNumId="70">
    <w:nsid w:val="11447B73"/>
    <w:multiLevelType w:val="hybridMultilevel"/>
    <w:lvl w:ilvl="0">
      <w:lvlJc w:val="left"/>
      <w:lvlText w:val="%1."/>
      <w:numFmt w:val="decimal"/>
      <w:start w:val="4"/>
    </w:lvl>
  </w:abstractNum>
  <w:abstractNum w:abstractNumId="71">
    <w:nsid w:val="42963E5A"/>
    <w:multiLevelType w:val="hybridMultilevel"/>
    <w:lvl w:ilvl="0">
      <w:lvlJc w:val="left"/>
      <w:lvlText w:val="%1."/>
      <w:numFmt w:val="lowerRoman"/>
      <w:start w:val="1"/>
    </w:lvl>
  </w:abstractNum>
  <w:abstractNum w:abstractNumId="72">
    <w:nsid w:val="A0382C5"/>
    <w:multiLevelType w:val="hybridMultilevel"/>
    <w:lvl w:ilvl="0">
      <w:lvlJc w:val="left"/>
      <w:lvlText w:val="%1."/>
      <w:numFmt w:val="lowerRoman"/>
      <w:start w:val="2"/>
    </w:lvl>
  </w:abstractNum>
  <w:abstractNum w:abstractNumId="73">
    <w:nsid w:val="8F2B15E"/>
    <w:multiLevelType w:val="hybridMultilevel"/>
    <w:lvl w:ilvl="0">
      <w:lvlJc w:val="left"/>
      <w:lvlText w:val="%1."/>
      <w:numFmt w:val="lowerRoman"/>
      <w:start w:val="1"/>
    </w:lvl>
  </w:abstractNum>
  <w:abstractNum w:abstractNumId="74">
    <w:nsid w:val="1A32234B"/>
    <w:multiLevelType w:val="hybridMultilevel"/>
    <w:lvl w:ilvl="0">
      <w:lvlJc w:val="left"/>
      <w:lvlText w:val="%1."/>
      <w:numFmt w:val="lowerRoman"/>
      <w:start w:val="2"/>
    </w:lvl>
  </w:abstractNum>
  <w:abstractNum w:abstractNumId="75">
    <w:nsid w:val="3B0FD379"/>
    <w:multiLevelType w:val="hybridMultilevel"/>
    <w:lvl w:ilvl="0">
      <w:lvlJc w:val="left"/>
      <w:lvlText w:val="%1."/>
      <w:numFmt w:val="decimal"/>
      <w:start w:val="5"/>
    </w:lvl>
  </w:abstractNum>
  <w:abstractNum w:abstractNumId="76">
    <w:nsid w:val="68EB2F63"/>
    <w:multiLevelType w:val="hybridMultilevel"/>
    <w:lvl w:ilvl="0">
      <w:lvlJc w:val="left"/>
      <w:lvlText w:val="(%1)"/>
      <w:numFmt w:val="lowerRoman"/>
      <w:start w:val="2"/>
    </w:lvl>
  </w:abstractNum>
  <w:abstractNum w:abstractNumId="77">
    <w:nsid w:val="4962813B"/>
    <w:multiLevelType w:val="hybridMultilevel"/>
    <w:lvl w:ilvl="0">
      <w:lvlJc w:val="left"/>
      <w:lvlText w:val="%1."/>
      <w:numFmt w:val="decimal"/>
      <w:start w:val="6"/>
    </w:lvl>
  </w:abstractNum>
  <w:abstractNum w:abstractNumId="78">
    <w:nsid w:val="60B6DF70"/>
    <w:multiLevelType w:val="hybridMultilevel"/>
    <w:lvl w:ilvl="0">
      <w:lvlJc w:val="left"/>
      <w:lvlText w:val="%1."/>
      <w:numFmt w:val="decimal"/>
      <w:start w:val="8"/>
    </w:lvl>
  </w:abstractNum>
  <w:abstractNum w:abstractNumId="79">
    <w:nsid w:val="6A5EE64"/>
    <w:multiLevelType w:val="hybridMultilevel"/>
    <w:lvl w:ilvl="0">
      <w:lvlJc w:val="left"/>
      <w:lvlText w:val="%1."/>
      <w:numFmt w:val="decimal"/>
      <w:start w:val="9"/>
    </w:lvl>
  </w:abstractNum>
  <w:abstractNum w:abstractNumId="80">
    <w:nsid w:val="14330624"/>
    <w:multiLevelType w:val="hybridMultilevel"/>
    <w:lvl w:ilvl="0">
      <w:lvlJc w:val="left"/>
      <w:lvlText w:val="%1."/>
      <w:numFmt w:val="decimal"/>
      <w:start w:val="10"/>
    </w:lvl>
  </w:abstractNum>
  <w:abstractNum w:abstractNumId="81">
    <w:nsid w:val="7FFFCA11"/>
    <w:multiLevelType w:val="hybridMultilevel"/>
    <w:lvl w:ilvl="0">
      <w:lvlJc w:val="left"/>
      <w:lvlText w:val="%1."/>
      <w:numFmt w:val="decimal"/>
      <w:start w:val="12"/>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2022-06-02T16:12:35Z</dcterms:created>
  <dcterms:modified xsi:type="dcterms:W3CDTF">2022-06-02T16:12:35Z</dcterms:modified>
</cp:coreProperties>
</file>