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652335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3355" cy="19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172720</wp:posOffset>
            </wp:positionV>
            <wp:extent cx="652335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3355" cy="19685"/>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41275</wp:posOffset>
            </wp:positionV>
            <wp:extent cx="162941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9410" cy="13335"/>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128" w:lineRule="exact"/>
        <w:rPr>
          <w:sz w:val="24"/>
          <w:szCs w:val="24"/>
          <w:color w:val="auto"/>
        </w:rPr>
      </w:pPr>
    </w:p>
    <w:p>
      <w:pPr>
        <w:ind w:left="1500" w:hanging="751"/>
        <w:spacing w:after="0"/>
        <w:tabs>
          <w:tab w:leader="none" w:pos="150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w:t>
      </w:r>
    </w:p>
    <w:p>
      <w:pPr>
        <w:spacing w:after="0" w:line="18" w:lineRule="exact"/>
        <w:rPr>
          <w:rFonts w:ascii="MS PGothic" w:cs="MS PGothic" w:eastAsia="MS PGothic" w:hAnsi="MS PGothic"/>
          <w:sz w:val="15"/>
          <w:szCs w:val="15"/>
          <w:color w:val="auto"/>
          <w:highlight w:val="black"/>
        </w:rPr>
      </w:pPr>
    </w:p>
    <w:p>
      <w:pPr>
        <w:ind w:left="1500"/>
        <w:spacing w:after="0"/>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OF THE SECURITIES EXCHANGE ACT OF 1934</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 the quarterly period ended January 31, 2023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or</w:t>
      </w:r>
    </w:p>
    <w:p>
      <w:pPr>
        <w:spacing w:after="0" w:line="176" w:lineRule="exact"/>
        <w:rPr>
          <w:sz w:val="24"/>
          <w:szCs w:val="24"/>
          <w:color w:val="auto"/>
        </w:rPr>
      </w:pPr>
    </w:p>
    <w:p>
      <w:pPr>
        <w:ind w:left="1500" w:hanging="751"/>
        <w:spacing w:after="0"/>
        <w:tabs>
          <w:tab w:leader="none" w:pos="150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w:t>
      </w:r>
    </w:p>
    <w:p>
      <w:pPr>
        <w:spacing w:after="0" w:line="18" w:lineRule="exact"/>
        <w:rPr>
          <w:rFonts w:ascii="MS PGothic" w:cs="MS PGothic" w:eastAsia="MS PGothic" w:hAnsi="MS PGothic"/>
          <w:sz w:val="15"/>
          <w:szCs w:val="15"/>
          <w:color w:val="auto"/>
          <w:highlight w:val="black"/>
        </w:rPr>
      </w:pPr>
    </w:p>
    <w:p>
      <w:pPr>
        <w:ind w:left="1500"/>
        <w:spacing w:after="0"/>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OF THE SECURITIES EXCHANGE ACT OF 1934</w:t>
      </w:r>
    </w:p>
    <w:p>
      <w:pPr>
        <w:sectPr>
          <w:pgSz w:w="11900" w:h="16838" w:orient="portrait"/>
          <w:cols w:equalWidth="0" w:num="1">
            <w:col w:w="10280"/>
          </w:cols>
          <w:pgMar w:left="800" w:top="541" w:right="819" w:bottom="1440" w:gutter="0" w:footer="0" w:header="0"/>
        </w:sectPr>
      </w:pPr>
    </w:p>
    <w:p>
      <w:pPr>
        <w:spacing w:after="0" w:line="168"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 xml:space="preserve">For the transition period from </w:t>
      </w:r>
      <w:r>
        <w:rPr>
          <w:rFonts w:ascii="Arial" w:cs="Arial" w:eastAsia="Arial" w:hAnsi="Arial"/>
          <w:sz w:val="12"/>
          <w:szCs w:val="12"/>
          <w:b w:val="1"/>
          <w:bCs w:val="1"/>
          <w:u w:val="single" w:color="auto"/>
          <w:color w:val="auto"/>
        </w:rPr>
        <w:t>______________________</w:t>
      </w:r>
      <w:r>
        <w:rPr>
          <w:rFonts w:ascii="Arial" w:cs="Arial" w:eastAsia="Arial" w:hAnsi="Arial"/>
          <w:sz w:val="12"/>
          <w:szCs w:val="12"/>
          <w:b w:val="1"/>
          <w:bCs w:val="1"/>
          <w:color w:val="auto"/>
        </w:rPr>
        <w:t xml:space="preserve"> to </w:t>
      </w:r>
      <w:r>
        <w:rPr>
          <w:rFonts w:ascii="Arial" w:cs="Arial" w:eastAsia="Arial" w:hAnsi="Arial"/>
          <w:sz w:val="12"/>
          <w:szCs w:val="12"/>
          <w:b w:val="1"/>
          <w:bCs w:val="1"/>
          <w:u w:val="single" w:color="auto"/>
          <w:color w:val="auto"/>
        </w:rPr>
        <w:t>______________________</w:t>
      </w:r>
    </w:p>
    <w:p>
      <w:pPr>
        <w:spacing w:after="0" w:line="284" w:lineRule="exact"/>
        <w:rPr>
          <w:sz w:val="24"/>
          <w:szCs w:val="24"/>
          <w:color w:val="auto"/>
        </w:rPr>
      </w:pPr>
    </w:p>
    <w:p>
      <w:pPr>
        <w:jc w:val="center"/>
        <w:ind w:left="3540"/>
        <w:spacing w:after="0"/>
        <w:rPr>
          <w:sz w:val="20"/>
          <w:szCs w:val="20"/>
          <w:color w:val="auto"/>
        </w:rPr>
      </w:pPr>
      <w:r>
        <w:rPr>
          <w:rFonts w:ascii="Arial" w:cs="Arial" w:eastAsia="Arial" w:hAnsi="Arial"/>
          <w:sz w:val="12"/>
          <w:szCs w:val="12"/>
          <w:b w:val="1"/>
          <w:bCs w:val="1"/>
          <w:color w:val="auto"/>
        </w:rPr>
        <w:t>Commission File Number: 000-33385</w:t>
      </w:r>
    </w:p>
    <w:p>
      <w:pPr>
        <w:spacing w:after="0" w:line="95" w:lineRule="exact"/>
        <w:rPr>
          <w:sz w:val="24"/>
          <w:szCs w:val="24"/>
          <w:color w:val="auto"/>
        </w:rPr>
      </w:pPr>
    </w:p>
    <w:p>
      <w:pPr>
        <w:jc w:val="center"/>
        <w:ind w:left="3540"/>
        <w:spacing w:after="0"/>
        <w:rPr>
          <w:sz w:val="20"/>
          <w:szCs w:val="20"/>
          <w:color w:val="auto"/>
        </w:rPr>
      </w:pPr>
      <w:r>
        <w:rPr>
          <w:rFonts w:ascii="Arial" w:cs="Arial" w:eastAsia="Arial" w:hAnsi="Arial"/>
          <w:sz w:val="25"/>
          <w:szCs w:val="25"/>
          <w:b w:val="1"/>
          <w:bCs w:val="1"/>
          <w:color w:val="auto"/>
        </w:rPr>
        <w:t>CALAVO GROWERS, INC.</w:t>
      </w:r>
    </w:p>
    <w:p>
      <w:pPr>
        <w:spacing w:after="0" w:line="32" w:lineRule="exact"/>
        <w:rPr>
          <w:sz w:val="24"/>
          <w:szCs w:val="24"/>
          <w:color w:val="auto"/>
        </w:rPr>
      </w:pPr>
    </w:p>
    <w:p>
      <w:pPr>
        <w:ind w:left="408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47" w:lineRule="exact"/>
        <w:rPr>
          <w:sz w:val="24"/>
          <w:szCs w:val="24"/>
          <w:color w:val="auto"/>
        </w:rPr>
      </w:pPr>
    </w:p>
    <w:p>
      <w:pPr>
        <w:jc w:val="center"/>
        <w:ind w:right="1580"/>
        <w:spacing w:after="0"/>
        <w:rPr>
          <w:sz w:val="20"/>
          <w:szCs w:val="20"/>
          <w:color w:val="auto"/>
        </w:rPr>
      </w:pPr>
      <w:r>
        <w:rPr>
          <w:rFonts w:ascii="Arial" w:cs="Arial" w:eastAsia="Arial" w:hAnsi="Arial"/>
          <w:sz w:val="12"/>
          <w:szCs w:val="12"/>
          <w:b w:val="1"/>
          <w:bCs w:val="1"/>
          <w:color w:val="auto"/>
        </w:rPr>
        <w:t>California</w:t>
      </w:r>
    </w:p>
    <w:p>
      <w:pPr>
        <w:spacing w:after="0" w:line="33" w:lineRule="exact"/>
        <w:rPr>
          <w:sz w:val="24"/>
          <w:szCs w:val="24"/>
          <w:color w:val="auto"/>
        </w:rPr>
      </w:pPr>
    </w:p>
    <w:p>
      <w:pPr>
        <w:ind w:left="2020"/>
        <w:spacing w:after="0"/>
        <w:rPr>
          <w:sz w:val="20"/>
          <w:szCs w:val="20"/>
          <w:color w:val="auto"/>
        </w:rPr>
      </w:pPr>
      <w:r>
        <w:rPr>
          <w:rFonts w:ascii="Arial" w:cs="Arial" w:eastAsia="Arial" w:hAnsi="Arial"/>
          <w:sz w:val="10"/>
          <w:szCs w:val="10"/>
          <w:color w:val="auto"/>
        </w:rPr>
        <w:t>(State or other jurisdiction of</w:t>
      </w:r>
    </w:p>
    <w:p>
      <w:pPr>
        <w:ind w:left="2000"/>
        <w:spacing w:after="0" w:line="237" w:lineRule="auto"/>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860"/>
        <w:spacing w:after="0"/>
        <w:rPr>
          <w:sz w:val="20"/>
          <w:szCs w:val="20"/>
          <w:color w:val="auto"/>
        </w:rPr>
      </w:pPr>
      <w:r>
        <w:rPr>
          <w:rFonts w:ascii="Arial" w:cs="Arial" w:eastAsia="Arial" w:hAnsi="Arial"/>
          <w:sz w:val="12"/>
          <w:szCs w:val="12"/>
          <w:b w:val="1"/>
          <w:bCs w:val="1"/>
          <w:color w:val="auto"/>
        </w:rPr>
        <w:t>33-0945304</w:t>
      </w:r>
    </w:p>
    <w:p>
      <w:pPr>
        <w:spacing w:after="0" w:line="88" w:lineRule="exact"/>
        <w:rPr>
          <w:sz w:val="24"/>
          <w:szCs w:val="24"/>
          <w:color w:val="auto"/>
        </w:rPr>
      </w:pPr>
    </w:p>
    <w:p>
      <w:pPr>
        <w:spacing w:after="0"/>
        <w:rPr>
          <w:sz w:val="20"/>
          <w:szCs w:val="20"/>
          <w:color w:val="auto"/>
        </w:rPr>
      </w:pPr>
      <w:r>
        <w:rPr>
          <w:rFonts w:ascii="Arial" w:cs="Arial" w:eastAsia="Arial" w:hAnsi="Arial"/>
          <w:sz w:val="8"/>
          <w:szCs w:val="8"/>
          <w:color w:val="auto"/>
        </w:rPr>
        <w:t>(I.R.S. Employer Identification No.)</w:t>
      </w:r>
    </w:p>
    <w:p>
      <w:pPr>
        <w:spacing w:after="0" w:line="187" w:lineRule="exact"/>
        <w:rPr>
          <w:sz w:val="24"/>
          <w:szCs w:val="24"/>
          <w:color w:val="auto"/>
        </w:rPr>
      </w:pPr>
    </w:p>
    <w:p>
      <w:pPr>
        <w:sectPr>
          <w:pgSz w:w="11900" w:h="16838" w:orient="portrait"/>
          <w:cols w:equalWidth="0" w:num="2">
            <w:col w:w="6740" w:space="280"/>
            <w:col w:w="3260"/>
          </w:cols>
          <w:pgMar w:left="800" w:top="541" w:right="81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6960" w:type="dxa"/>
            <w:vAlign w:val="bottom"/>
            <w:gridSpan w:val="6"/>
          </w:tcPr>
          <w:p>
            <w:pPr>
              <w:ind w:left="1180"/>
              <w:spacing w:after="0"/>
              <w:rPr>
                <w:sz w:val="20"/>
                <w:szCs w:val="20"/>
                <w:color w:val="auto"/>
              </w:rPr>
            </w:pPr>
            <w:r>
              <w:rPr>
                <w:rFonts w:ascii="Arial" w:cs="Arial" w:eastAsia="Arial" w:hAnsi="Arial"/>
                <w:sz w:val="12"/>
                <w:szCs w:val="12"/>
                <w:b w:val="1"/>
                <w:bCs w:val="1"/>
                <w:color w:val="auto"/>
              </w:rPr>
              <w:t>1141-A Cummings Road, Santa Paula, California</w:t>
            </w:r>
          </w:p>
        </w:tc>
        <w:tc>
          <w:tcPr>
            <w:tcW w:w="3320" w:type="dxa"/>
            <w:vAlign w:val="bottom"/>
          </w:tcPr>
          <w:p>
            <w:pPr>
              <w:jc w:val="right"/>
              <w:ind w:right="2322"/>
              <w:spacing w:after="0"/>
              <w:rPr>
                <w:sz w:val="20"/>
                <w:szCs w:val="20"/>
                <w:color w:val="auto"/>
              </w:rPr>
            </w:pPr>
            <w:r>
              <w:rPr>
                <w:rFonts w:ascii="Arial" w:cs="Arial" w:eastAsia="Arial" w:hAnsi="Arial"/>
                <w:sz w:val="12"/>
                <w:szCs w:val="12"/>
                <w:b w:val="1"/>
                <w:bCs w:val="1"/>
                <w:color w:val="auto"/>
              </w:rPr>
              <w:t>93060</w:t>
            </w:r>
          </w:p>
        </w:tc>
      </w:tr>
      <w:tr>
        <w:trPr>
          <w:trHeight w:val="122"/>
        </w:trPr>
        <w:tc>
          <w:tcPr>
            <w:tcW w:w="3420" w:type="dxa"/>
            <w:vAlign w:val="bottom"/>
            <w:gridSpan w:val="3"/>
          </w:tcPr>
          <w:p>
            <w:pPr>
              <w:ind w:left="1760"/>
              <w:spacing w:after="0"/>
              <w:rPr>
                <w:sz w:val="20"/>
                <w:szCs w:val="20"/>
                <w:color w:val="auto"/>
              </w:rPr>
            </w:pPr>
            <w:r>
              <w:rPr>
                <w:rFonts w:ascii="Arial" w:cs="Arial" w:eastAsia="Arial" w:hAnsi="Arial"/>
                <w:sz w:val="10"/>
                <w:szCs w:val="10"/>
                <w:color w:val="auto"/>
                <w:w w:val="95"/>
              </w:rPr>
              <w:t>(Address of principal executive offices)</w:t>
            </w: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320" w:type="dxa"/>
            <w:vAlign w:val="bottom"/>
          </w:tcPr>
          <w:p>
            <w:pPr>
              <w:jc w:val="center"/>
              <w:ind w:right="1682"/>
              <w:spacing w:after="0"/>
              <w:rPr>
                <w:sz w:val="20"/>
                <w:szCs w:val="20"/>
                <w:color w:val="auto"/>
              </w:rPr>
            </w:pPr>
            <w:r>
              <w:rPr>
                <w:rFonts w:ascii="Arial" w:cs="Arial" w:eastAsia="Arial" w:hAnsi="Arial"/>
                <w:sz w:val="10"/>
                <w:szCs w:val="10"/>
                <w:color w:val="auto"/>
                <w:w w:val="88"/>
              </w:rPr>
              <w:t>(Zip Code)</w:t>
            </w:r>
          </w:p>
        </w:tc>
      </w:tr>
      <w:tr>
        <w:trPr>
          <w:trHeight w:val="30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tcPr>
          <w:p>
            <w:pPr>
              <w:jc w:val="center"/>
              <w:ind w:left="682"/>
              <w:spacing w:after="0"/>
              <w:rPr>
                <w:sz w:val="20"/>
                <w:szCs w:val="20"/>
                <w:color w:val="auto"/>
              </w:rPr>
            </w:pPr>
            <w:r>
              <w:rPr>
                <w:rFonts w:ascii="Arial" w:cs="Arial" w:eastAsia="Arial" w:hAnsi="Arial"/>
                <w:sz w:val="12"/>
                <w:szCs w:val="12"/>
                <w:b w:val="1"/>
                <w:bCs w:val="1"/>
                <w:color w:val="auto"/>
                <w:w w:val="95"/>
              </w:rPr>
              <w:t>(805) 525-1245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22"/>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40" w:type="dxa"/>
            <w:vAlign w:val="bottom"/>
            <w:gridSpan w:val="3"/>
          </w:tcPr>
          <w:p>
            <w:pPr>
              <w:jc w:val="center"/>
              <w:ind w:right="80"/>
              <w:spacing w:after="0"/>
              <w:rPr>
                <w:sz w:val="20"/>
                <w:szCs w:val="20"/>
                <w:color w:val="auto"/>
              </w:rPr>
            </w:pPr>
            <w:r>
              <w:rPr>
                <w:rFonts w:ascii="Arial" w:cs="Arial" w:eastAsia="Arial" w:hAnsi="Arial"/>
                <w:sz w:val="10"/>
                <w:szCs w:val="10"/>
                <w:color w:val="auto"/>
                <w:w w:val="86"/>
              </w:rPr>
              <w:t>(Registrant's telephone number, including area code)</w:t>
            </w:r>
          </w:p>
        </w:tc>
        <w:tc>
          <w:tcPr>
            <w:tcW w:w="3320" w:type="dxa"/>
            <w:vAlign w:val="bottom"/>
          </w:tcPr>
          <w:p>
            <w:pPr>
              <w:spacing w:after="0"/>
              <w:rPr>
                <w:sz w:val="10"/>
                <w:szCs w:val="10"/>
                <w:color w:val="auto"/>
              </w:rPr>
            </w:pPr>
          </w:p>
        </w:tc>
      </w:tr>
      <w:tr>
        <w:trPr>
          <w:trHeight w:val="239"/>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Not Applicable</w:t>
            </w:r>
          </w:p>
        </w:tc>
        <w:tc>
          <w:tcPr>
            <w:tcW w:w="3320" w:type="dxa"/>
            <w:vAlign w:val="bottom"/>
          </w:tcPr>
          <w:p>
            <w:pPr>
              <w:spacing w:after="0"/>
              <w:rPr>
                <w:sz w:val="20"/>
                <w:szCs w:val="20"/>
                <w:color w:val="auto"/>
              </w:rPr>
            </w:pPr>
          </w:p>
        </w:tc>
      </w:tr>
      <w:tr>
        <w:trPr>
          <w:trHeight w:val="122"/>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40" w:type="dxa"/>
            <w:vAlign w:val="bottom"/>
            <w:gridSpan w:val="3"/>
          </w:tcPr>
          <w:p>
            <w:pPr>
              <w:jc w:val="center"/>
              <w:ind w:right="100"/>
              <w:spacing w:after="0"/>
              <w:rPr>
                <w:sz w:val="20"/>
                <w:szCs w:val="20"/>
                <w:color w:val="auto"/>
              </w:rPr>
            </w:pPr>
            <w:r>
              <w:rPr>
                <w:rFonts w:ascii="Arial" w:cs="Arial" w:eastAsia="Arial" w:hAnsi="Arial"/>
                <w:sz w:val="10"/>
                <w:szCs w:val="10"/>
                <w:color w:val="auto"/>
                <w:w w:val="86"/>
              </w:rPr>
              <w:t>(Former name, former address and former fiscal year, if changed since last report)</w:t>
            </w:r>
          </w:p>
        </w:tc>
        <w:tc>
          <w:tcPr>
            <w:tcW w:w="3320" w:type="dxa"/>
            <w:vAlign w:val="bottom"/>
          </w:tcPr>
          <w:p>
            <w:pPr>
              <w:spacing w:after="0"/>
              <w:rPr>
                <w:sz w:val="10"/>
                <w:szCs w:val="10"/>
                <w:color w:val="auto"/>
              </w:rPr>
            </w:pPr>
          </w:p>
        </w:tc>
      </w:tr>
      <w:tr>
        <w:trPr>
          <w:trHeight w:val="245"/>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540" w:type="dxa"/>
            <w:vAlign w:val="bottom"/>
            <w:gridSpan w:val="3"/>
          </w:tcPr>
          <w:p>
            <w:pPr>
              <w:jc w:val="center"/>
              <w:ind w:right="100"/>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3320" w:type="dxa"/>
            <w:vAlign w:val="bottom"/>
          </w:tcPr>
          <w:p>
            <w:pPr>
              <w:spacing w:after="0"/>
              <w:rPr>
                <w:sz w:val="21"/>
                <w:szCs w:val="21"/>
                <w:color w:val="auto"/>
              </w:rPr>
            </w:pPr>
          </w:p>
        </w:tc>
      </w:tr>
      <w:tr>
        <w:trPr>
          <w:trHeight w:val="175"/>
        </w:trPr>
        <w:tc>
          <w:tcPr>
            <w:tcW w:w="3420" w:type="dxa"/>
            <w:vAlign w:val="bottom"/>
            <w:gridSpan w:val="3"/>
          </w:tcPr>
          <w:p>
            <w:pPr>
              <w:jc w:val="center"/>
              <w:ind w:right="760"/>
              <w:spacing w:after="0"/>
              <w:rPr>
                <w:sz w:val="20"/>
                <w:szCs w:val="20"/>
                <w:color w:val="auto"/>
              </w:rPr>
            </w:pPr>
            <w:r>
              <w:rPr>
                <w:rFonts w:ascii="Arial" w:cs="Arial" w:eastAsia="Arial" w:hAnsi="Arial"/>
                <w:sz w:val="12"/>
                <w:szCs w:val="12"/>
                <w:color w:val="auto"/>
                <w:w w:val="93"/>
              </w:rPr>
              <w:t>Title of each class</w:t>
            </w:r>
          </w:p>
        </w:tc>
        <w:tc>
          <w:tcPr>
            <w:tcW w:w="3540" w:type="dxa"/>
            <w:vAlign w:val="bottom"/>
            <w:gridSpan w:val="3"/>
          </w:tcPr>
          <w:p>
            <w:pPr>
              <w:jc w:val="center"/>
              <w:ind w:right="1460"/>
              <w:spacing w:after="0"/>
              <w:rPr>
                <w:sz w:val="20"/>
                <w:szCs w:val="20"/>
                <w:color w:val="auto"/>
              </w:rPr>
            </w:pPr>
            <w:r>
              <w:rPr>
                <w:rFonts w:ascii="Arial" w:cs="Arial" w:eastAsia="Arial" w:hAnsi="Arial"/>
                <w:sz w:val="12"/>
                <w:szCs w:val="12"/>
                <w:color w:val="auto"/>
                <w:w w:val="93"/>
              </w:rPr>
              <w:t>Trading Symbol(s)</w:t>
            </w:r>
          </w:p>
        </w:tc>
        <w:tc>
          <w:tcPr>
            <w:tcW w:w="3320" w:type="dxa"/>
            <w:vAlign w:val="bottom"/>
          </w:tcPr>
          <w:p>
            <w:pPr>
              <w:jc w:val="center"/>
              <w:ind w:right="582"/>
              <w:spacing w:after="0"/>
              <w:rPr>
                <w:sz w:val="20"/>
                <w:szCs w:val="20"/>
                <w:color w:val="auto"/>
              </w:rPr>
            </w:pPr>
            <w:r>
              <w:rPr>
                <w:rFonts w:ascii="Arial" w:cs="Arial" w:eastAsia="Arial" w:hAnsi="Arial"/>
                <w:sz w:val="12"/>
                <w:szCs w:val="12"/>
                <w:color w:val="auto"/>
                <w:w w:val="92"/>
              </w:rPr>
              <w:t>Name of each exchange on which registered</w:t>
            </w:r>
          </w:p>
        </w:tc>
      </w:tr>
      <w:tr>
        <w:trPr>
          <w:trHeight w:val="26"/>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320" w:type="dxa"/>
            <w:vAlign w:val="bottom"/>
          </w:tcPr>
          <w:p>
            <w:pPr>
              <w:spacing w:after="0"/>
              <w:rPr>
                <w:sz w:val="2"/>
                <w:szCs w:val="2"/>
                <w:color w:val="auto"/>
              </w:rPr>
            </w:pPr>
          </w:p>
        </w:tc>
      </w:tr>
      <w:tr>
        <w:trPr>
          <w:trHeight w:val="156"/>
        </w:trPr>
        <w:tc>
          <w:tcPr>
            <w:tcW w:w="26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89"/>
              </w:rPr>
              <w:t>Common Stock, $0.001 par value per share</w:t>
            </w: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tcPr>
          <w:p>
            <w:pPr>
              <w:jc w:val="center"/>
              <w:ind w:right="582"/>
              <w:spacing w:after="0"/>
              <w:rPr>
                <w:sz w:val="20"/>
                <w:szCs w:val="20"/>
                <w:color w:val="auto"/>
              </w:rPr>
            </w:pPr>
            <w:r>
              <w:rPr>
                <w:rFonts w:ascii="Arial" w:cs="Arial" w:eastAsia="Arial" w:hAnsi="Arial"/>
                <w:sz w:val="12"/>
                <w:szCs w:val="12"/>
                <w:color w:val="auto"/>
                <w:w w:val="96"/>
              </w:rPr>
              <w:t>CVGW</w:t>
            </w: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tcPr>
          <w:p>
            <w:pPr>
              <w:jc w:val="center"/>
              <w:ind w:right="602"/>
              <w:spacing w:after="0"/>
              <w:rPr>
                <w:sz w:val="20"/>
                <w:szCs w:val="20"/>
                <w:color w:val="auto"/>
              </w:rPr>
            </w:pPr>
            <w:r>
              <w:rPr>
                <w:rFonts w:ascii="Arial" w:cs="Arial" w:eastAsia="Arial" w:hAnsi="Arial"/>
                <w:sz w:val="12"/>
                <w:szCs w:val="12"/>
                <w:color w:val="auto"/>
                <w:w w:val="93"/>
              </w:rPr>
              <w:t>Nasdaq Global Select Market</w:t>
            </w:r>
          </w:p>
        </w:tc>
      </w:tr>
    </w:tbl>
    <w:p>
      <w:pPr>
        <w:spacing w:after="0" w:line="84" w:lineRule="exact"/>
        <w:rPr>
          <w:sz w:val="24"/>
          <w:szCs w:val="24"/>
          <w:color w:val="auto"/>
        </w:rPr>
      </w:pPr>
    </w:p>
    <w:p>
      <w:pPr>
        <w:ind w:right="180"/>
        <w:spacing w:after="0" w:line="16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8" w:lineRule="exact"/>
        <w:rPr>
          <w:sz w:val="24"/>
          <w:szCs w:val="24"/>
          <w:color w:val="auto"/>
        </w:rPr>
      </w:pPr>
    </w:p>
    <w:p>
      <w:pPr>
        <w:ind w:right="160"/>
        <w:spacing w:after="0" w:line="163"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8" w:lineRule="exact"/>
        <w:rPr>
          <w:sz w:val="24"/>
          <w:szCs w:val="24"/>
          <w:color w:val="auto"/>
        </w:rPr>
      </w:pPr>
    </w:p>
    <w:p>
      <w:pPr>
        <w:ind w:right="320"/>
        <w:spacing w:after="0" w:line="30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p>
      <w:pPr>
        <w:spacing w:after="0" w:line="138" w:lineRule="exact"/>
        <w:tabs>
          <w:tab w:leader="none" w:pos="3120" w:val="left"/>
          <w:tab w:leader="none" w:pos="5380" w:val="left"/>
          <w:tab w:leader="none" w:pos="804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4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4" w:lineRule="exact"/>
        <w:rPr>
          <w:sz w:val="24"/>
          <w:szCs w:val="24"/>
          <w:color w:val="auto"/>
        </w:rPr>
      </w:pPr>
    </w:p>
    <w:p>
      <w:pPr>
        <w:ind w:right="140"/>
        <w:spacing w:after="0" w:line="17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9" w:lineRule="exact"/>
        <w:rPr>
          <w:sz w:val="24"/>
          <w:szCs w:val="24"/>
          <w:color w:val="auto"/>
        </w:rPr>
      </w:pPr>
    </w:p>
    <w:p>
      <w:pPr>
        <w:ind w:right="4000"/>
        <w:spacing w:after="0" w:line="213"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Registrant's number of shares of common stock outstanding as of February 28, 2023 was 17,742,661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448310</wp:posOffset>
            </wp:positionV>
            <wp:extent cx="652335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3355" cy="19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652335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3355" cy="19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52335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3355" cy="1968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49530</wp:posOffset>
            </wp:positionV>
            <wp:extent cx="16294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9410" cy="6350"/>
                    </a:xfrm>
                    <a:prstGeom prst="rect">
                      <a:avLst/>
                    </a:prstGeom>
                    <a:noFill/>
                  </pic:spPr>
                </pic:pic>
              </a:graphicData>
            </a:graphic>
          </wp:anchor>
        </w:drawing>
      </w:r>
    </w:p>
    <w:p>
      <w:pPr>
        <w:sectPr>
          <w:pgSz w:w="11900" w:h="16838" w:orient="portrait"/>
          <w:cols w:equalWidth="0" w:num="1">
            <w:col w:w="10280"/>
          </w:cols>
          <w:pgMar w:left="800" w:top="541" w:right="81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FORWARD-LOOKING STATEMENTS</w:t>
      </w:r>
    </w:p>
    <w:p>
      <w:pPr>
        <w:spacing w:after="0" w:line="119" w:lineRule="exact"/>
        <w:rPr>
          <w:sz w:val="20"/>
          <w:szCs w:val="20"/>
          <w:color w:val="auto"/>
        </w:rPr>
      </w:pPr>
    </w:p>
    <w:p>
      <w:pPr>
        <w:ind w:left="20" w:right="39" w:firstLine="198"/>
        <w:spacing w:after="0" w:line="271" w:lineRule="auto"/>
        <w:rPr>
          <w:sz w:val="20"/>
          <w:szCs w:val="20"/>
          <w:color w:val="auto"/>
        </w:rPr>
      </w:pPr>
      <w:r>
        <w:rPr>
          <w:rFonts w:ascii="Arial" w:cs="Arial" w:eastAsia="Arial" w:hAnsi="Arial"/>
          <w:sz w:val="12"/>
          <w:szCs w:val="12"/>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use of words such as "anticipates," "estimates," "expects," "projects," "intends," "plans" and "believes," among others, generally identify forward-looking statements.</w:t>
      </w:r>
    </w:p>
    <w:p>
      <w:pPr>
        <w:spacing w:after="0" w:line="93" w:lineRule="exact"/>
        <w:rPr>
          <w:sz w:val="20"/>
          <w:szCs w:val="20"/>
          <w:color w:val="auto"/>
        </w:rPr>
      </w:pPr>
    </w:p>
    <w:p>
      <w:pPr>
        <w:ind w:left="20" w:right="99" w:firstLine="198"/>
        <w:spacing w:after="0" w:line="287" w:lineRule="auto"/>
        <w:rPr>
          <w:sz w:val="20"/>
          <w:szCs w:val="20"/>
          <w:color w:val="auto"/>
        </w:rPr>
      </w:pPr>
      <w:r>
        <w:rPr>
          <w:rFonts w:ascii="Arial" w:cs="Arial" w:eastAsia="Arial" w:hAnsi="Arial"/>
          <w:sz w:val="12"/>
          <w:szCs w:val="12"/>
          <w:color w:val="auto"/>
        </w:rPr>
        <w:t>Risks and uncertainties that may cause our actual results to be materially different from any future results expressed or implied by the forward-looking statements include, but are not limited to, the following: the ability of our new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of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80" w:lineRule="exact"/>
        <w:rPr>
          <w:sz w:val="20"/>
          <w:szCs w:val="20"/>
          <w:color w:val="auto"/>
        </w:rPr>
      </w:pPr>
    </w:p>
    <w:p>
      <w:pPr>
        <w:ind w:left="20" w:right="99" w:firstLine="198"/>
        <w:spacing w:after="0" w:line="254" w:lineRule="auto"/>
        <w:rPr>
          <w:sz w:val="20"/>
          <w:szCs w:val="20"/>
          <w:color w:val="auto"/>
        </w:rPr>
      </w:pPr>
      <w:r>
        <w:rPr>
          <w:rFonts w:ascii="Arial" w:cs="Arial" w:eastAsia="Arial" w:hAnsi="Arial"/>
          <w:sz w:val="13"/>
          <w:szCs w:val="13"/>
          <w:color w:val="auto"/>
        </w:rPr>
        <w:t>For a further discussion of these risks and uncertainties and other risks and uncertainties that we face, please see the risk factors described in our most recent Annual Report on Form 10-K for the fiscal year ended October 31, 2022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CALAVO GROWERS, INC.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INDEX</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00"/>
        </w:trPr>
        <w:tc>
          <w:tcPr>
            <w:tcW w:w="7360" w:type="dxa"/>
            <w:vAlign w:val="bottom"/>
            <w:gridSpan w:val="20"/>
          </w:tcPr>
          <w:p>
            <w:pPr>
              <w:spacing w:after="0"/>
              <w:rPr>
                <w:sz w:val="20"/>
                <w:szCs w:val="20"/>
                <w:color w:val="auto"/>
              </w:rPr>
            </w:pPr>
            <w:r>
              <w:rPr>
                <w:rFonts w:ascii="Arial" w:cs="Arial" w:eastAsia="Arial" w:hAnsi="Arial"/>
                <w:sz w:val="14"/>
                <w:szCs w:val="14"/>
                <w:b w:val="1"/>
                <w:bCs w:val="1"/>
                <w:color w:val="0000EE"/>
              </w:rPr>
              <w:t>PART I. FINANCIAL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60" w:type="dxa"/>
            <w:vAlign w:val="bottom"/>
            <w:tcBorders>
              <w:top w:val="single" w:sz="8" w:color="0000EE"/>
            </w:tcBorders>
          </w:tcPr>
          <w:p>
            <w:pPr>
              <w:spacing w:after="0"/>
              <w:rPr>
                <w:sz w:val="20"/>
                <w:szCs w:val="20"/>
                <w:color w:val="auto"/>
              </w:rPr>
            </w:pPr>
            <w:r>
              <w:rPr>
                <w:rFonts w:ascii="Arial" w:cs="Arial" w:eastAsia="Arial" w:hAnsi="Arial"/>
                <w:sz w:val="12"/>
                <w:szCs w:val="12"/>
                <w:color w:val="0000EE"/>
                <w:w w:val="92"/>
              </w:rPr>
              <w:t>Item 1.</w:t>
            </w:r>
          </w:p>
        </w:tc>
        <w:tc>
          <w:tcPr>
            <w:tcW w:w="180" w:type="dxa"/>
            <w:vAlign w:val="bottom"/>
            <w:tcBorders>
              <w:top w:val="single" w:sz="8" w:color="0000EE"/>
            </w:tcBorders>
            <w:gridSpan w:val="3"/>
          </w:tcPr>
          <w:p>
            <w:pPr>
              <w:spacing w:after="0"/>
              <w:rPr>
                <w:sz w:val="24"/>
                <w:szCs w:val="24"/>
                <w:color w:val="auto"/>
              </w:rPr>
            </w:pPr>
          </w:p>
        </w:tc>
        <w:tc>
          <w:tcPr>
            <w:tcW w:w="1800" w:type="dxa"/>
            <w:vAlign w:val="bottom"/>
            <w:tcBorders>
              <w:top w:val="single" w:sz="8" w:color="0000EE"/>
            </w:tcBorders>
            <w:gridSpan w:val="8"/>
          </w:tcPr>
          <w:p>
            <w:pPr>
              <w:spacing w:after="0"/>
              <w:rPr>
                <w:sz w:val="20"/>
                <w:szCs w:val="20"/>
                <w:color w:val="auto"/>
              </w:rPr>
            </w:pPr>
            <w:r>
              <w:rPr>
                <w:rFonts w:ascii="Arial" w:cs="Arial" w:eastAsia="Arial" w:hAnsi="Arial"/>
                <w:sz w:val="12"/>
                <w:szCs w:val="12"/>
                <w:color w:val="0000EE"/>
                <w:w w:val="99"/>
              </w:rPr>
              <w:t>Financial Statements (unaudited):</w:t>
            </w:r>
          </w:p>
        </w:tc>
        <w:tc>
          <w:tcPr>
            <w:tcW w:w="5020" w:type="dxa"/>
            <w:vAlign w:val="bottom"/>
            <w:gridSpan w:val="8"/>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16"/>
          </w:tcPr>
          <w:p>
            <w:pPr>
              <w:spacing w:after="0"/>
              <w:rPr>
                <w:sz w:val="20"/>
                <w:szCs w:val="20"/>
                <w:color w:val="auto"/>
              </w:rPr>
            </w:pPr>
            <w:r>
              <w:rPr>
                <w:rFonts w:ascii="Arial" w:cs="Arial" w:eastAsia="Arial" w:hAnsi="Arial"/>
                <w:sz w:val="12"/>
                <w:szCs w:val="12"/>
                <w:color w:val="0000EE"/>
              </w:rPr>
              <w:t>Consolidated Condensed Balance Sheets – January 31, 2023 and October 31, 2022</w:t>
            </w:r>
          </w:p>
        </w:tc>
        <w:tc>
          <w:tcPr>
            <w:tcW w:w="16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line="20" w:lineRule="exact"/>
              <w:rPr>
                <w:sz w:val="1"/>
                <w:szCs w:val="1"/>
                <w:color w:val="auto"/>
              </w:rPr>
            </w:pPr>
          </w:p>
        </w:tc>
      </w:tr>
      <w:tr>
        <w:trPr>
          <w:trHeight w:val="29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16"/>
          </w:tcPr>
          <w:p>
            <w:pPr>
              <w:spacing w:after="0"/>
              <w:rPr>
                <w:sz w:val="20"/>
                <w:szCs w:val="20"/>
                <w:color w:val="auto"/>
              </w:rPr>
            </w:pPr>
            <w:r>
              <w:rPr>
                <w:rFonts w:ascii="Arial" w:cs="Arial" w:eastAsia="Arial" w:hAnsi="Arial"/>
                <w:sz w:val="12"/>
                <w:szCs w:val="12"/>
                <w:color w:val="0000EE"/>
              </w:rPr>
              <w:t>Consolidated Condensed Statements of Operations – Three Months Ended January 31, 2023 and 2022</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Borders>
              <w:bottom w:val="single" w:sz="8" w:color="0000EE"/>
            </w:tcBorders>
            <w:gridSpan w:val="14"/>
          </w:tcPr>
          <w:p>
            <w:pPr>
              <w:spacing w:after="0"/>
              <w:rPr>
                <w:sz w:val="20"/>
                <w:szCs w:val="20"/>
                <w:color w:val="auto"/>
              </w:rPr>
            </w:pPr>
            <w:r>
              <w:rPr>
                <w:rFonts w:ascii="Arial" w:cs="Arial" w:eastAsia="Arial" w:hAnsi="Arial"/>
                <w:sz w:val="12"/>
                <w:szCs w:val="12"/>
                <w:color w:val="0000EE"/>
                <w:w w:val="91"/>
              </w:rPr>
              <w:t>Consolidated Condensed Statements of Cash Flows – Three Months Ended January 31, 2023 and 2022</w:t>
            </w:r>
          </w:p>
        </w:tc>
        <w:tc>
          <w:tcPr>
            <w:tcW w:w="174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gridSpan w:val="16"/>
          </w:tcPr>
          <w:p>
            <w:pPr>
              <w:spacing w:after="0"/>
              <w:rPr>
                <w:sz w:val="20"/>
                <w:szCs w:val="20"/>
                <w:color w:val="auto"/>
              </w:rPr>
            </w:pPr>
            <w:r>
              <w:rPr>
                <w:rFonts w:ascii="Arial" w:cs="Arial" w:eastAsia="Arial" w:hAnsi="Arial"/>
                <w:sz w:val="12"/>
                <w:szCs w:val="12"/>
                <w:color w:val="0000EE"/>
              </w:rPr>
              <w:t>Consolidated Condensed Statements of Shareholders’ Equity – Three Months Ended January 31, 2023 and 2022</w:t>
            </w:r>
          </w:p>
        </w:tc>
        <w:tc>
          <w:tcPr>
            <w:tcW w:w="16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2"/>
                <w:szCs w:val="12"/>
                <w:color w:val="0000EE"/>
                <w:w w:val="91"/>
              </w:rPr>
              <w:t>Notes to Consolidated Condensed Financial Statements</w:t>
            </w:r>
          </w:p>
        </w:tc>
        <w:tc>
          <w:tcPr>
            <w:tcW w:w="2800" w:type="dxa"/>
            <w:vAlign w:val="bottom"/>
            <w:tcBorders>
              <w:top w:val="single" w:sz="8" w:color="0000EE"/>
            </w:tcBorders>
            <w:gridSpan w:val="6"/>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89"/>
        </w:trPr>
        <w:tc>
          <w:tcPr>
            <w:tcW w:w="3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7"/>
              </w:rPr>
              <w:t>Item 2.</w:t>
            </w:r>
          </w:p>
        </w:tc>
        <w:tc>
          <w:tcPr>
            <w:tcW w:w="160" w:type="dxa"/>
            <w:vAlign w:val="bottom"/>
            <w:gridSpan w:val="2"/>
          </w:tcPr>
          <w:p>
            <w:pPr>
              <w:spacing w:after="0"/>
              <w:rPr>
                <w:sz w:val="24"/>
                <w:szCs w:val="24"/>
                <w:color w:val="auto"/>
              </w:rPr>
            </w:pPr>
          </w:p>
        </w:tc>
        <w:tc>
          <w:tcPr>
            <w:tcW w:w="4420" w:type="dxa"/>
            <w:vAlign w:val="bottom"/>
            <w:tcBorders>
              <w:bottom w:val="single" w:sz="8" w:color="0000EE"/>
            </w:tcBorders>
            <w:gridSpan w:val="12"/>
          </w:tcPr>
          <w:p>
            <w:pPr>
              <w:spacing w:after="0"/>
              <w:rPr>
                <w:sz w:val="20"/>
                <w:szCs w:val="20"/>
                <w:color w:val="auto"/>
              </w:rPr>
            </w:pPr>
            <w:r>
              <w:rPr>
                <w:rFonts w:ascii="Arial" w:cs="Arial" w:eastAsia="Arial" w:hAnsi="Arial"/>
                <w:sz w:val="12"/>
                <w:szCs w:val="12"/>
                <w:color w:val="0000EE"/>
                <w:w w:val="93"/>
              </w:rPr>
              <w:t>Management's Discussion and Analysis of Financial Condition and Results of Operations</w:t>
            </w:r>
          </w:p>
        </w:tc>
        <w:tc>
          <w:tcPr>
            <w:tcW w:w="240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89"/>
        </w:trPr>
        <w:tc>
          <w:tcPr>
            <w:tcW w:w="380" w:type="dxa"/>
            <w:vAlign w:val="bottom"/>
            <w:gridSpan w:val="2"/>
          </w:tcPr>
          <w:p>
            <w:pPr>
              <w:spacing w:after="0"/>
              <w:rPr>
                <w:sz w:val="20"/>
                <w:szCs w:val="20"/>
                <w:color w:val="auto"/>
              </w:rPr>
            </w:pPr>
            <w:r>
              <w:rPr>
                <w:rFonts w:ascii="Arial" w:cs="Arial" w:eastAsia="Arial" w:hAnsi="Arial"/>
                <w:sz w:val="12"/>
                <w:szCs w:val="12"/>
                <w:color w:val="0000EE"/>
                <w:w w:val="97"/>
              </w:rPr>
              <w:t>Item 3.</w:t>
            </w:r>
          </w:p>
        </w:tc>
        <w:tc>
          <w:tcPr>
            <w:tcW w:w="160" w:type="dxa"/>
            <w:vAlign w:val="bottom"/>
            <w:gridSpan w:val="2"/>
          </w:tcPr>
          <w:p>
            <w:pPr>
              <w:spacing w:after="0"/>
              <w:rPr>
                <w:sz w:val="24"/>
                <w:szCs w:val="24"/>
                <w:color w:val="auto"/>
              </w:rPr>
            </w:pPr>
          </w:p>
        </w:tc>
        <w:tc>
          <w:tcPr>
            <w:tcW w:w="6820" w:type="dxa"/>
            <w:vAlign w:val="bottom"/>
            <w:gridSpan w:val="16"/>
          </w:tcPr>
          <w:p>
            <w:pPr>
              <w:spacing w:after="0"/>
              <w:rPr>
                <w:sz w:val="20"/>
                <w:szCs w:val="20"/>
                <w:color w:val="auto"/>
              </w:rPr>
            </w:pPr>
            <w:r>
              <w:rPr>
                <w:rFonts w:ascii="Arial" w:cs="Arial" w:eastAsia="Arial" w:hAnsi="Arial"/>
                <w:sz w:val="12"/>
                <w:szCs w:val="12"/>
                <w:color w:val="0000EE"/>
              </w:rPr>
              <w:t>Quantitative and Qualitative Disclosures About Market Risk</w:t>
            </w:r>
          </w:p>
        </w:tc>
        <w:tc>
          <w:tcPr>
            <w:tcW w:w="16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89"/>
        </w:trPr>
        <w:tc>
          <w:tcPr>
            <w:tcW w:w="360" w:type="dxa"/>
            <w:vAlign w:val="bottom"/>
            <w:tcBorders>
              <w:top w:val="single" w:sz="8" w:color="0000EE"/>
            </w:tcBorders>
          </w:tcPr>
          <w:p>
            <w:pPr>
              <w:spacing w:after="0"/>
              <w:rPr>
                <w:sz w:val="20"/>
                <w:szCs w:val="20"/>
                <w:color w:val="auto"/>
              </w:rPr>
            </w:pPr>
            <w:r>
              <w:rPr>
                <w:rFonts w:ascii="Arial" w:cs="Arial" w:eastAsia="Arial" w:hAnsi="Arial"/>
                <w:sz w:val="12"/>
                <w:szCs w:val="12"/>
                <w:color w:val="0000EE"/>
                <w:w w:val="92"/>
              </w:rPr>
              <w:t>Item 4.</w:t>
            </w:r>
          </w:p>
        </w:tc>
        <w:tc>
          <w:tcPr>
            <w:tcW w:w="2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2980" w:type="dxa"/>
            <w:vAlign w:val="bottom"/>
            <w:tcBorders>
              <w:top w:val="single" w:sz="8" w:color="0000EE"/>
            </w:tcBorders>
            <w:gridSpan w:val="10"/>
          </w:tcPr>
          <w:p>
            <w:pPr>
              <w:spacing w:after="0"/>
              <w:rPr>
                <w:sz w:val="20"/>
                <w:szCs w:val="20"/>
                <w:color w:val="auto"/>
              </w:rPr>
            </w:pPr>
            <w:r>
              <w:rPr>
                <w:rFonts w:ascii="Arial" w:cs="Arial" w:eastAsia="Arial" w:hAnsi="Arial"/>
                <w:sz w:val="12"/>
                <w:szCs w:val="12"/>
                <w:color w:val="0000EE"/>
              </w:rPr>
              <w:t>Controls and Procedures</w:t>
            </w:r>
          </w:p>
        </w:tc>
        <w:tc>
          <w:tcPr>
            <w:tcW w:w="384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360" w:type="dxa"/>
            <w:vAlign w:val="bottom"/>
            <w:gridSpan w:val="20"/>
          </w:tcPr>
          <w:p>
            <w:pPr>
              <w:spacing w:after="0"/>
              <w:rPr>
                <w:sz w:val="20"/>
                <w:szCs w:val="20"/>
                <w:color w:val="auto"/>
              </w:rPr>
            </w:pPr>
            <w:r>
              <w:rPr>
                <w:rFonts w:ascii="Arial" w:cs="Arial" w:eastAsia="Arial" w:hAnsi="Arial"/>
                <w:sz w:val="12"/>
                <w:szCs w:val="12"/>
                <w:b w:val="1"/>
                <w:bCs w:val="1"/>
                <w:color w:val="0000EE"/>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80" w:type="dxa"/>
            <w:vAlign w:val="bottom"/>
            <w:tcBorders>
              <w:top w:val="single" w:sz="8" w:color="0000EE"/>
            </w:tcBorders>
            <w:gridSpan w:val="2"/>
          </w:tcPr>
          <w:p>
            <w:pPr>
              <w:spacing w:after="0"/>
              <w:rPr>
                <w:sz w:val="20"/>
                <w:szCs w:val="20"/>
                <w:color w:val="auto"/>
              </w:rPr>
            </w:pPr>
            <w:r>
              <w:rPr>
                <w:rFonts w:ascii="Arial" w:cs="Arial" w:eastAsia="Arial" w:hAnsi="Arial"/>
                <w:sz w:val="12"/>
                <w:szCs w:val="12"/>
                <w:color w:val="0000EE"/>
                <w:w w:val="97"/>
              </w:rPr>
              <w:t>Item 1.</w:t>
            </w:r>
          </w:p>
        </w:tc>
        <w:tc>
          <w:tcPr>
            <w:tcW w:w="160" w:type="dxa"/>
            <w:vAlign w:val="bottom"/>
            <w:tcBorders>
              <w:top w:val="single" w:sz="8" w:color="0000EE"/>
            </w:tcBorders>
            <w:gridSpan w:val="2"/>
          </w:tcPr>
          <w:p>
            <w:pPr>
              <w:spacing w:after="0"/>
              <w:rPr>
                <w:sz w:val="24"/>
                <w:szCs w:val="24"/>
                <w:color w:val="auto"/>
              </w:rPr>
            </w:pPr>
          </w:p>
        </w:tc>
        <w:tc>
          <w:tcPr>
            <w:tcW w:w="1360" w:type="dxa"/>
            <w:vAlign w:val="bottom"/>
            <w:tcBorders>
              <w:top w:val="single" w:sz="8" w:color="0000EE"/>
            </w:tcBorders>
            <w:gridSpan w:val="6"/>
          </w:tcPr>
          <w:p>
            <w:pPr>
              <w:spacing w:after="0"/>
              <w:rPr>
                <w:sz w:val="20"/>
                <w:szCs w:val="20"/>
                <w:color w:val="auto"/>
              </w:rPr>
            </w:pPr>
            <w:r>
              <w:rPr>
                <w:rFonts w:ascii="Arial" w:cs="Arial" w:eastAsia="Arial" w:hAnsi="Arial"/>
                <w:sz w:val="12"/>
                <w:szCs w:val="12"/>
                <w:color w:val="0000EE"/>
              </w:rPr>
              <w:t>Legal Proceedings</w:t>
            </w:r>
          </w:p>
        </w:tc>
        <w:tc>
          <w:tcPr>
            <w:tcW w:w="546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0" w:type="dxa"/>
            <w:vAlign w:val="bottom"/>
            <w:gridSpan w:val="4"/>
          </w:tcPr>
          <w:p>
            <w:pPr>
              <w:spacing w:after="0"/>
              <w:rPr>
                <w:sz w:val="20"/>
                <w:szCs w:val="20"/>
                <w:color w:val="auto"/>
              </w:rPr>
            </w:pPr>
            <w:r>
              <w:rPr>
                <w:rFonts w:ascii="Arial" w:cs="Arial" w:eastAsia="Arial" w:hAnsi="Arial"/>
                <w:sz w:val="12"/>
                <w:szCs w:val="12"/>
                <w:color w:val="0000EE"/>
              </w:rPr>
              <w:t>Item 1A.</w:t>
            </w:r>
          </w:p>
        </w:tc>
        <w:tc>
          <w:tcPr>
            <w:tcW w:w="6820" w:type="dxa"/>
            <w:vAlign w:val="bottom"/>
            <w:gridSpan w:val="16"/>
          </w:tcPr>
          <w:p>
            <w:pPr>
              <w:spacing w:after="0"/>
              <w:rPr>
                <w:sz w:val="20"/>
                <w:szCs w:val="20"/>
                <w:color w:val="auto"/>
              </w:rPr>
            </w:pPr>
            <w:r>
              <w:rPr>
                <w:rFonts w:ascii="Arial" w:cs="Arial" w:eastAsia="Arial" w:hAnsi="Arial"/>
                <w:sz w:val="12"/>
                <w:szCs w:val="12"/>
                <w:color w:val="0000EE"/>
              </w:rPr>
              <w:t>Risk Factors</w:t>
            </w:r>
          </w:p>
        </w:tc>
        <w:tc>
          <w:tcPr>
            <w:tcW w:w="1600" w:type="dxa"/>
            <w:vAlign w:val="bottom"/>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464"/>
        </w:trPr>
        <w:tc>
          <w:tcPr>
            <w:tcW w:w="360" w:type="dxa"/>
            <w:vAlign w:val="bottom"/>
            <w:tcBorders>
              <w:top w:val="single" w:sz="8" w:color="0000EE"/>
            </w:tcBorders>
          </w:tcPr>
          <w:p>
            <w:pPr>
              <w:spacing w:after="0"/>
              <w:rPr>
                <w:sz w:val="20"/>
                <w:szCs w:val="20"/>
                <w:color w:val="auto"/>
              </w:rPr>
            </w:pPr>
            <w:r>
              <w:rPr>
                <w:rFonts w:ascii="Arial" w:cs="Arial" w:eastAsia="Arial" w:hAnsi="Arial"/>
                <w:sz w:val="12"/>
                <w:szCs w:val="12"/>
                <w:color w:val="0000EE"/>
                <w:w w:val="92"/>
              </w:rPr>
              <w:t>Item 6.</w:t>
            </w:r>
          </w:p>
        </w:tc>
        <w:tc>
          <w:tcPr>
            <w:tcW w:w="80" w:type="dxa"/>
            <w:vAlign w:val="bottom"/>
            <w:tcBorders>
              <w:top w:val="single" w:sz="8" w:color="0000EE"/>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0000EE"/>
              </w:rPr>
              <w:t>Exhibits</w:t>
            </w:r>
          </w:p>
        </w:tc>
        <w:tc>
          <w:tcPr>
            <w:tcW w:w="6200" w:type="dxa"/>
            <w:vAlign w:val="bottom"/>
            <w:gridSpan w:val="13"/>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87"/>
              </w:rPr>
              <w:t>Signatures</w:t>
            </w:r>
          </w:p>
        </w:tc>
        <w:tc>
          <w:tcPr>
            <w:tcW w:w="6300" w:type="dxa"/>
            <w:vAlign w:val="bottom"/>
            <w:gridSpan w:val="1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PART I. FINANCIAL INFORMATION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1. FINANCIAL STATEMENTS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CALAVO GROWERS,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CONDENSED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January 31,</w:t>
            </w:r>
          </w:p>
        </w:tc>
        <w:tc>
          <w:tcPr>
            <w:tcW w:w="10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October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2022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 net of allowances of $4,581 (2023) and $4,199 (2022)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62,233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59,016</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44,092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38,830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Advances to suppliers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12,430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taxes receivable</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ind w:left="24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132,911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125,674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115,728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113,310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54,518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unconsolidated entities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5,433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5,433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28,653</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Intangibles, net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6,826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7,206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49,876</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47,170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396,496</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385,746</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Payable to growers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20,223</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Trade accounts payable</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10,436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51,795</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Dividend payable</w:t>
            </w: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Current portion of operating leases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6,925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Current portion of long-term obligations and finance leases</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ind w:left="24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105,122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101,953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Long-term liabilities: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Borrowings pursuant to credit facilities, long-term</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operating leases, less current portion</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50,642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52,140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Long-term obligations and finance leases, less current portion</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ind w:left="240"/>
              <w:spacing w:after="0" w:line="155" w:lineRule="exact"/>
              <w:rPr>
                <w:sz w:val="20"/>
                <w:szCs w:val="20"/>
                <w:color w:val="auto"/>
              </w:rPr>
            </w:pPr>
            <w:r>
              <w:rPr>
                <w:rFonts w:ascii="Arial" w:cs="Arial" w:eastAsia="Arial" w:hAnsi="Arial"/>
                <w:sz w:val="14"/>
                <w:szCs w:val="14"/>
                <w:color w:val="auto"/>
              </w:rPr>
              <w:t>Total long-term liabilities</w:t>
            </w: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74,599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60,422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2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color w:val="auto"/>
                <w:w w:val="93"/>
              </w:rPr>
              <w:t>Common stock ($0.001 par value, 100,000 shares authorized; 17,743 (2023) and 17,732 (2022) shares issued and</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outstanding)</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ind w:left="16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172,524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171,223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Noncontrolling interest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Retained earnings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42,945</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51,115</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shd w:val="clear" w:color="auto" w:fill="CCEEFF"/>
          </w:tcPr>
          <w:p>
            <w:pPr>
              <w:ind w:left="240"/>
              <w:spacing w:after="0" w:line="155" w:lineRule="exact"/>
              <w:rPr>
                <w:sz w:val="20"/>
                <w:szCs w:val="20"/>
                <w:color w:val="auto"/>
              </w:rPr>
            </w:pPr>
            <w:r>
              <w:rPr>
                <w:rFonts w:ascii="Arial" w:cs="Arial" w:eastAsia="Arial" w:hAnsi="Arial"/>
                <w:sz w:val="14"/>
                <w:szCs w:val="14"/>
                <w:color w:val="auto"/>
              </w:rPr>
              <w:t>Total shareholders' equity</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216,775</w:t>
            </w: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223,371</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u w:val="single" w:color="auto"/>
                <w:color w:val="auto"/>
              </w:rPr>
              <w:t>396,496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385,746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-5715</wp:posOffset>
            </wp:positionV>
            <wp:extent cx="5105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0540"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auto"/>
        </w:rPr>
        <w:t>The accompanying notes are an integral part of these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-101600</wp:posOffset>
            </wp:positionV>
            <wp:extent cx="11779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7925" cy="6350"/>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CALAVO GROWERS,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CONDENSED STATEMENTS OF OPERATIONS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162" w:lineRule="exact"/>
        <w:rPr>
          <w:sz w:val="20"/>
          <w:szCs w:val="20"/>
          <w:color w:val="auto"/>
        </w:rPr>
      </w:pPr>
    </w:p>
    <w:p>
      <w:pPr>
        <w:ind w:left="7300"/>
        <w:spacing w:after="0"/>
        <w:rPr>
          <w:sz w:val="20"/>
          <w:szCs w:val="20"/>
          <w:color w:val="auto"/>
        </w:rPr>
      </w:pPr>
      <w:r>
        <w:rPr>
          <w:rFonts w:ascii="Arial" w:cs="Arial" w:eastAsia="Arial" w:hAnsi="Arial"/>
          <w:sz w:val="11"/>
          <w:szCs w:val="11"/>
          <w:b w:val="1"/>
          <w:bCs w:val="1"/>
          <w:color w:val="auto"/>
        </w:rPr>
        <w:t>Three months ended</w:t>
      </w:r>
    </w:p>
    <w:p>
      <w:pPr>
        <w:ind w:left="7500"/>
        <w:spacing w:after="0" w:line="224" w:lineRule="auto"/>
        <w:rPr>
          <w:sz w:val="20"/>
          <w:szCs w:val="20"/>
          <w:color w:val="auto"/>
        </w:rPr>
      </w:pPr>
      <w:r>
        <w:rPr>
          <w:rFonts w:ascii="Arial" w:cs="Arial" w:eastAsia="Arial" w:hAnsi="Arial"/>
          <w:sz w:val="11"/>
          <w:szCs w:val="11"/>
          <w:b w:val="1"/>
          <w:bCs w:val="1"/>
          <w:color w:val="auto"/>
        </w:rPr>
        <w:t>January 31,</w:t>
      </w:r>
    </w:p>
    <w:tbl>
      <w:tblPr>
        <w:tblLayout w:type="fixed"/>
        <w:tblInd w:w="20" w:type="dxa"/>
        <w:tblCellMar>
          <w:top w:w="0" w:type="dxa"/>
          <w:left w:w="0" w:type="dxa"/>
          <w:bottom w:w="0" w:type="dxa"/>
          <w:right w:w="0" w:type="dxa"/>
        </w:tblCellMar>
      </w:tblPr>
      <w:tr>
        <w:trPr>
          <w:trHeight w:val="104"/>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32"/>
              <w:spacing w:after="0" w:line="104" w:lineRule="exact"/>
              <w:rPr>
                <w:sz w:val="20"/>
                <w:szCs w:val="20"/>
                <w:color w:val="auto"/>
              </w:rPr>
            </w:pPr>
            <w:r>
              <w:rPr>
                <w:rFonts w:ascii="Arial" w:cs="Arial" w:eastAsia="Arial" w:hAnsi="Arial"/>
                <w:sz w:val="11"/>
                <w:szCs w:val="11"/>
                <w:b w:val="1"/>
                <w:bCs w:val="1"/>
                <w:color w:val="auto"/>
              </w:rPr>
              <w:t>2023</w:t>
            </w: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2"/>
              <w:spacing w:after="0" w:line="104" w:lineRule="exact"/>
              <w:rPr>
                <w:sz w:val="20"/>
                <w:szCs w:val="20"/>
                <w:color w:val="auto"/>
              </w:rPr>
            </w:pPr>
            <w:r>
              <w:rPr>
                <w:rFonts w:ascii="Arial" w:cs="Arial" w:eastAsia="Arial" w:hAnsi="Arial"/>
                <w:sz w:val="11"/>
                <w:szCs w:val="11"/>
                <w:b w:val="1"/>
                <w:bCs w:val="1"/>
                <w:color w:val="auto"/>
              </w:rPr>
              <w:t>2022</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226,204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274,092</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sales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211,772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260,864</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14,432</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13,228</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16,353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15,283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Expenses related to Mexican tax matters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Impairment and charges related to Florida facility closure</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loss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(3,969)</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(2,987)</w:t>
            </w:r>
          </w:p>
        </w:tc>
        <w:tc>
          <w:tcPr>
            <w:tcW w:w="2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(416)</w:t>
            </w: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Unrealized net loss on Limoneira shares</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Loss before income taxes and loss from unconsolidated entities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(4,031)</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(4,785)</w:t>
            </w:r>
          </w:p>
        </w:tc>
        <w:tc>
          <w:tcPr>
            <w:tcW w:w="2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Income tax benefit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Net loss from unconsolidated entities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2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(2,795)</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 Net loss (income) attributable to noncontrolling interest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loss attributable to Calavo Growers, Inc.</w:t>
            </w: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(3,068)</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(4,043)</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Calavo Growers, Inc.’s net loss per share: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(0.17)</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4"/>
                <w:szCs w:val="14"/>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(0.17)</w:t>
            </w:r>
          </w:p>
        </w:tc>
        <w:tc>
          <w:tcPr>
            <w:tcW w:w="2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jc w:val="right"/>
              <w:ind w:right="31"/>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(0.23)</w:t>
            </w: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Number of shares used in per share computation: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17,673</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17,653</w:t>
            </w: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16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2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17,673</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17,653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5" w:name="page6"/>
    <w:bookmarkEnd w:id="5"/>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CALAVO GROWERS,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CONDENSED STATEMENTS OF CASH FLOWS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January 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85"/>
              <w:spacing w:after="0" w:line="104" w:lineRule="exact"/>
              <w:rPr>
                <w:sz w:val="20"/>
                <w:szCs w:val="20"/>
                <w:color w:val="auto"/>
              </w:rPr>
            </w:pPr>
            <w:r>
              <w:rPr>
                <w:rFonts w:ascii="Arial" w:cs="Arial" w:eastAsia="Arial" w:hAnsi="Arial"/>
                <w:sz w:val="11"/>
                <w:szCs w:val="11"/>
                <w:b w:val="1"/>
                <w:bCs w:val="1"/>
                <w:color w:val="auto"/>
              </w:rPr>
              <w:t>2023</w:t>
            </w: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65"/>
              <w:spacing w:after="0" w:line="104" w:lineRule="exact"/>
              <w:rPr>
                <w:sz w:val="20"/>
                <w:szCs w:val="20"/>
                <w:color w:val="auto"/>
              </w:rPr>
            </w:pPr>
            <w:r>
              <w:rPr>
                <w:rFonts w:ascii="Arial" w:cs="Arial" w:eastAsia="Arial" w:hAnsi="Arial"/>
                <w:sz w:val="11"/>
                <w:szCs w:val="11"/>
                <w:b w:val="1"/>
                <w:bCs w:val="1"/>
                <w:color w:val="auto"/>
              </w:rPr>
              <w:t>2022</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b w:val="1"/>
                <w:bCs w:val="1"/>
                <w:color w:val="auto"/>
              </w:rPr>
              <w:t>Cash Flows from Operating Activities: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line="114" w:lineRule="exact"/>
              <w:rPr>
                <w:sz w:val="20"/>
                <w:szCs w:val="20"/>
                <w:color w:val="auto"/>
              </w:rPr>
            </w:pPr>
            <w:r>
              <w:rPr>
                <w:rFonts w:ascii="Arial" w:cs="Arial" w:eastAsia="Arial" w:hAnsi="Arial"/>
                <w:sz w:val="11"/>
                <w:szCs w:val="11"/>
                <w:color w:val="auto"/>
              </w:rPr>
              <w:t>Net loss</w:t>
            </w:r>
          </w:p>
        </w:tc>
        <w:tc>
          <w:tcPr>
            <w:tcW w:w="1580" w:type="dxa"/>
            <w:vAlign w:val="bottom"/>
            <w:gridSpan w:val="2"/>
          </w:tcPr>
          <w:p>
            <w:pPr>
              <w:jc w:val="right"/>
              <w:ind w:right="52"/>
              <w:spacing w:after="0" w:line="114"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(2,795)</w:t>
            </w:r>
          </w:p>
        </w:tc>
        <w:tc>
          <w:tcPr>
            <w:tcW w:w="340" w:type="dxa"/>
            <w:vAlign w:val="bottom"/>
          </w:tcPr>
          <w:p>
            <w:pPr>
              <w:spacing w:after="0"/>
              <w:rPr>
                <w:sz w:val="9"/>
                <w:szCs w:val="9"/>
                <w:color w:val="auto"/>
              </w:rPr>
            </w:pPr>
          </w:p>
        </w:tc>
        <w:tc>
          <w:tcPr>
            <w:tcW w:w="180" w:type="dxa"/>
            <w:vAlign w:val="bottom"/>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(4,160)</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60"/>
              <w:spacing w:after="0" w:line="114" w:lineRule="exact"/>
              <w:rPr>
                <w:sz w:val="20"/>
                <w:szCs w:val="20"/>
                <w:color w:val="auto"/>
              </w:rPr>
            </w:pPr>
            <w:r>
              <w:rPr>
                <w:rFonts w:ascii="Arial" w:cs="Arial" w:eastAsia="Arial" w:hAnsi="Arial"/>
                <w:sz w:val="11"/>
                <w:szCs w:val="11"/>
                <w:color w:val="auto"/>
              </w:rPr>
              <w:t>Depreciation and amortization</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ind w:right="5"/>
              <w:spacing w:after="0" w:line="114" w:lineRule="exact"/>
              <w:rPr>
                <w:sz w:val="20"/>
                <w:szCs w:val="20"/>
                <w:color w:val="auto"/>
              </w:rPr>
            </w:pPr>
            <w:r>
              <w:rPr>
                <w:rFonts w:ascii="Arial" w:cs="Arial" w:eastAsia="Arial" w:hAnsi="Arial"/>
                <w:sz w:val="11"/>
                <w:szCs w:val="11"/>
                <w:color w:val="auto"/>
              </w:rPr>
              <w:t>4,166</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4,312</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auto"/>
              </w:rPr>
              <w:t>Non-cash operating lease expense</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
              <w:spacing w:after="0" w:line="114" w:lineRule="exact"/>
              <w:rPr>
                <w:sz w:val="20"/>
                <w:szCs w:val="20"/>
                <w:color w:val="auto"/>
              </w:rPr>
            </w:pPr>
            <w:r>
              <w:rPr>
                <w:rFonts w:ascii="Arial" w:cs="Arial" w:eastAsia="Arial" w:hAnsi="Arial"/>
                <w:sz w:val="11"/>
                <w:szCs w:val="11"/>
                <w:color w:val="auto"/>
              </w:rPr>
              <w:t>52</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49</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60"/>
              <w:spacing w:after="0" w:line="114" w:lineRule="exact"/>
              <w:rPr>
                <w:sz w:val="20"/>
                <w:szCs w:val="20"/>
                <w:color w:val="auto"/>
              </w:rPr>
            </w:pPr>
            <w:r>
              <w:rPr>
                <w:rFonts w:ascii="Arial" w:cs="Arial" w:eastAsia="Arial" w:hAnsi="Arial"/>
                <w:sz w:val="11"/>
                <w:szCs w:val="11"/>
                <w:color w:val="auto"/>
              </w:rPr>
              <w:t>Net loss (income) from unconsolidated entities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(156)</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535</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auto"/>
              </w:rPr>
              <w:t>Realized and unrealized net loss on Limoneira shares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tcBorders>
              <w:right w:val="single" w:sz="8" w:color="CCEEFF"/>
            </w:tcBorders>
            <w:gridSpan w:val="2"/>
            <w:shd w:val="clear" w:color="auto" w:fill="CCEEFF"/>
          </w:tcPr>
          <w:p>
            <w:pPr>
              <w:jc w:val="right"/>
              <w:ind w:right="400"/>
              <w:spacing w:after="0" w:line="114"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2,130</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60"/>
              <w:spacing w:after="0" w:line="114" w:lineRule="exact"/>
              <w:rPr>
                <w:sz w:val="20"/>
                <w:szCs w:val="20"/>
                <w:color w:val="auto"/>
              </w:rPr>
            </w:pPr>
            <w:r>
              <w:rPr>
                <w:rFonts w:ascii="Arial" w:cs="Arial" w:eastAsia="Arial" w:hAnsi="Arial"/>
                <w:sz w:val="11"/>
                <w:szCs w:val="11"/>
                <w:color w:val="auto"/>
              </w:rPr>
              <w:t>Impairment and non-cash charges related to closure of Florida facility</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400"/>
              <w:spacing w:after="0" w:line="114"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317</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auto"/>
              </w:rPr>
              <w:t>Provision for uncollectible Mexican IVA taxes receivable</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
              <w:spacing w:after="0" w:line="114" w:lineRule="exact"/>
              <w:rPr>
                <w:sz w:val="20"/>
                <w:szCs w:val="20"/>
                <w:color w:val="auto"/>
              </w:rPr>
            </w:pPr>
            <w:r>
              <w:rPr>
                <w:rFonts w:ascii="Arial" w:cs="Arial" w:eastAsia="Arial" w:hAnsi="Arial"/>
                <w:sz w:val="11"/>
                <w:szCs w:val="11"/>
                <w:color w:val="auto"/>
              </w:rPr>
              <w:t>1,404</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60"/>
              <w:spacing w:after="0" w:line="114" w:lineRule="exact"/>
              <w:rPr>
                <w:sz w:val="20"/>
                <w:szCs w:val="20"/>
                <w:color w:val="auto"/>
              </w:rPr>
            </w:pPr>
            <w:r>
              <w:rPr>
                <w:rFonts w:ascii="Arial" w:cs="Arial" w:eastAsia="Arial" w:hAnsi="Arial"/>
                <w:sz w:val="11"/>
                <w:szCs w:val="11"/>
                <w:color w:val="auto"/>
              </w:rPr>
              <w:t>Stock-based compensation expense</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ind w:right="5"/>
              <w:spacing w:after="0" w:line="114" w:lineRule="exact"/>
              <w:rPr>
                <w:sz w:val="20"/>
                <w:szCs w:val="20"/>
                <w:color w:val="auto"/>
              </w:rPr>
            </w:pPr>
            <w:r>
              <w:rPr>
                <w:rFonts w:ascii="Arial" w:cs="Arial" w:eastAsia="Arial" w:hAnsi="Arial"/>
                <w:sz w:val="11"/>
                <w:szCs w:val="11"/>
                <w:color w:val="auto"/>
              </w:rPr>
              <w:t>1,253</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556</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auto"/>
              </w:rPr>
              <w:t>Gain on sale of Temecula packinghouse</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(54)</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(54)</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line="114" w:lineRule="exact"/>
              <w:rPr>
                <w:sz w:val="20"/>
                <w:szCs w:val="20"/>
                <w:color w:val="auto"/>
              </w:rPr>
            </w:pPr>
            <w:r>
              <w:rPr>
                <w:rFonts w:ascii="Arial" w:cs="Arial" w:eastAsia="Arial" w:hAnsi="Arial"/>
                <w:sz w:val="11"/>
                <w:szCs w:val="11"/>
                <w:color w:val="auto"/>
              </w:rPr>
              <w:t>Effect on cash of changes in operating assets and liabilities: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140"/>
              <w:spacing w:after="0" w:line="114" w:lineRule="exact"/>
              <w:rPr>
                <w:sz w:val="20"/>
                <w:szCs w:val="20"/>
                <w:color w:val="auto"/>
              </w:rPr>
            </w:pPr>
            <w:r>
              <w:rPr>
                <w:rFonts w:ascii="Arial" w:cs="Arial" w:eastAsia="Arial" w:hAnsi="Arial"/>
                <w:sz w:val="11"/>
                <w:szCs w:val="11"/>
                <w:color w:val="auto"/>
              </w:rPr>
              <w:t>Accounts receivable, net</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(3,217)</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(10,601)</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140"/>
              <w:spacing w:after="0" w:line="114" w:lineRule="exact"/>
              <w:rPr>
                <w:sz w:val="20"/>
                <w:szCs w:val="20"/>
                <w:color w:val="auto"/>
              </w:rPr>
            </w:pPr>
            <w:r>
              <w:rPr>
                <w:rFonts w:ascii="Arial" w:cs="Arial" w:eastAsia="Arial" w:hAnsi="Arial"/>
                <w:sz w:val="11"/>
                <w:szCs w:val="11"/>
                <w:color w:val="auto"/>
              </w:rPr>
              <w:t>Inventories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(5,262)</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(11,735)</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140"/>
              <w:spacing w:after="0" w:line="114" w:lineRule="exact"/>
              <w:rPr>
                <w:sz w:val="20"/>
                <w:szCs w:val="20"/>
                <w:color w:val="auto"/>
              </w:rPr>
            </w:pPr>
            <w:r>
              <w:rPr>
                <w:rFonts w:ascii="Arial" w:cs="Arial" w:eastAsia="Arial" w:hAnsi="Arial"/>
                <w:sz w:val="11"/>
                <w:szCs w:val="11"/>
                <w:color w:val="auto"/>
              </w:rPr>
              <w:t>Prepaid expenses and other current assets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(2,050)</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(1,559)</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140"/>
              <w:spacing w:after="0" w:line="114" w:lineRule="exact"/>
              <w:rPr>
                <w:sz w:val="20"/>
                <w:szCs w:val="20"/>
                <w:color w:val="auto"/>
              </w:rPr>
            </w:pPr>
            <w:r>
              <w:rPr>
                <w:rFonts w:ascii="Arial" w:cs="Arial" w:eastAsia="Arial" w:hAnsi="Arial"/>
                <w:sz w:val="11"/>
                <w:szCs w:val="11"/>
                <w:color w:val="auto"/>
              </w:rPr>
              <w:t>Advances to suppliers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ind w:right="5"/>
              <w:spacing w:after="0" w:line="114" w:lineRule="exact"/>
              <w:rPr>
                <w:sz w:val="20"/>
                <w:szCs w:val="20"/>
                <w:color w:val="auto"/>
              </w:rPr>
            </w:pPr>
            <w:r>
              <w:rPr>
                <w:rFonts w:ascii="Arial" w:cs="Arial" w:eastAsia="Arial" w:hAnsi="Arial"/>
                <w:sz w:val="11"/>
                <w:szCs w:val="11"/>
                <w:color w:val="auto"/>
              </w:rPr>
              <w:t>2,676</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(3,258)</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140"/>
              <w:spacing w:after="0" w:line="114" w:lineRule="exact"/>
              <w:rPr>
                <w:sz w:val="20"/>
                <w:szCs w:val="20"/>
                <w:color w:val="auto"/>
              </w:rPr>
            </w:pPr>
            <w:r>
              <w:rPr>
                <w:rFonts w:ascii="Arial" w:cs="Arial" w:eastAsia="Arial" w:hAnsi="Arial"/>
                <w:sz w:val="11"/>
                <w:szCs w:val="11"/>
                <w:color w:val="auto"/>
              </w:rPr>
              <w:t>Income taxes receivable/payable</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(721)</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3,508</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ind w:left="140"/>
              <w:spacing w:after="0" w:line="114" w:lineRule="exact"/>
              <w:rPr>
                <w:sz w:val="20"/>
                <w:szCs w:val="20"/>
                <w:color w:val="auto"/>
              </w:rPr>
            </w:pPr>
            <w:r>
              <w:rPr>
                <w:rFonts w:ascii="Arial" w:cs="Arial" w:eastAsia="Arial" w:hAnsi="Arial"/>
                <w:sz w:val="11"/>
                <w:szCs w:val="11"/>
                <w:color w:val="auto"/>
              </w:rPr>
              <w:t>Other assets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(4,094)</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(308)</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ind w:left="140"/>
              <w:spacing w:after="0" w:line="114" w:lineRule="exact"/>
              <w:rPr>
                <w:sz w:val="20"/>
                <w:szCs w:val="20"/>
                <w:color w:val="auto"/>
              </w:rPr>
            </w:pPr>
            <w:r>
              <w:rPr>
                <w:rFonts w:ascii="Arial" w:cs="Arial" w:eastAsia="Arial" w:hAnsi="Arial"/>
                <w:sz w:val="11"/>
                <w:szCs w:val="11"/>
                <w:color w:val="auto"/>
              </w:rPr>
              <w:t>Payable to growers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(4,104)</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14,765</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Borders>
              <w:bottom w:val="single" w:sz="8" w:color="CCEEFF"/>
            </w:tcBorders>
          </w:tcPr>
          <w:p>
            <w:pPr>
              <w:ind w:left="140"/>
              <w:spacing w:after="0" w:line="114" w:lineRule="exact"/>
              <w:rPr>
                <w:sz w:val="20"/>
                <w:szCs w:val="20"/>
                <w:color w:val="auto"/>
              </w:rPr>
            </w:pPr>
            <w:r>
              <w:rPr>
                <w:rFonts w:ascii="Arial" w:cs="Arial" w:eastAsia="Arial" w:hAnsi="Arial"/>
                <w:sz w:val="11"/>
                <w:szCs w:val="11"/>
                <w:color w:val="auto"/>
              </w:rPr>
              <w:t>Trade accounts payable, accrued expenses and other liabilities</w:t>
            </w:r>
          </w:p>
        </w:tc>
        <w:tc>
          <w:tcPr>
            <w:tcW w:w="14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5"/>
              <w:spacing w:after="0" w:line="114" w:lineRule="exact"/>
              <w:rPr>
                <w:sz w:val="20"/>
                <w:szCs w:val="20"/>
                <w:color w:val="auto"/>
              </w:rPr>
            </w:pPr>
            <w:r>
              <w:rPr>
                <w:rFonts w:ascii="Arial" w:cs="Arial" w:eastAsia="Arial" w:hAnsi="Arial"/>
                <w:sz w:val="11"/>
                <w:szCs w:val="11"/>
                <w:color w:val="auto"/>
              </w:rPr>
              <w:t>7,026</w:t>
            </w:r>
          </w:p>
        </w:tc>
        <w:tc>
          <w:tcPr>
            <w:tcW w:w="3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7,891</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shd w:val="clear" w:color="auto" w:fill="CCEEFF"/>
          </w:tcPr>
          <w:p>
            <w:pPr>
              <w:ind w:left="300"/>
              <w:spacing w:after="0" w:line="104" w:lineRule="exact"/>
              <w:rPr>
                <w:sz w:val="20"/>
                <w:szCs w:val="20"/>
                <w:color w:val="auto"/>
              </w:rPr>
            </w:pPr>
            <w:r>
              <w:rPr>
                <w:rFonts w:ascii="Arial" w:cs="Arial" w:eastAsia="Arial" w:hAnsi="Arial"/>
                <w:sz w:val="11"/>
                <w:szCs w:val="11"/>
                <w:color w:val="auto"/>
              </w:rPr>
              <w:t>Net cash provided by (used in) operating activities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(5,876)</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2,388</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line="114" w:lineRule="exact"/>
              <w:rPr>
                <w:sz w:val="20"/>
                <w:szCs w:val="20"/>
                <w:color w:val="auto"/>
              </w:rPr>
            </w:pPr>
            <w:r>
              <w:rPr>
                <w:rFonts w:ascii="Arial" w:cs="Arial" w:eastAsia="Arial" w:hAnsi="Arial"/>
                <w:sz w:val="11"/>
                <w:szCs w:val="11"/>
                <w:b w:val="1"/>
                <w:bCs w:val="1"/>
                <w:color w:val="auto"/>
              </w:rPr>
              <w:t>Cash Flows from Investing Activities: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Purchases of property, plant, and equipment</w:t>
            </w:r>
          </w:p>
        </w:tc>
        <w:tc>
          <w:tcPr>
            <w:tcW w:w="14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(5,185)</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(2,044)</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tcPr>
          <w:p>
            <w:pPr>
              <w:ind w:left="300"/>
              <w:spacing w:after="0" w:line="104" w:lineRule="exact"/>
              <w:rPr>
                <w:sz w:val="20"/>
                <w:szCs w:val="20"/>
                <w:color w:val="auto"/>
              </w:rPr>
            </w:pPr>
            <w:r>
              <w:rPr>
                <w:rFonts w:ascii="Arial" w:cs="Arial" w:eastAsia="Arial" w:hAnsi="Arial"/>
                <w:sz w:val="11"/>
                <w:szCs w:val="11"/>
                <w:color w:val="auto"/>
              </w:rPr>
              <w:t>Net cash used in investing activities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Arial" w:cs="Arial" w:eastAsia="Arial" w:hAnsi="Arial"/>
                <w:sz w:val="11"/>
                <w:szCs w:val="11"/>
                <w:color w:val="auto"/>
              </w:rPr>
              <w:t>(5,185)</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(2,044)</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b w:val="1"/>
                <w:bCs w:val="1"/>
                <w:color w:val="auto"/>
              </w:rPr>
              <w:t>Cash Flows from Financing Activities: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line="114" w:lineRule="exact"/>
              <w:rPr>
                <w:sz w:val="20"/>
                <w:szCs w:val="20"/>
                <w:color w:val="auto"/>
              </w:rPr>
            </w:pPr>
            <w:r>
              <w:rPr>
                <w:rFonts w:ascii="Arial" w:cs="Arial" w:eastAsia="Arial" w:hAnsi="Arial"/>
                <w:sz w:val="11"/>
                <w:szCs w:val="11"/>
                <w:color w:val="auto"/>
              </w:rPr>
              <w:t>Payment of dividend to shareholders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(5,102)</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(20,330)</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Proceeds from revolving credit facility</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
              <w:spacing w:after="0" w:line="114" w:lineRule="exact"/>
              <w:rPr>
                <w:sz w:val="20"/>
                <w:szCs w:val="20"/>
                <w:color w:val="auto"/>
              </w:rPr>
            </w:pPr>
            <w:r>
              <w:rPr>
                <w:rFonts w:ascii="Arial" w:cs="Arial" w:eastAsia="Arial" w:hAnsi="Arial"/>
                <w:sz w:val="11"/>
                <w:szCs w:val="11"/>
                <w:color w:val="auto"/>
              </w:rPr>
              <w:t>64,500</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96,300</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line="114" w:lineRule="exact"/>
              <w:rPr>
                <w:sz w:val="20"/>
                <w:szCs w:val="20"/>
                <w:color w:val="auto"/>
              </w:rPr>
            </w:pPr>
            <w:r>
              <w:rPr>
                <w:rFonts w:ascii="Arial" w:cs="Arial" w:eastAsia="Arial" w:hAnsi="Arial"/>
                <w:sz w:val="11"/>
                <w:szCs w:val="11"/>
                <w:color w:val="auto"/>
              </w:rPr>
              <w:t>Payments on revolving credit facility</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(49,300)</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(70,000)</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Payments of minimum withholding taxes on net share settlement of equity awards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tcBorders>
              <w:right w:val="single" w:sz="8" w:color="CCEEFF"/>
            </w:tcBorders>
            <w:gridSpan w:val="2"/>
            <w:shd w:val="clear" w:color="auto" w:fill="CCEEFF"/>
          </w:tcPr>
          <w:p>
            <w:pPr>
              <w:jc w:val="right"/>
              <w:ind w:right="400"/>
              <w:spacing w:after="0" w:line="114"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(44)</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Pr>
          <w:p>
            <w:pPr>
              <w:spacing w:after="0" w:line="114" w:lineRule="exact"/>
              <w:rPr>
                <w:sz w:val="20"/>
                <w:szCs w:val="20"/>
                <w:color w:val="auto"/>
              </w:rPr>
            </w:pPr>
            <w:r>
              <w:rPr>
                <w:rFonts w:ascii="Arial" w:cs="Arial" w:eastAsia="Arial" w:hAnsi="Arial"/>
                <w:sz w:val="11"/>
                <w:szCs w:val="11"/>
                <w:color w:val="auto"/>
              </w:rPr>
              <w:t>Payments on long-term obligations and finance leases</w:t>
            </w: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auto"/>
              </w:rPr>
              <w:t>(422)</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(376)</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Proceeds from stock option exercises</w:t>
            </w:r>
          </w:p>
        </w:tc>
        <w:tc>
          <w:tcPr>
            <w:tcW w:w="14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ind w:right="5"/>
              <w:spacing w:after="0" w:line="114" w:lineRule="exact"/>
              <w:rPr>
                <w:sz w:val="20"/>
                <w:szCs w:val="20"/>
                <w:color w:val="auto"/>
              </w:rPr>
            </w:pPr>
            <w:r>
              <w:rPr>
                <w:rFonts w:ascii="Arial" w:cs="Arial" w:eastAsia="Arial" w:hAnsi="Arial"/>
                <w:sz w:val="11"/>
                <w:szCs w:val="11"/>
                <w:color w:val="auto"/>
              </w:rPr>
              <w:t>48</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47</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tcBorders>
              <w:bottom w:val="single" w:sz="8" w:color="CCEEFF"/>
            </w:tcBorders>
          </w:tcPr>
          <w:p>
            <w:pPr>
              <w:ind w:left="300"/>
              <w:spacing w:after="0" w:line="104" w:lineRule="exact"/>
              <w:rPr>
                <w:sz w:val="20"/>
                <w:szCs w:val="20"/>
                <w:color w:val="auto"/>
              </w:rPr>
            </w:pPr>
            <w:r>
              <w:rPr>
                <w:rFonts w:ascii="Arial" w:cs="Arial" w:eastAsia="Arial" w:hAnsi="Arial"/>
                <w:sz w:val="11"/>
                <w:szCs w:val="11"/>
                <w:color w:val="auto"/>
              </w:rPr>
              <w:t>Net cash provided by financing activities</w:t>
            </w:r>
          </w:p>
        </w:tc>
        <w:tc>
          <w:tcPr>
            <w:tcW w:w="14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5"/>
              <w:spacing w:after="0" w:line="104" w:lineRule="exact"/>
              <w:rPr>
                <w:sz w:val="20"/>
                <w:szCs w:val="20"/>
                <w:color w:val="auto"/>
              </w:rPr>
            </w:pPr>
            <w:r>
              <w:rPr>
                <w:rFonts w:ascii="Arial" w:cs="Arial" w:eastAsia="Arial" w:hAnsi="Arial"/>
                <w:sz w:val="11"/>
                <w:szCs w:val="11"/>
                <w:color w:val="auto"/>
              </w:rPr>
              <w:t>9,724</w:t>
            </w:r>
          </w:p>
        </w:tc>
        <w:tc>
          <w:tcPr>
            <w:tcW w:w="3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5,597</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shd w:val="clear" w:color="auto" w:fill="CCEEFF"/>
          </w:tcPr>
          <w:p>
            <w:pPr>
              <w:spacing w:after="0" w:line="104" w:lineRule="exact"/>
              <w:rPr>
                <w:sz w:val="20"/>
                <w:szCs w:val="20"/>
                <w:color w:val="auto"/>
              </w:rPr>
            </w:pPr>
            <w:r>
              <w:rPr>
                <w:rFonts w:ascii="Arial" w:cs="Arial" w:eastAsia="Arial" w:hAnsi="Arial"/>
                <w:sz w:val="11"/>
                <w:szCs w:val="11"/>
                <w:color w:val="auto"/>
              </w:rPr>
              <w:t>Net increase (decrease) in cash, cash equivalents and restricted cash</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(1,337)</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5,941</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tcBorders>
              <w:bottom w:val="single" w:sz="8" w:color="CCEEFF"/>
            </w:tcBorders>
          </w:tcPr>
          <w:p>
            <w:pPr>
              <w:spacing w:after="0" w:line="114" w:lineRule="exact"/>
              <w:rPr>
                <w:sz w:val="20"/>
                <w:szCs w:val="20"/>
                <w:color w:val="auto"/>
              </w:rPr>
            </w:pPr>
            <w:r>
              <w:rPr>
                <w:rFonts w:ascii="Arial" w:cs="Arial" w:eastAsia="Arial" w:hAnsi="Arial"/>
                <w:sz w:val="11"/>
                <w:szCs w:val="11"/>
                <w:color w:val="auto"/>
              </w:rPr>
              <w:t>Cash, cash equivalents and restricted cash, beginning of period</w:t>
            </w:r>
          </w:p>
        </w:tc>
        <w:tc>
          <w:tcPr>
            <w:tcW w:w="14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5"/>
              <w:spacing w:after="0" w:line="114" w:lineRule="exact"/>
              <w:rPr>
                <w:sz w:val="20"/>
                <w:szCs w:val="20"/>
                <w:color w:val="auto"/>
              </w:rPr>
            </w:pPr>
            <w:r>
              <w:rPr>
                <w:rFonts w:ascii="Arial" w:cs="Arial" w:eastAsia="Arial" w:hAnsi="Arial"/>
                <w:sz w:val="11"/>
                <w:szCs w:val="11"/>
                <w:color w:val="auto"/>
              </w:rPr>
              <w:t>3,134</w:t>
            </w:r>
          </w:p>
        </w:tc>
        <w:tc>
          <w:tcPr>
            <w:tcW w:w="3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2,855</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tcBorders>
              <w:bottom w:val="single" w:sz="8" w:color="CCEEFF"/>
            </w:tcBorders>
            <w:shd w:val="clear" w:color="auto" w:fill="CCEEFF"/>
          </w:tcPr>
          <w:p>
            <w:pPr>
              <w:spacing w:after="0" w:line="104" w:lineRule="exact"/>
              <w:rPr>
                <w:sz w:val="20"/>
                <w:szCs w:val="20"/>
                <w:color w:val="auto"/>
              </w:rPr>
            </w:pPr>
            <w:r>
              <w:rPr>
                <w:rFonts w:ascii="Arial" w:cs="Arial" w:eastAsia="Arial" w:hAnsi="Arial"/>
                <w:sz w:val="11"/>
                <w:szCs w:val="11"/>
                <w:color w:val="auto"/>
              </w:rPr>
              <w:t>Cash, cash equivalents and restricted cash, end of period</w:t>
            </w:r>
          </w:p>
        </w:tc>
        <w:tc>
          <w:tcPr>
            <w:tcW w:w="14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52"/>
              <w:spacing w:after="0" w:line="104" w:lineRule="exact"/>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5"/>
              <w:spacing w:after="0" w:line="104" w:lineRule="exact"/>
              <w:rPr>
                <w:sz w:val="20"/>
                <w:szCs w:val="20"/>
                <w:color w:val="auto"/>
              </w:rPr>
            </w:pPr>
            <w:r>
              <w:rPr>
                <w:rFonts w:ascii="Arial" w:cs="Arial" w:eastAsia="Arial" w:hAnsi="Arial"/>
                <w:sz w:val="11"/>
                <w:szCs w:val="11"/>
                <w:color w:val="auto"/>
              </w:rPr>
              <w:t>1,797</w:t>
            </w:r>
          </w:p>
        </w:tc>
        <w:tc>
          <w:tcPr>
            <w:tcW w:w="340" w:type="dxa"/>
            <w:vAlign w:val="bottom"/>
            <w:tcBorders>
              <w:bottom w:val="single" w:sz="8" w:color="CCEEFF"/>
              <w:right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8,796</w:t>
            </w: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Noncash Investing and Financing Activities:</w:t>
            </w: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300" w:type="dxa"/>
            <w:vAlign w:val="bottom"/>
            <w:gridSpan w:val="2"/>
            <w:vMerge w:val="continue"/>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2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Right of use assets obtained in exchange for new financing lease obligations</w:t>
            </w:r>
          </w:p>
        </w:tc>
        <w:tc>
          <w:tcPr>
            <w:tcW w:w="14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52"/>
              <w:spacing w:after="0" w:line="114"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5"/>
              <w:spacing w:after="0" w:line="114" w:lineRule="exact"/>
              <w:rPr>
                <w:sz w:val="20"/>
                <w:szCs w:val="20"/>
                <w:color w:val="auto"/>
              </w:rPr>
            </w:pPr>
            <w:r>
              <w:rPr>
                <w:rFonts w:ascii="Arial" w:cs="Arial" w:eastAsia="Arial" w:hAnsi="Arial"/>
                <w:sz w:val="11"/>
                <w:szCs w:val="11"/>
                <w:color w:val="auto"/>
              </w:rPr>
              <w:t>1,097</w:t>
            </w:r>
          </w:p>
        </w:tc>
        <w:tc>
          <w:tcPr>
            <w:tcW w:w="34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200"/>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2"/>
            <w:vMerge w:val="restart"/>
          </w:tcPr>
          <w:p>
            <w:pPr>
              <w:spacing w:after="0" w:line="124" w:lineRule="exact"/>
              <w:rPr>
                <w:sz w:val="20"/>
                <w:szCs w:val="20"/>
                <w:color w:val="auto"/>
              </w:rPr>
            </w:pPr>
            <w:r>
              <w:rPr>
                <w:rFonts w:ascii="Arial" w:cs="Arial" w:eastAsia="Arial" w:hAnsi="Arial"/>
                <w:sz w:val="11"/>
                <w:szCs w:val="11"/>
                <w:color w:val="auto"/>
              </w:rPr>
              <w:t>Property, plant, and equipment included in trade accounts payable and accrued expenses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300" w:type="dxa"/>
            <w:vAlign w:val="bottom"/>
            <w:gridSpan w:val="2"/>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60" w:type="dxa"/>
            <w:vAlign w:val="bottom"/>
            <w:tcBorders>
              <w:bottom w:val="single" w:sz="8" w:color="auto"/>
            </w:tcBorders>
          </w:tcPr>
          <w:p>
            <w:pPr>
              <w:jc w:val="right"/>
              <w:ind w:right="52"/>
              <w:spacing w:after="0" w:line="85" w:lineRule="exact"/>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ind w:right="5"/>
              <w:spacing w:after="0" w:line="85" w:lineRule="exact"/>
              <w:rPr>
                <w:sz w:val="20"/>
                <w:szCs w:val="20"/>
                <w:color w:val="auto"/>
              </w:rPr>
            </w:pPr>
            <w:r>
              <w:rPr>
                <w:rFonts w:ascii="Arial" w:cs="Arial" w:eastAsia="Arial" w:hAnsi="Arial"/>
                <w:sz w:val="9"/>
                <w:szCs w:val="9"/>
                <w:color w:val="auto"/>
              </w:rPr>
              <w:t>98</w:t>
            </w:r>
          </w:p>
        </w:tc>
        <w:tc>
          <w:tcPr>
            <w:tcW w:w="340" w:type="dxa"/>
            <w:vAlign w:val="bottom"/>
          </w:tcPr>
          <w:p>
            <w:pPr>
              <w:spacing w:after="0"/>
              <w:rPr>
                <w:sz w:val="7"/>
                <w:szCs w:val="7"/>
                <w:color w:val="auto"/>
              </w:rPr>
            </w:pPr>
          </w:p>
        </w:tc>
        <w:tc>
          <w:tcPr>
            <w:tcW w:w="180" w:type="dxa"/>
            <w:vAlign w:val="bottom"/>
            <w:tcBorders>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line="85" w:lineRule="exact"/>
              <w:rPr>
                <w:sz w:val="20"/>
                <w:szCs w:val="20"/>
                <w:color w:val="auto"/>
              </w:rPr>
            </w:pPr>
            <w:r>
              <w:rPr>
                <w:rFonts w:ascii="Arial" w:cs="Arial" w:eastAsia="Arial" w:hAnsi="Arial"/>
                <w:sz w:val="9"/>
                <w:szCs w:val="9"/>
                <w:color w:val="auto"/>
              </w:rPr>
              <w:t>173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CALAVO GROWERS,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CONSOLIDATED CONDENSED STATEMENTS OF SHAREHOLDERS’ EQUITY (UNAUDITED)</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1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Paid-in</w:t>
            </w:r>
          </w:p>
        </w:tc>
        <w:tc>
          <w:tcPr>
            <w:tcW w:w="100" w:type="dxa"/>
            <w:vAlign w:val="bottom"/>
          </w:tcPr>
          <w:p>
            <w:pPr>
              <w:spacing w:after="0"/>
              <w:rPr>
                <w:sz w:val="10"/>
                <w:szCs w:val="1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4"/>
              </w:rPr>
              <w:t>Retained</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2"/>
              </w:rPr>
              <w:t>Noncontrolling</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jc w:val="right"/>
              <w:ind w:right="92"/>
              <w:spacing w:after="0" w:line="93" w:lineRule="exact"/>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8"/>
                <w:szCs w:val="8"/>
                <w:color w:val="auto"/>
              </w:rPr>
            </w:pPr>
          </w:p>
        </w:tc>
        <w:tc>
          <w:tcPr>
            <w:tcW w:w="480" w:type="dxa"/>
            <w:vAlign w:val="bottom"/>
          </w:tcPr>
          <w:p>
            <w:pPr>
              <w:jc w:val="right"/>
              <w:spacing w:after="0" w:line="93" w:lineRule="exact"/>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89"/>
              </w:rPr>
              <w:t>Capital</w:t>
            </w:r>
          </w:p>
        </w:tc>
        <w:tc>
          <w:tcPr>
            <w:tcW w:w="100" w:type="dxa"/>
            <w:vAlign w:val="bottom"/>
          </w:tcPr>
          <w:p>
            <w:pPr>
              <w:spacing w:after="0"/>
              <w:rPr>
                <w:sz w:val="8"/>
                <w:szCs w:val="8"/>
                <w:color w:val="auto"/>
              </w:rPr>
            </w:pPr>
          </w:p>
        </w:tc>
        <w:tc>
          <w:tcPr>
            <w:tcW w:w="680" w:type="dxa"/>
            <w:vAlign w:val="bottom"/>
            <w:gridSpan w:val="2"/>
          </w:tcPr>
          <w:p>
            <w:pPr>
              <w:jc w:val="right"/>
              <w:ind w:right="260"/>
              <w:spacing w:after="0" w:line="93" w:lineRule="exact"/>
              <w:rPr>
                <w:sz w:val="20"/>
                <w:szCs w:val="20"/>
                <w:color w:val="auto"/>
              </w:rPr>
            </w:pPr>
            <w:r>
              <w:rPr>
                <w:rFonts w:ascii="Arial" w:cs="Arial" w:eastAsia="Arial" w:hAnsi="Arial"/>
                <w:sz w:val="10"/>
                <w:szCs w:val="10"/>
                <w:b w:val="1"/>
                <w:bCs w:val="1"/>
                <w:color w:val="auto"/>
                <w:w w:val="93"/>
              </w:rPr>
              <w:t>Earnings</w:t>
            </w:r>
          </w:p>
        </w:tc>
        <w:tc>
          <w:tcPr>
            <w:tcW w:w="100" w:type="dxa"/>
            <w:vAlign w:val="bottom"/>
          </w:tcPr>
          <w:p>
            <w:pPr>
              <w:spacing w:after="0"/>
              <w:rPr>
                <w:sz w:val="8"/>
                <w:szCs w:val="8"/>
                <w:color w:val="auto"/>
              </w:rPr>
            </w:pPr>
          </w:p>
        </w:tc>
        <w:tc>
          <w:tcPr>
            <w:tcW w:w="960" w:type="dxa"/>
            <w:vAlign w:val="bottom"/>
            <w:gridSpan w:val="2"/>
          </w:tcPr>
          <w:p>
            <w:pPr>
              <w:jc w:val="right"/>
              <w:ind w:right="440"/>
              <w:spacing w:after="0" w:line="93" w:lineRule="exact"/>
              <w:rPr>
                <w:sz w:val="20"/>
                <w:szCs w:val="20"/>
                <w:color w:val="auto"/>
              </w:rPr>
            </w:pPr>
            <w:r>
              <w:rPr>
                <w:rFonts w:ascii="Arial" w:cs="Arial" w:eastAsia="Arial" w:hAnsi="Arial"/>
                <w:sz w:val="10"/>
                <w:szCs w:val="10"/>
                <w:b w:val="1"/>
                <w:bCs w:val="1"/>
                <w:color w:val="auto"/>
              </w:rPr>
              <w:t>Interest</w:t>
            </w:r>
          </w:p>
        </w:tc>
        <w:tc>
          <w:tcPr>
            <w:tcW w:w="140" w:type="dxa"/>
            <w:vAlign w:val="bottom"/>
          </w:tcPr>
          <w:p>
            <w:pPr>
              <w:spacing w:after="0"/>
              <w:rPr>
                <w:sz w:val="8"/>
                <w:szCs w:val="8"/>
                <w:color w:val="auto"/>
              </w:rPr>
            </w:pPr>
          </w:p>
        </w:tc>
        <w:tc>
          <w:tcPr>
            <w:tcW w:w="520" w:type="dxa"/>
            <w:vAlign w:val="bottom"/>
          </w:tcPr>
          <w:p>
            <w:pPr>
              <w:jc w:val="right"/>
              <w:ind w:right="172"/>
              <w:spacing w:after="0" w:line="93"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4220" w:type="dxa"/>
            <w:vAlign w:val="bottom"/>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October 31, 2021</w:t>
            </w: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17,686</w:t>
            </w:r>
          </w:p>
        </w:tc>
        <w:tc>
          <w:tcPr>
            <w:tcW w:w="620" w:type="dxa"/>
            <w:vAlign w:val="bottom"/>
            <w:gridSpan w:val="2"/>
            <w:shd w:val="clear" w:color="auto" w:fill="CCEEFF"/>
          </w:tcPr>
          <w:p>
            <w:pPr>
              <w:jc w:val="right"/>
              <w:ind w:right="392"/>
              <w:spacing w:after="0" w:line="10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18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168,133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57,364</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1,368</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76"/>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226,883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tcPr>
          <w:p>
            <w:pPr>
              <w:spacing w:after="0" w:line="104" w:lineRule="exact"/>
              <w:rPr>
                <w:sz w:val="20"/>
                <w:szCs w:val="20"/>
                <w:color w:val="auto"/>
              </w:rPr>
            </w:pPr>
            <w:r>
              <w:rPr>
                <w:rFonts w:ascii="Arial" w:cs="Arial" w:eastAsia="Arial" w:hAnsi="Arial"/>
                <w:sz w:val="10"/>
                <w:szCs w:val="10"/>
                <w:color w:val="auto"/>
              </w:rPr>
              <w:t>Exercise of stock options and income tax benefit</w:t>
            </w:r>
          </w:p>
        </w:tc>
        <w:tc>
          <w:tcPr>
            <w:tcW w:w="560" w:type="dxa"/>
            <w:vAlign w:val="bottom"/>
          </w:tcPr>
          <w:p>
            <w:pPr>
              <w:jc w:val="right"/>
              <w:spacing w:after="0" w:line="104"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jc w:val="right"/>
              <w:ind w:right="180"/>
              <w:spacing w:after="0" w:line="104"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580" w:type="dxa"/>
            <w:vAlign w:val="bottom"/>
          </w:tcPr>
          <w:p>
            <w:pPr>
              <w:jc w:val="right"/>
              <w:spacing w:after="0" w:line="104" w:lineRule="exact"/>
              <w:rPr>
                <w:sz w:val="20"/>
                <w:szCs w:val="20"/>
                <w:color w:val="auto"/>
              </w:rPr>
            </w:pPr>
            <w:r>
              <w:rPr>
                <w:rFonts w:ascii="Arial" w:cs="Arial" w:eastAsia="Arial" w:hAnsi="Arial"/>
                <w:sz w:val="10"/>
                <w:szCs w:val="10"/>
                <w:color w:val="auto"/>
              </w:rPr>
              <w:t>47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960" w:type="dxa"/>
            <w:vAlign w:val="bottom"/>
            <w:gridSpan w:val="2"/>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20" w:type="dxa"/>
            <w:vAlign w:val="bottom"/>
          </w:tcPr>
          <w:p>
            <w:pPr>
              <w:jc w:val="right"/>
              <w:spacing w:after="0" w:line="104"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Payment of min. withholding of taxes on net share settlement of equity awards</w:t>
            </w: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80"/>
              <w:spacing w:after="0" w:line="104" w:lineRule="exact"/>
              <w:rPr>
                <w:sz w:val="20"/>
                <w:szCs w:val="20"/>
                <w:color w:val="auto"/>
              </w:rPr>
            </w:pPr>
            <w:r>
              <w:rPr>
                <w:rFonts w:ascii="Arial" w:cs="Arial" w:eastAsia="Arial" w:hAnsi="Arial"/>
                <w:sz w:val="10"/>
                <w:szCs w:val="10"/>
                <w:color w:val="auto"/>
                <w:w w:val="79"/>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20"/>
              <w:spacing w:after="0" w:line="104" w:lineRule="exact"/>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tcPr>
          <w:p>
            <w:pPr>
              <w:spacing w:after="0" w:line="104" w:lineRule="exact"/>
              <w:rPr>
                <w:sz w:val="20"/>
                <w:szCs w:val="20"/>
                <w:color w:val="auto"/>
              </w:rPr>
            </w:pPr>
            <w:r>
              <w:rPr>
                <w:rFonts w:ascii="Arial" w:cs="Arial" w:eastAsia="Arial" w:hAnsi="Arial"/>
                <w:sz w:val="10"/>
                <w:szCs w:val="10"/>
                <w:color w:val="auto"/>
              </w:rPr>
              <w:t>Stock compensation expense</w:t>
            </w:r>
          </w:p>
        </w:tc>
        <w:tc>
          <w:tcPr>
            <w:tcW w:w="5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jc w:val="right"/>
              <w:ind w:right="180"/>
              <w:spacing w:after="0" w:line="104"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580" w:type="dxa"/>
            <w:vAlign w:val="bottom"/>
          </w:tcPr>
          <w:p>
            <w:pPr>
              <w:jc w:val="right"/>
              <w:spacing w:after="0" w:line="104" w:lineRule="exact"/>
              <w:rPr>
                <w:sz w:val="20"/>
                <w:szCs w:val="20"/>
                <w:color w:val="auto"/>
              </w:rPr>
            </w:pPr>
            <w:r>
              <w:rPr>
                <w:rFonts w:ascii="Arial" w:cs="Arial" w:eastAsia="Arial" w:hAnsi="Arial"/>
                <w:sz w:val="10"/>
                <w:szCs w:val="10"/>
                <w:color w:val="auto"/>
              </w:rPr>
              <w:t>556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960" w:type="dxa"/>
            <w:vAlign w:val="bottom"/>
            <w:gridSpan w:val="2"/>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520" w:type="dxa"/>
            <w:vAlign w:val="bottom"/>
          </w:tcPr>
          <w:p>
            <w:pPr>
              <w:jc w:val="right"/>
              <w:spacing w:after="0" w:line="104" w:lineRule="exact"/>
              <w:rPr>
                <w:sz w:val="20"/>
                <w:szCs w:val="20"/>
                <w:color w:val="auto"/>
              </w:rPr>
            </w:pPr>
            <w:r>
              <w:rPr>
                <w:rFonts w:ascii="Arial" w:cs="Arial" w:eastAsia="Arial" w:hAnsi="Arial"/>
                <w:sz w:val="10"/>
                <w:szCs w:val="10"/>
                <w:color w:val="auto"/>
              </w:rPr>
              <w:t>556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Restricted stock issued</w:t>
            </w: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28</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80"/>
              <w:spacing w:after="0" w:line="104" w:lineRule="exact"/>
              <w:rPr>
                <w:sz w:val="20"/>
                <w:szCs w:val="20"/>
                <w:color w:val="auto"/>
              </w:rPr>
            </w:pPr>
            <w:r>
              <w:rPr>
                <w:rFonts w:ascii="Arial" w:cs="Arial" w:eastAsia="Arial" w:hAnsi="Arial"/>
                <w:sz w:val="10"/>
                <w:szCs w:val="10"/>
                <w:color w:val="auto"/>
                <w:w w:val="79"/>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tcPr>
          <w:p>
            <w:pPr>
              <w:spacing w:after="0" w:line="104" w:lineRule="exact"/>
              <w:rPr>
                <w:sz w:val="20"/>
                <w:szCs w:val="20"/>
                <w:color w:val="auto"/>
              </w:rPr>
            </w:pPr>
            <w:r>
              <w:rPr>
                <w:rFonts w:ascii="Arial" w:cs="Arial" w:eastAsia="Arial" w:hAnsi="Arial"/>
                <w:sz w:val="10"/>
                <w:szCs w:val="10"/>
                <w:color w:val="auto"/>
              </w:rPr>
              <w:t>Avocados de Jalisco noncontrolling interest</w:t>
            </w:r>
          </w:p>
        </w:tc>
        <w:tc>
          <w:tcPr>
            <w:tcW w:w="5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jc w:val="right"/>
              <w:ind w:right="180"/>
              <w:spacing w:after="0" w:line="104"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700" w:type="dxa"/>
            <w:vAlign w:val="bottom"/>
            <w:gridSpan w:val="2"/>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960" w:type="dxa"/>
            <w:vAlign w:val="bottom"/>
            <w:gridSpan w:val="2"/>
          </w:tcPr>
          <w:p>
            <w:pPr>
              <w:jc w:val="right"/>
              <w:ind w:right="140"/>
              <w:spacing w:after="0" w:line="104" w:lineRule="exact"/>
              <w:rPr>
                <w:sz w:val="20"/>
                <w:szCs w:val="20"/>
                <w:color w:val="auto"/>
              </w:rPr>
            </w:pPr>
            <w:r>
              <w:rPr>
                <w:rFonts w:ascii="Arial" w:cs="Arial" w:eastAsia="Arial" w:hAnsi="Arial"/>
                <w:sz w:val="10"/>
                <w:szCs w:val="10"/>
                <w:color w:val="auto"/>
              </w:rPr>
              <w:t>(117)</w:t>
            </w:r>
          </w:p>
        </w:tc>
        <w:tc>
          <w:tcPr>
            <w:tcW w:w="140" w:type="dxa"/>
            <w:vAlign w:val="bottom"/>
          </w:tcPr>
          <w:p>
            <w:pPr>
              <w:spacing w:after="0"/>
              <w:rPr>
                <w:sz w:val="8"/>
                <w:szCs w:val="8"/>
                <w:color w:val="auto"/>
              </w:rPr>
            </w:pPr>
          </w:p>
        </w:tc>
        <w:tc>
          <w:tcPr>
            <w:tcW w:w="520" w:type="dxa"/>
            <w:vAlign w:val="bottom"/>
          </w:tcPr>
          <w:p>
            <w:pPr>
              <w:jc w:val="right"/>
              <w:spacing w:after="0" w:line="104" w:lineRule="exact"/>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Net loss attributable to Calavo Growers, Inc.</w:t>
            </w: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80"/>
              <w:spacing w:after="0" w:line="104" w:lineRule="exact"/>
              <w:rPr>
                <w:sz w:val="20"/>
                <w:szCs w:val="20"/>
                <w:color w:val="auto"/>
              </w:rPr>
            </w:pPr>
            <w:r>
              <w:rPr>
                <w:rFonts w:ascii="Arial" w:cs="Arial" w:eastAsia="Arial" w:hAnsi="Arial"/>
                <w:sz w:val="10"/>
                <w:szCs w:val="10"/>
                <w:color w:val="auto"/>
                <w:w w:val="79"/>
              </w:rPr>
              <w:t>—</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40"/>
              <w:spacing w:after="0" w:line="104" w:lineRule="exact"/>
              <w:rPr>
                <w:sz w:val="20"/>
                <w:szCs w:val="20"/>
                <w:color w:val="auto"/>
              </w:rPr>
            </w:pPr>
            <w:r>
              <w:rPr>
                <w:rFonts w:ascii="Arial" w:cs="Arial" w:eastAsia="Arial" w:hAnsi="Arial"/>
                <w:sz w:val="10"/>
                <w:szCs w:val="10"/>
                <w:color w:val="auto"/>
              </w:rPr>
              <w:t>(4,043)</w:t>
            </w:r>
          </w:p>
        </w:tc>
        <w:tc>
          <w:tcPr>
            <w:tcW w:w="10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160"/>
              <w:spacing w:after="0" w:line="104"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(4,043)</w:t>
            </w:r>
          </w:p>
        </w:tc>
        <w:tc>
          <w:tcPr>
            <w:tcW w:w="0" w:type="dxa"/>
            <w:vAlign w:val="bottom"/>
          </w:tcPr>
          <w:p>
            <w:pPr>
              <w:spacing w:after="0"/>
              <w:rPr>
                <w:sz w:val="1"/>
                <w:szCs w:val="1"/>
                <w:color w:val="auto"/>
              </w:rPr>
            </w:pPr>
          </w:p>
        </w:tc>
      </w:tr>
      <w:tr>
        <w:trPr>
          <w:trHeight w:val="93"/>
        </w:trPr>
        <w:tc>
          <w:tcPr>
            <w:tcW w:w="424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Balance, January 31, 2022</w:t>
            </w:r>
          </w:p>
        </w:tc>
        <w:tc>
          <w:tcPr>
            <w:tcW w:w="56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17,716</w:t>
            </w:r>
          </w:p>
        </w:tc>
        <w:tc>
          <w:tcPr>
            <w:tcW w:w="140" w:type="dxa"/>
            <w:vAlign w:val="bottom"/>
          </w:tcPr>
          <w:p>
            <w:pPr>
              <w:spacing w:after="0"/>
              <w:rPr>
                <w:sz w:val="8"/>
                <w:szCs w:val="8"/>
                <w:color w:val="auto"/>
              </w:rPr>
            </w:pPr>
          </w:p>
        </w:tc>
        <w:tc>
          <w:tcPr>
            <w:tcW w:w="48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w w:val="71"/>
              </w:rPr>
              <w:t>18</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168,692</w:t>
            </w:r>
          </w:p>
        </w:tc>
        <w:tc>
          <w:tcPr>
            <w:tcW w:w="1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53,321</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1,251</w:t>
            </w:r>
          </w:p>
        </w:tc>
        <w:tc>
          <w:tcPr>
            <w:tcW w:w="14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223,282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92"/>
              <w:spacing w:after="0"/>
              <w:rPr>
                <w:sz w:val="20"/>
                <w:szCs w:val="20"/>
                <w:color w:val="auto"/>
              </w:rPr>
            </w:pPr>
            <w:r>
              <w:rPr>
                <w:rFonts w:ascii="Arial" w:cs="Arial" w:eastAsia="Arial" w:hAnsi="Arial"/>
                <w:sz w:val="10"/>
                <w:szCs w:val="10"/>
                <w:b w:val="1"/>
                <w:bCs w:val="1"/>
                <w:color w:val="auto"/>
                <w:w w:val="93"/>
              </w:rPr>
              <w:t>Additional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52"/>
              <w:spacing w:after="0"/>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32"/>
              <w:spacing w:after="0"/>
              <w:rPr>
                <w:sz w:val="20"/>
                <w:szCs w:val="20"/>
                <w:color w:val="auto"/>
              </w:rPr>
            </w:pPr>
            <w:r>
              <w:rPr>
                <w:rFonts w:ascii="Arial" w:cs="Arial" w:eastAsia="Arial" w:hAnsi="Arial"/>
                <w:sz w:val="10"/>
                <w:szCs w:val="10"/>
                <w:b w:val="1"/>
                <w:bCs w:val="1"/>
                <w:color w:val="auto"/>
                <w:w w:val="99"/>
              </w:rPr>
              <w:t>Retained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152"/>
              <w:spacing w:after="0"/>
              <w:rPr>
                <w:sz w:val="20"/>
                <w:szCs w:val="20"/>
                <w:color w:val="auto"/>
              </w:rPr>
            </w:pPr>
            <w:r>
              <w:rPr>
                <w:rFonts w:ascii="Arial" w:cs="Arial" w:eastAsia="Arial" w:hAnsi="Arial"/>
                <w:sz w:val="10"/>
                <w:szCs w:val="10"/>
                <w:b w:val="1"/>
                <w:bCs w:val="1"/>
                <w:color w:val="auto"/>
                <w:w w:val="95"/>
              </w:rPr>
              <w:t>Noncontrolling</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20" w:type="dxa"/>
            <w:vAlign w:val="bottom"/>
            <w:tcBorders>
              <w:bottom w:val="single" w:sz="8" w:color="auto"/>
            </w:tcBorders>
          </w:tcPr>
          <w:p>
            <w:pPr>
              <w:jc w:val="right"/>
              <w:ind w:right="132"/>
              <w:spacing w:after="0" w:line="93" w:lineRule="exact"/>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8"/>
                <w:szCs w:val="8"/>
                <w:color w:val="auto"/>
              </w:rPr>
            </w:pPr>
          </w:p>
        </w:tc>
        <w:tc>
          <w:tcPr>
            <w:tcW w:w="56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Amount</w:t>
            </w:r>
          </w:p>
        </w:tc>
        <w:tc>
          <w:tcPr>
            <w:tcW w:w="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52"/>
              <w:spacing w:after="0" w:line="93" w:lineRule="exact"/>
              <w:rPr>
                <w:sz w:val="20"/>
                <w:szCs w:val="20"/>
                <w:color w:val="auto"/>
              </w:rPr>
            </w:pPr>
            <w:r>
              <w:rPr>
                <w:rFonts w:ascii="Arial" w:cs="Arial" w:eastAsia="Arial" w:hAnsi="Arial"/>
                <w:sz w:val="10"/>
                <w:szCs w:val="10"/>
                <w:b w:val="1"/>
                <w:bCs w:val="1"/>
                <w:color w:val="auto"/>
              </w:rPr>
              <w:t>Capital</w:t>
            </w: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32"/>
              <w:spacing w:after="0" w:line="93" w:lineRule="exact"/>
              <w:rPr>
                <w:sz w:val="20"/>
                <w:szCs w:val="20"/>
                <w:color w:val="auto"/>
              </w:rPr>
            </w:pPr>
            <w:r>
              <w:rPr>
                <w:rFonts w:ascii="Arial" w:cs="Arial" w:eastAsia="Arial" w:hAnsi="Arial"/>
                <w:sz w:val="10"/>
                <w:szCs w:val="10"/>
                <w:b w:val="1"/>
                <w:bCs w:val="1"/>
                <w:color w:val="auto"/>
                <w:w w:val="98"/>
              </w:rPr>
              <w:t>Earnings</w:t>
            </w: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12"/>
              <w:spacing w:after="0" w:line="93" w:lineRule="exact"/>
              <w:rPr>
                <w:sz w:val="20"/>
                <w:szCs w:val="20"/>
                <w:color w:val="auto"/>
              </w:rPr>
            </w:pPr>
            <w:r>
              <w:rPr>
                <w:rFonts w:ascii="Arial" w:cs="Arial" w:eastAsia="Arial" w:hAnsi="Arial"/>
                <w:sz w:val="10"/>
                <w:szCs w:val="10"/>
                <w:b w:val="1"/>
                <w:bCs w:val="1"/>
                <w:color w:val="auto"/>
              </w:rPr>
              <w:t>Interest</w:t>
            </w: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32"/>
              <w:spacing w:after="0" w:line="93"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3420" w:type="dxa"/>
            <w:vAlign w:val="bottom"/>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October 31, 2022</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17,732</w:t>
            </w:r>
          </w:p>
        </w:tc>
        <w:tc>
          <w:tcPr>
            <w:tcW w:w="740" w:type="dxa"/>
            <w:vAlign w:val="bottom"/>
            <w:gridSpan w:val="2"/>
            <w:shd w:val="clear" w:color="auto" w:fill="CCEEFF"/>
          </w:tcPr>
          <w:p>
            <w:pPr>
              <w:jc w:val="right"/>
              <w:ind w:right="472"/>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18</w:t>
            </w:r>
          </w:p>
        </w:tc>
        <w:tc>
          <w:tcPr>
            <w:tcW w:w="280" w:type="dxa"/>
            <w:vAlign w:val="bottom"/>
            <w:gridSpan w:val="2"/>
            <w:shd w:val="clear" w:color="auto" w:fill="CCEEFF"/>
          </w:tcPr>
          <w:p>
            <w:pPr>
              <w:jc w:val="right"/>
              <w:ind w:right="60"/>
              <w:spacing w:after="0" w:line="104"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171,223</w:t>
            </w:r>
          </w:p>
        </w:tc>
        <w:tc>
          <w:tcPr>
            <w:tcW w:w="300" w:type="dxa"/>
            <w:vAlign w:val="bottom"/>
            <w:gridSpan w:val="2"/>
            <w:shd w:val="clear" w:color="auto" w:fill="CCEEFF"/>
          </w:tcPr>
          <w:p>
            <w:pPr>
              <w:jc w:val="right"/>
              <w:ind w:right="60"/>
              <w:spacing w:after="0" w:line="104"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51,115</w:t>
            </w:r>
          </w:p>
        </w:tc>
        <w:tc>
          <w:tcPr>
            <w:tcW w:w="32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1,015</w:t>
            </w:r>
          </w:p>
        </w:tc>
        <w:tc>
          <w:tcPr>
            <w:tcW w:w="34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223,371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tcPr>
          <w:p>
            <w:pPr>
              <w:spacing w:after="0" w:line="104" w:lineRule="exact"/>
              <w:rPr>
                <w:sz w:val="20"/>
                <w:szCs w:val="20"/>
                <w:color w:val="auto"/>
              </w:rPr>
            </w:pPr>
            <w:r>
              <w:rPr>
                <w:rFonts w:ascii="Arial" w:cs="Arial" w:eastAsia="Arial" w:hAnsi="Arial"/>
                <w:sz w:val="10"/>
                <w:szCs w:val="10"/>
                <w:color w:val="auto"/>
              </w:rPr>
              <w:t>Exercise of stock options and income tax benefit</w:t>
            </w: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48</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104" w:lineRule="exact"/>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Stock compensation expense</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1,253</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1,253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tcPr>
          <w:p>
            <w:pPr>
              <w:spacing w:after="0" w:line="104" w:lineRule="exact"/>
              <w:rPr>
                <w:sz w:val="20"/>
                <w:szCs w:val="20"/>
                <w:color w:val="auto"/>
              </w:rPr>
            </w:pPr>
            <w:r>
              <w:rPr>
                <w:rFonts w:ascii="Arial" w:cs="Arial" w:eastAsia="Arial" w:hAnsi="Arial"/>
                <w:sz w:val="10"/>
                <w:szCs w:val="10"/>
                <w:color w:val="auto"/>
              </w:rPr>
              <w:t>Stock issued</w:t>
            </w: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9</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Dividend declared to shareholders ($0.2875 per share)</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(5,102)</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(5,102)</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tcPr>
          <w:p>
            <w:pPr>
              <w:spacing w:after="0" w:line="104" w:lineRule="exact"/>
              <w:rPr>
                <w:sz w:val="20"/>
                <w:szCs w:val="20"/>
                <w:color w:val="auto"/>
              </w:rPr>
            </w:pPr>
            <w:r>
              <w:rPr>
                <w:rFonts w:ascii="Arial" w:cs="Arial" w:eastAsia="Arial" w:hAnsi="Arial"/>
                <w:sz w:val="10"/>
                <w:szCs w:val="10"/>
                <w:color w:val="auto"/>
              </w:rPr>
              <w:t>Avocados de Jalisco noncontrolling interest</w:t>
            </w: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right"/>
              <w:spacing w:after="0" w:line="104" w:lineRule="exact"/>
              <w:rPr>
                <w:sz w:val="20"/>
                <w:szCs w:val="20"/>
                <w:color w:val="auto"/>
              </w:rPr>
            </w:pPr>
            <w:r>
              <w:rPr>
                <w:rFonts w:ascii="Arial" w:cs="Arial" w:eastAsia="Arial" w:hAnsi="Arial"/>
                <w:sz w:val="10"/>
                <w:szCs w:val="10"/>
                <w:color w:val="auto"/>
              </w:rPr>
              <w:t>273</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104" w:lineRule="exact"/>
              <w:rPr>
                <w:sz w:val="20"/>
                <w:szCs w:val="20"/>
                <w:color w:val="auto"/>
              </w:rPr>
            </w:pPr>
            <w:r>
              <w:rPr>
                <w:rFonts w:ascii="Arial" w:cs="Arial" w:eastAsia="Arial" w:hAnsi="Arial"/>
                <w:sz w:val="10"/>
                <w:szCs w:val="10"/>
                <w:color w:val="auto"/>
              </w:rPr>
              <w:t>273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Net loss attributable to Calavo Growers, Inc.</w:t>
            </w:r>
          </w:p>
        </w:tc>
        <w:tc>
          <w:tcPr>
            <w:tcW w:w="62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(3,068)</w:t>
            </w:r>
          </w:p>
        </w:tc>
        <w:tc>
          <w:tcPr>
            <w:tcW w:w="2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(3,068)</w:t>
            </w:r>
          </w:p>
        </w:tc>
        <w:tc>
          <w:tcPr>
            <w:tcW w:w="0" w:type="dxa"/>
            <w:vAlign w:val="bottom"/>
          </w:tcPr>
          <w:p>
            <w:pPr>
              <w:spacing w:after="0"/>
              <w:rPr>
                <w:sz w:val="1"/>
                <w:szCs w:val="1"/>
                <w:color w:val="auto"/>
              </w:rPr>
            </w:pPr>
          </w:p>
        </w:tc>
      </w:tr>
      <w:tr>
        <w:trPr>
          <w:trHeight w:val="93"/>
        </w:trPr>
        <w:tc>
          <w:tcPr>
            <w:tcW w:w="344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Balance, January 31, 2023</w:t>
            </w:r>
          </w:p>
        </w:tc>
        <w:tc>
          <w:tcPr>
            <w:tcW w:w="62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17,743</w:t>
            </w: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18</w:t>
            </w: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172,524</w:t>
            </w: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42,945</w:t>
            </w: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1,288</w:t>
            </w: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3" w:lineRule="exact"/>
              <w:rPr>
                <w:sz w:val="20"/>
                <w:szCs w:val="20"/>
                <w:color w:val="auto"/>
              </w:rPr>
            </w:pPr>
            <w:r>
              <w:rPr>
                <w:rFonts w:ascii="Arial" w:cs="Arial" w:eastAsia="Arial" w:hAnsi="Arial"/>
                <w:sz w:val="10"/>
                <w:szCs w:val="10"/>
                <w:color w:val="auto"/>
              </w:rPr>
              <w:t>216,775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condensed financial statements.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CALAVO GROWERS,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CONDENSED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 Description of the business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Business</w:t>
      </w:r>
    </w:p>
    <w:p>
      <w:pPr>
        <w:spacing w:after="0" w:line="169" w:lineRule="exact"/>
        <w:rPr>
          <w:sz w:val="20"/>
          <w:szCs w:val="20"/>
          <w:color w:val="auto"/>
        </w:rPr>
      </w:pPr>
    </w:p>
    <w:p>
      <w:pPr>
        <w:ind w:left="20" w:right="119" w:firstLine="198"/>
        <w:spacing w:after="0" w:line="271" w:lineRule="auto"/>
        <w:rPr>
          <w:sz w:val="20"/>
          <w:szCs w:val="20"/>
          <w:color w:val="auto"/>
        </w:rPr>
      </w:pPr>
      <w:r>
        <w:rPr>
          <w:rFonts w:ascii="Arial" w:cs="Arial" w:eastAsia="Arial" w:hAnsi="Arial"/>
          <w:sz w:val="13"/>
          <w:szCs w:val="13"/>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we report our operations in two different business segments: Grown and Prepared.</w:t>
      </w:r>
    </w:p>
    <w:p>
      <w:pPr>
        <w:spacing w:after="0" w:line="137" w:lineRule="exact"/>
        <w:rPr>
          <w:sz w:val="20"/>
          <w:szCs w:val="20"/>
          <w:color w:val="auto"/>
        </w:rPr>
      </w:pPr>
    </w:p>
    <w:p>
      <w:pPr>
        <w:ind w:left="20" w:right="59" w:firstLine="198"/>
        <w:spacing w:after="0" w:line="327" w:lineRule="auto"/>
        <w:rPr>
          <w:sz w:val="20"/>
          <w:szCs w:val="20"/>
          <w:color w:val="auto"/>
        </w:rPr>
      </w:pPr>
      <w:r>
        <w:rPr>
          <w:rFonts w:ascii="Arial" w:cs="Arial" w:eastAsia="Arial" w:hAnsi="Arial"/>
          <w:sz w:val="11"/>
          <w:szCs w:val="11"/>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2022.</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 Information regarding our operations in different segments</w:t>
      </w:r>
    </w:p>
    <w:p>
      <w:pPr>
        <w:spacing w:after="0" w:line="173" w:lineRule="exact"/>
        <w:rPr>
          <w:sz w:val="20"/>
          <w:szCs w:val="20"/>
          <w:color w:val="auto"/>
        </w:rPr>
      </w:pPr>
    </w:p>
    <w:p>
      <w:pPr>
        <w:ind w:left="20" w:right="39" w:firstLine="198"/>
        <w:spacing w:after="0" w:line="271" w:lineRule="auto"/>
        <w:rPr>
          <w:sz w:val="20"/>
          <w:szCs w:val="20"/>
          <w:color w:val="auto"/>
        </w:rPr>
      </w:pPr>
      <w:r>
        <w:rPr>
          <w:rFonts w:ascii="Arial" w:cs="Arial" w:eastAsia="Arial" w:hAnsi="Arial"/>
          <w:sz w:val="13"/>
          <w:szCs w:val="13"/>
          <w:color w:val="auto"/>
        </w:rPr>
        <w:t>We report our operations in two different business segments: Grown, and Prepared. The Grown segment consists of fresh avocados, tomatoes and papayas. The Prepared segment comprises all other products including fresh cut fruits and vegetables, ready-to-eat sandwiches, wraps, salads and snacks, guacamole, and salsa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Prior year information has been recast to conform with the new segment disclosures which was effective as of the third quarter of fiscal year 2022. The sales data in the following tables is presented in thousands: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8"/>
          </w:tcPr>
          <w:p>
            <w:pPr>
              <w:jc w:val="center"/>
              <w:ind w:right="79"/>
              <w:spacing w:after="0"/>
              <w:rPr>
                <w:sz w:val="20"/>
                <w:szCs w:val="20"/>
                <w:color w:val="auto"/>
              </w:rPr>
            </w:pPr>
            <w:r>
              <w:rPr>
                <w:rFonts w:ascii="Arial" w:cs="Arial" w:eastAsia="Arial" w:hAnsi="Arial"/>
                <w:sz w:val="11"/>
                <w:szCs w:val="11"/>
                <w:b w:val="1"/>
                <w:bCs w:val="1"/>
                <w:color w:val="auto"/>
                <w:w w:val="90"/>
              </w:rPr>
              <w:t>Three months ended January 31, 2023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7"/>
          </w:tcPr>
          <w:p>
            <w:pPr>
              <w:jc w:val="right"/>
              <w:ind w:right="259"/>
              <w:spacing w:after="0"/>
              <w:rPr>
                <w:sz w:val="20"/>
                <w:szCs w:val="20"/>
                <w:color w:val="auto"/>
              </w:rPr>
            </w:pPr>
            <w:r>
              <w:rPr>
                <w:rFonts w:ascii="Arial" w:cs="Arial" w:eastAsia="Arial" w:hAnsi="Arial"/>
                <w:sz w:val="11"/>
                <w:szCs w:val="11"/>
                <w:b w:val="1"/>
                <w:bCs w:val="1"/>
                <w:color w:val="auto"/>
                <w:w w:val="99"/>
              </w:rPr>
              <w:t>Three months ended January 31, 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Grown</w:t>
            </w:r>
          </w:p>
        </w:tc>
        <w:tc>
          <w:tcPr>
            <w:tcW w:w="10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Prepared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Grown</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2"/>
              </w:rPr>
              <w:t>Prepared</w:t>
            </w:r>
          </w:p>
        </w:tc>
        <w:tc>
          <w:tcPr>
            <w:tcW w:w="160" w:type="dxa"/>
            <w:vAlign w:val="bottom"/>
          </w:tcPr>
          <w:p>
            <w:pPr>
              <w:spacing w:after="0"/>
              <w:rPr>
                <w:sz w:val="18"/>
                <w:szCs w:val="18"/>
                <w:color w:val="auto"/>
              </w:rPr>
            </w:pPr>
          </w:p>
        </w:tc>
        <w:tc>
          <w:tcPr>
            <w:tcW w:w="580" w:type="dxa"/>
            <w:vAlign w:val="bottom"/>
          </w:tcPr>
          <w:p>
            <w:pPr>
              <w:jc w:val="right"/>
              <w:ind w:right="17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Avocados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102,621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102,621</w:t>
            </w:r>
          </w:p>
        </w:tc>
        <w:tc>
          <w:tcPr>
            <w:tcW w:w="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150,505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Tomatoes</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13,631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13,631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9,987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Papayas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Other fresh income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Fresh-cut products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94,519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94,519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96,277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96,277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Guacamole</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15,864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15,864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17,627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17,627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Salsa</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rPr>
                <w:sz w:val="20"/>
                <w:szCs w:val="20"/>
                <w:color w:val="auto"/>
              </w:rPr>
            </w:pPr>
            <w:r>
              <w:rPr>
                <w:rFonts w:ascii="Arial" w:cs="Arial" w:eastAsia="Arial" w:hAnsi="Arial"/>
                <w:sz w:val="12"/>
                <w:szCs w:val="12"/>
                <w:color w:val="auto"/>
              </w:rPr>
              <w:t>Total gross sales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119,596</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110,829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230,425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163,557</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114,325</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277,882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Less sales allowances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(1,527)</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(2,374)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(972)</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(2,215)</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2"/>
                <w:szCs w:val="12"/>
                <w:color w:val="auto"/>
              </w:rPr>
              <w:t>Less inter-company eliminations</w:t>
            </w: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(320)</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(603)</w:t>
            </w: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sales</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117,749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108,455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226,204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161,982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112,110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1"/>
                <w:szCs w:val="11"/>
                <w:b w:val="1"/>
                <w:bCs w:val="1"/>
                <w:color w:val="auto"/>
              </w:rPr>
              <w:t>Grown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1"/>
                <w:szCs w:val="11"/>
                <w:b w:val="1"/>
                <w:bCs w:val="1"/>
                <w:color w:val="auto"/>
              </w:rPr>
              <w:t>Prepared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75"/>
              <w:spacing w:after="0"/>
              <w:rPr>
                <w:sz w:val="20"/>
                <w:szCs w:val="20"/>
                <w:color w:val="auto"/>
              </w:rPr>
            </w:pPr>
            <w:r>
              <w:rPr>
                <w:rFonts w:ascii="Arial" w:cs="Arial" w:eastAsia="Arial" w:hAnsi="Arial"/>
                <w:sz w:val="11"/>
                <w:szCs w:val="11"/>
                <w:b w:val="1"/>
                <w:bCs w:val="1"/>
                <w:color w:val="auto"/>
                <w:w w:val="95"/>
              </w:rPr>
              <w:t>Interco.</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1"/>
                <w:szCs w:val="11"/>
                <w:b w:val="1"/>
                <w:bCs w:val="1"/>
                <w:color w:val="auto"/>
              </w:rPr>
              <w:t>Total</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94"/>
              </w:rPr>
              <w:t>Elimins.</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80" w:type="dxa"/>
            <w:vAlign w:val="bottom"/>
            <w:gridSpan w:val="7"/>
          </w:tcPr>
          <w:p>
            <w:pPr>
              <w:ind w:left="20"/>
              <w:spacing w:after="0" w:line="93" w:lineRule="exact"/>
              <w:rPr>
                <w:sz w:val="20"/>
                <w:szCs w:val="20"/>
                <w:color w:val="auto"/>
              </w:rPr>
            </w:pPr>
            <w:r>
              <w:rPr>
                <w:rFonts w:ascii="Arial" w:cs="Arial" w:eastAsia="Arial" w:hAnsi="Arial"/>
                <w:sz w:val="10"/>
                <w:szCs w:val="10"/>
                <w:b w:val="1"/>
                <w:bCs w:val="1"/>
                <w:color w:val="auto"/>
                <w:w w:val="93"/>
              </w:rPr>
              <w:t>(All amounts are presented in thousands)</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Three months ended January 31, 2023</w:t>
            </w:r>
          </w:p>
        </w:tc>
        <w:tc>
          <w:tcPr>
            <w:tcW w:w="1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Net sales</w:t>
            </w:r>
          </w:p>
        </w:tc>
        <w:tc>
          <w:tcPr>
            <w:tcW w:w="1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118,069</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108,455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(320)</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226,204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108,588</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103,504</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Gross profit</w:t>
            </w:r>
          </w:p>
        </w:tc>
        <w:tc>
          <w:tcPr>
            <w:tcW w:w="1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4,951</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14,432</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Three months ended January 31, 2022</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162,585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sales</w:t>
            </w: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150,919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110,548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260,864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Gross profit</w:t>
            </w:r>
          </w:p>
        </w:tc>
        <w:tc>
          <w:tcPr>
            <w:tcW w:w="1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11,666</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1,562</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13,228</w:t>
            </w: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 w:right="279" w:firstLine="198"/>
        <w:spacing w:after="0" w:line="265" w:lineRule="auto"/>
        <w:rPr>
          <w:sz w:val="20"/>
          <w:szCs w:val="20"/>
          <w:color w:val="auto"/>
        </w:rPr>
      </w:pPr>
      <w:r>
        <w:rPr>
          <w:rFonts w:ascii="Arial" w:cs="Arial" w:eastAsia="Arial" w:hAnsi="Arial"/>
          <w:sz w:val="14"/>
          <w:szCs w:val="14"/>
          <w:color w:val="auto"/>
        </w:rPr>
        <w:t>For the three months ended January 31, 2023 and 2022, intercompany sales and cost of sales of $0.3 million and $0.6 million between Grown products and Prepared products were eliminated.</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Sales to customers outside the U.S. were approximately $7.6 million, and $7.1 million for the three months ended January 31, 2023 and 2022.</w:t>
      </w:r>
    </w:p>
    <w:p>
      <w:pPr>
        <w:spacing w:after="0" w:line="180" w:lineRule="exact"/>
        <w:rPr>
          <w:sz w:val="20"/>
          <w:szCs w:val="20"/>
          <w:color w:val="auto"/>
        </w:rPr>
      </w:pPr>
    </w:p>
    <w:p>
      <w:pPr>
        <w:ind w:left="20" w:right="59" w:firstLine="198"/>
        <w:spacing w:after="0" w:line="271" w:lineRule="auto"/>
        <w:rPr>
          <w:sz w:val="20"/>
          <w:szCs w:val="20"/>
          <w:color w:val="auto"/>
        </w:rPr>
      </w:pPr>
      <w:r>
        <w:rPr>
          <w:rFonts w:ascii="Arial" w:cs="Arial" w:eastAsia="Arial" w:hAnsi="Arial"/>
          <w:sz w:val="13"/>
          <w:szCs w:val="13"/>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gains in the current quarter. These gains were due primarily to certain long-term net peso receivables. Foreign currency remeasurement gains, net of losses, for the three months ended January 31, 2023 were $1.3 million. Foreign currency remeasurement losses, net of gains, for the three months ended January 31, 2022 were $0.6 million</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net carrying value of long-lived assets attributed to geographic areas as of January 31, 2023 and October 31, 2022, are as follows (in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56"/>
              <w:spacing w:after="0"/>
              <w:rPr>
                <w:sz w:val="20"/>
                <w:szCs w:val="20"/>
                <w:color w:val="auto"/>
              </w:rPr>
            </w:pPr>
            <w:r>
              <w:rPr>
                <w:rFonts w:ascii="Arial" w:cs="Arial" w:eastAsia="Arial" w:hAnsi="Arial"/>
                <w:sz w:val="11"/>
                <w:szCs w:val="11"/>
                <w:b w:val="1"/>
                <w:bCs w:val="1"/>
                <w:color w:val="auto"/>
                <w:w w:val="88"/>
              </w:rPr>
              <w:t>United States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Mexico</w:t>
            </w:r>
          </w:p>
        </w:tc>
        <w:tc>
          <w:tcPr>
            <w:tcW w:w="100" w:type="dxa"/>
            <w:vAlign w:val="bottom"/>
          </w:tcPr>
          <w:p>
            <w:pPr>
              <w:spacing w:after="0"/>
              <w:rPr>
                <w:sz w:val="11"/>
                <w:szCs w:val="11"/>
                <w:color w:val="auto"/>
              </w:rPr>
            </w:pPr>
          </w:p>
        </w:tc>
        <w:tc>
          <w:tcPr>
            <w:tcW w:w="760" w:type="dxa"/>
            <w:vAlign w:val="bottom"/>
          </w:tcPr>
          <w:p>
            <w:pPr>
              <w:jc w:val="right"/>
              <w:ind w:right="56"/>
              <w:spacing w:after="0"/>
              <w:rPr>
                <w:sz w:val="20"/>
                <w:szCs w:val="20"/>
                <w:color w:val="auto"/>
              </w:rPr>
            </w:pPr>
            <w:r>
              <w:rPr>
                <w:rFonts w:ascii="Arial" w:cs="Arial" w:eastAsia="Arial" w:hAnsi="Arial"/>
                <w:sz w:val="11"/>
                <w:szCs w:val="11"/>
                <w:b w:val="1"/>
                <w:bCs w:val="1"/>
                <w:color w:val="auto"/>
                <w:w w:val="88"/>
              </w:rPr>
              <w:t>Consolidated</w:t>
            </w:r>
          </w:p>
        </w:tc>
      </w:tr>
      <w:tr>
        <w:trPr>
          <w:trHeight w:val="155"/>
        </w:trPr>
        <w:tc>
          <w:tcPr>
            <w:tcW w:w="2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January 31, 2023</w:t>
            </w:r>
          </w:p>
        </w:tc>
        <w:tc>
          <w:tcPr>
            <w:tcW w:w="3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79,177</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36,551</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115,728</w:t>
            </w:r>
          </w:p>
        </w:tc>
      </w:tr>
      <w:tr>
        <w:trPr>
          <w:trHeight w:val="174"/>
        </w:trPr>
        <w:tc>
          <w:tcPr>
            <w:tcW w:w="2700" w:type="dxa"/>
            <w:vAlign w:val="bottom"/>
          </w:tcPr>
          <w:p>
            <w:pPr>
              <w:spacing w:after="0"/>
              <w:rPr>
                <w:sz w:val="20"/>
                <w:szCs w:val="20"/>
                <w:color w:val="auto"/>
              </w:rPr>
            </w:pPr>
            <w:r>
              <w:rPr>
                <w:rFonts w:ascii="Arial" w:cs="Arial" w:eastAsia="Arial" w:hAnsi="Arial"/>
                <w:sz w:val="14"/>
                <w:szCs w:val="14"/>
                <w:color w:val="auto"/>
              </w:rPr>
              <w:t>October 31, 2022</w:t>
            </w:r>
          </w:p>
        </w:tc>
        <w:tc>
          <w:tcPr>
            <w:tcW w:w="3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77,208</w:t>
            </w:r>
          </w:p>
        </w:tc>
        <w:tc>
          <w:tcPr>
            <w:tcW w:w="32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36,102</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113,310</w:t>
            </w:r>
          </w:p>
        </w:tc>
      </w:tr>
      <w:tr>
        <w:trPr>
          <w:trHeight w:val="659"/>
        </w:trPr>
        <w:tc>
          <w:tcPr>
            <w:tcW w:w="2700" w:type="dxa"/>
            <w:vAlign w:val="bottom"/>
          </w:tcPr>
          <w:p>
            <w:pPr>
              <w:spacing w:after="0"/>
              <w:rPr>
                <w:sz w:val="24"/>
                <w:szCs w:val="24"/>
                <w:color w:val="auto"/>
              </w:rPr>
            </w:pPr>
          </w:p>
        </w:tc>
        <w:tc>
          <w:tcPr>
            <w:tcW w:w="3380" w:type="dxa"/>
            <w:vAlign w:val="bottom"/>
          </w:tcPr>
          <w:p>
            <w:pPr>
              <w:jc w:val="right"/>
              <w:ind w:right="1491"/>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4"/>
        </w:trPr>
        <w:tc>
          <w:tcPr>
            <w:tcW w:w="27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28"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1"/>
          <w:szCs w:val="11"/>
          <w:b w:val="1"/>
          <w:bCs w:val="1"/>
          <w:color w:val="auto"/>
        </w:rPr>
        <w:t>Inventories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Inventories consist of the following (in thousands):</w:t>
      </w:r>
    </w:p>
    <w:p>
      <w:pPr>
        <w:spacing w:after="0" w:line="160"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January 31,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76"/>
              <w:spacing w:after="0"/>
              <w:rPr>
                <w:sz w:val="20"/>
                <w:szCs w:val="20"/>
                <w:color w:val="auto"/>
              </w:rPr>
            </w:pPr>
            <w:r>
              <w:rPr>
                <w:rFonts w:ascii="Arial" w:cs="Arial" w:eastAsia="Arial" w:hAnsi="Arial"/>
                <w:sz w:val="11"/>
                <w:szCs w:val="11"/>
                <w:b w:val="1"/>
                <w:bCs w:val="1"/>
                <w:color w:val="auto"/>
                <w:w w:val="89"/>
              </w:rPr>
              <w:t>October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Fresh fruit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w:t>
            </w:r>
          </w:p>
        </w:tc>
        <w:tc>
          <w:tcPr>
            <w:tcW w:w="1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Packing supplies and ingredients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14,176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Finished prepared foods</w:t>
            </w:r>
          </w:p>
        </w:tc>
        <w:tc>
          <w:tcPr>
            <w:tcW w:w="18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8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44,092</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right="99" w:firstLine="198"/>
        <w:spacing w:after="0" w:line="255" w:lineRule="auto"/>
        <w:rPr>
          <w:sz w:val="20"/>
          <w:szCs w:val="20"/>
          <w:color w:val="auto"/>
        </w:rPr>
      </w:pPr>
      <w:r>
        <w:rPr>
          <w:rFonts w:ascii="Arial" w:cs="Arial" w:eastAsia="Arial" w:hAnsi="Arial"/>
          <w:sz w:val="14"/>
          <w:szCs w:val="14"/>
          <w:color w:val="auto"/>
        </w:rPr>
        <w:t>Inventories are stated at the lower of cost or net realizable value. We periodically review the value of items in inventory and record any necessary write downs of inventory based on our assessment of market conditions. Inventory includes reserves of $0.3 million and $0.5 million in slow moving and obsolete packing supply inventory as of January 31, 2023 and October 31, 2022.</w:t>
      </w:r>
    </w:p>
    <w:p>
      <w:pPr>
        <w:spacing w:after="0" w:line="142"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1"/>
          <w:szCs w:val="11"/>
          <w:b w:val="1"/>
          <w:bCs w:val="1"/>
          <w:color w:val="auto"/>
        </w:rPr>
        <w:t>Related party transactions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Board of Directors</w:t>
      </w:r>
    </w:p>
    <w:p>
      <w:pPr>
        <w:spacing w:after="0" w:line="169" w:lineRule="exact"/>
        <w:rPr>
          <w:sz w:val="20"/>
          <w:szCs w:val="20"/>
          <w:color w:val="auto"/>
        </w:rPr>
      </w:pPr>
    </w:p>
    <w:p>
      <w:pPr>
        <w:ind w:left="20" w:right="259" w:firstLine="198"/>
        <w:spacing w:after="0" w:line="250" w:lineRule="auto"/>
        <w:rPr>
          <w:sz w:val="20"/>
          <w:szCs w:val="20"/>
          <w:color w:val="auto"/>
        </w:rPr>
      </w:pPr>
      <w:r>
        <w:rPr>
          <w:rFonts w:ascii="Arial" w:cs="Arial" w:eastAsia="Arial" w:hAnsi="Arial"/>
          <w:sz w:val="14"/>
          <w:szCs w:val="14"/>
          <w:color w:val="auto"/>
        </w:rPr>
        <w:t>Certain members of our Board of Directors market California avocados through Calavo pursuant to marketing agreements substantially similar to the marketing agreements that we enter into with other growers. There were no avocados procured from entities owned or controlled by members of our Board of Directors for the three months ended January 31, 2023. For the three months ended January 31, 2022, the aggregate amount of avocados procured from entities owned or controlled by members of our Board of Directors was $0.2 million. We did not have any amounts payable to these Board members as of January 31, 2023, and October 31, 2022.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Agricola Don Memo, S.A. de C.V. (“Don Memo”)</w:t>
      </w:r>
    </w:p>
    <w:p>
      <w:pPr>
        <w:spacing w:after="0" w:line="169" w:lineRule="exact"/>
        <w:rPr>
          <w:sz w:val="20"/>
          <w:szCs w:val="20"/>
          <w:color w:val="auto"/>
        </w:rPr>
      </w:pPr>
    </w:p>
    <w:p>
      <w:pPr>
        <w:ind w:left="20" w:right="459" w:firstLine="198"/>
        <w:spacing w:after="0" w:line="265" w:lineRule="auto"/>
        <w:rPr>
          <w:sz w:val="20"/>
          <w:szCs w:val="20"/>
          <w:color w:val="auto"/>
        </w:rPr>
      </w:pPr>
      <w:r>
        <w:rPr>
          <w:rFonts w:ascii="Arial" w:cs="Arial" w:eastAsia="Arial" w:hAnsi="Arial"/>
          <w:sz w:val="14"/>
          <w:szCs w:val="14"/>
          <w:color w:val="auto"/>
        </w:rPr>
        <w:t>Calavo and Agricola Belher (“Belher”) have an equal one-half ownership interest in Don Memo. Pursuant to a management service agreement, Belher, through its officers and employees, has day-to-day power and authority to manage the operations.</w:t>
      </w:r>
    </w:p>
    <w:p>
      <w:pPr>
        <w:spacing w:after="0" w:line="139" w:lineRule="exact"/>
        <w:rPr>
          <w:sz w:val="20"/>
          <w:szCs w:val="20"/>
          <w:color w:val="auto"/>
        </w:rPr>
      </w:pPr>
    </w:p>
    <w:p>
      <w:pPr>
        <w:ind w:left="20" w:right="59" w:firstLine="198"/>
        <w:spacing w:after="0" w:line="325" w:lineRule="auto"/>
        <w:rPr>
          <w:sz w:val="20"/>
          <w:szCs w:val="20"/>
          <w:color w:val="auto"/>
        </w:rPr>
      </w:pPr>
      <w:r>
        <w:rPr>
          <w:rFonts w:ascii="Arial" w:cs="Arial" w:eastAsia="Arial" w:hAnsi="Arial"/>
          <w:sz w:val="11"/>
          <w:szCs w:val="11"/>
          <w:color w:val="auto"/>
        </w:rPr>
        <w:t>As of January 31, 2023, and October 31, 2022, we had an investment of $3.9 million and $3.8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January 31, 2023, we advanced an additional $0.9 million of preseason advances to Don Memo. As of January 31, 2023 and October 31, 2022, we had outstanding advances of $7.9 million and $7.0 million to Don Memo. In October 2020, we entered into an infrastructure loan agreement with Don Memo for up to $2.4 million secured by certain property and equipment of Don Memo. This infrastructure loan accrues interest at 7.25%. The total outstanding infrastructure loan balance at January 31, 2023 and at October 31, 2022, was $1.6 million ($0.4 million is included in prepaids and other current assets and $1.2 million in other assets). This infrastructure loan agreement will mature in fiscal 2024. During the three months ended January 31, 2023 and 2022, we incurred $5.0 million and $3.4 million of cost of sales to Don Memo pursuant to our purchase consignment agreement.</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Belher</w:t>
      </w:r>
    </w:p>
    <w:p>
      <w:pPr>
        <w:spacing w:after="0" w:line="169" w:lineRule="exact"/>
        <w:rPr>
          <w:sz w:val="20"/>
          <w:szCs w:val="20"/>
          <w:color w:val="auto"/>
        </w:rPr>
      </w:pPr>
    </w:p>
    <w:p>
      <w:pPr>
        <w:ind w:left="20" w:right="59" w:firstLine="198"/>
        <w:spacing w:after="0" w:line="278" w:lineRule="auto"/>
        <w:rPr>
          <w:sz w:val="20"/>
          <w:szCs w:val="20"/>
          <w:color w:val="auto"/>
        </w:rPr>
      </w:pPr>
      <w:r>
        <w:rPr>
          <w:rFonts w:ascii="Arial" w:cs="Arial" w:eastAsia="Arial" w:hAnsi="Arial"/>
          <w:sz w:val="13"/>
          <w:szCs w:val="13"/>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$4.7 million and $4.5 million as of January 31, 2023 and October 31, 2022, which are netted against the grower payable. In addition, we had infrastructure advances due from Belher of $0.9 million as of January 31, 2023 and October 31, 2022. These infrastructure advances were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179"/>
        <w:spacing w:after="0" w:line="271" w:lineRule="auto"/>
        <w:rPr>
          <w:sz w:val="20"/>
          <w:szCs w:val="20"/>
          <w:color w:val="auto"/>
        </w:rPr>
      </w:pPr>
      <w:r>
        <w:rPr>
          <w:rFonts w:ascii="Arial" w:cs="Arial" w:eastAsia="Arial" w:hAnsi="Arial"/>
          <w:sz w:val="13"/>
          <w:szCs w:val="13"/>
          <w:color w:val="auto"/>
        </w:rPr>
        <w:t>recorded as a receivable in prepaid and other current assets as of January 31, 2023 and October 31, 2022. 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The total outstanding bridge loan balance at January 31, 2023 and at October 31, 2022, was $2.6 million ($0.9 million is included in prepaids and other current assets and $1.7 million in other assets). During the three months ended January 31, 2023 and 2022, we incurred $3.9 million and $3.4 million of cost of sales to Belher pursuant to our purchase consignment agreement.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Avocados de Jalisco, S.A.P.I. de C.V. (“Avocados de Jalisco”)</w:t>
      </w:r>
    </w:p>
    <w:p>
      <w:pPr>
        <w:spacing w:after="0" w:line="169" w:lineRule="exact"/>
        <w:rPr>
          <w:sz w:val="20"/>
          <w:szCs w:val="20"/>
          <w:color w:val="auto"/>
        </w:rPr>
      </w:pPr>
    </w:p>
    <w:p>
      <w:pPr>
        <w:ind w:left="20" w:right="119" w:firstLine="198"/>
        <w:spacing w:after="0" w:line="250" w:lineRule="auto"/>
        <w:rPr>
          <w:sz w:val="20"/>
          <w:szCs w:val="20"/>
          <w:color w:val="auto"/>
        </w:rPr>
      </w:pPr>
      <w:r>
        <w:rPr>
          <w:rFonts w:ascii="Arial" w:cs="Arial" w:eastAsia="Arial" w:hAnsi="Arial"/>
          <w:sz w:val="14"/>
          <w:szCs w:val="14"/>
          <w:color w:val="auto"/>
        </w:rPr>
        <w:t>In August 2015, we entered into a Shareholder’s Agreement with various Mexican partners and created Avocados de Jalisco. Avocados de Jalisco is a Mexican corporation created to engage in procuring, packing and selling avocados. As of January 31, 2023, this entity was approximately 83% owned by Calavo and was consolidated in our financial statements. Avocados de Jalisco built a packinghouse located in Jalisco, Mexico, which began operations in June of 2017. During the three months ended January 31, 2023 and 2022 we purchased approximately $3.7 million and $3.5 million of avocados from the partners of Avocados de Jalisco.</w:t>
      </w:r>
    </w:p>
    <w:p>
      <w:pPr>
        <w:spacing w:after="0" w:line="147"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1"/>
          <w:szCs w:val="11"/>
          <w:b w:val="1"/>
          <w:bCs w:val="1"/>
          <w:color w:val="auto"/>
        </w:rPr>
        <w:t>Other assets and Intangibles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assets consist of the following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January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89"/>
              </w:rPr>
              <w:t>October 31,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2023</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3140" w:type="dxa"/>
            <w:vAlign w:val="bottom"/>
            <w:gridSpan w:val="4"/>
            <w:shd w:val="clear" w:color="auto" w:fill="CCEEFF"/>
          </w:tcPr>
          <w:p>
            <w:pPr>
              <w:spacing w:after="0" w:line="155" w:lineRule="exact"/>
              <w:rPr>
                <w:sz w:val="20"/>
                <w:szCs w:val="20"/>
                <w:color w:val="auto"/>
              </w:rPr>
            </w:pPr>
            <w:r>
              <w:rPr>
                <w:rFonts w:ascii="Arial" w:cs="Arial" w:eastAsia="Arial" w:hAnsi="Arial"/>
                <w:sz w:val="14"/>
                <w:szCs w:val="14"/>
                <w:color w:val="auto"/>
              </w:rPr>
              <w:t>Mexican IVA (i.e. value-added) taxes receivable</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46,441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43,625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w w:val="88"/>
              </w:rPr>
              <w:t>Infrastructure advances to Agricola Belher</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 loan to Agricola Belher</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494</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34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49,876</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47,170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gridSpan w:val="5"/>
            <w:vMerge w:val="restart"/>
          </w:tcPr>
          <w:p>
            <w:pPr>
              <w:ind w:left="240"/>
              <w:spacing w:after="0"/>
              <w:rPr>
                <w:sz w:val="20"/>
                <w:szCs w:val="20"/>
                <w:color w:val="auto"/>
              </w:rPr>
            </w:pPr>
            <w:r>
              <w:rPr>
                <w:rFonts w:ascii="Arial" w:cs="Arial" w:eastAsia="Arial" w:hAnsi="Arial"/>
                <w:sz w:val="14"/>
                <w:szCs w:val="14"/>
                <w:color w:val="auto"/>
              </w:rPr>
              <w:t>Intangible assets consist of the following (in thousands):</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9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0"/>
              </w:rPr>
              <w:t>Weighted-</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January 31, 2023</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ind w:left="80"/>
              <w:spacing w:after="0"/>
              <w:rPr>
                <w:sz w:val="20"/>
                <w:szCs w:val="20"/>
                <w:color w:val="auto"/>
              </w:rPr>
            </w:pPr>
            <w:r>
              <w:rPr>
                <w:rFonts w:ascii="Arial" w:cs="Arial" w:eastAsia="Arial" w:hAnsi="Arial"/>
                <w:sz w:val="11"/>
                <w:szCs w:val="11"/>
                <w:b w:val="1"/>
                <w:bCs w:val="1"/>
                <w:color w:val="auto"/>
              </w:rPr>
              <w:t>October 31, 2022</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center"/>
              <w:ind w:right="37"/>
              <w:spacing w:after="0" w:line="87" w:lineRule="exact"/>
              <w:rPr>
                <w:sz w:val="20"/>
                <w:szCs w:val="20"/>
                <w:color w:val="auto"/>
              </w:rPr>
            </w:pPr>
            <w:r>
              <w:rPr>
                <w:rFonts w:ascii="Arial" w:cs="Arial" w:eastAsia="Arial" w:hAnsi="Arial"/>
                <w:sz w:val="10"/>
                <w:szCs w:val="10"/>
                <w:b w:val="1"/>
                <w:bCs w:val="1"/>
                <w:color w:val="auto"/>
                <w:w w:val="96"/>
              </w:rPr>
              <w:t>Gross</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5"/>
              </w:rPr>
              <w:t>Accum.</w:t>
            </w:r>
          </w:p>
        </w:tc>
        <w:tc>
          <w:tcPr>
            <w:tcW w:w="120" w:type="dxa"/>
            <w:vAlign w:val="bottom"/>
          </w:tcPr>
          <w:p>
            <w:pPr>
              <w:spacing w:after="0"/>
              <w:rPr>
                <w:sz w:val="7"/>
                <w:szCs w:val="7"/>
                <w:color w:val="auto"/>
              </w:rPr>
            </w:pPr>
          </w:p>
        </w:tc>
        <w:tc>
          <w:tcPr>
            <w:tcW w:w="480" w:type="dxa"/>
            <w:vAlign w:val="bottom"/>
          </w:tcPr>
          <w:p>
            <w:pPr>
              <w:jc w:val="center"/>
              <w:ind w:right="57"/>
              <w:spacing w:after="0" w:line="87" w:lineRule="exact"/>
              <w:rPr>
                <w:sz w:val="20"/>
                <w:szCs w:val="20"/>
                <w:color w:val="auto"/>
              </w:rPr>
            </w:pPr>
            <w:r>
              <w:rPr>
                <w:rFonts w:ascii="Arial" w:cs="Arial" w:eastAsia="Arial" w:hAnsi="Arial"/>
                <w:sz w:val="10"/>
                <w:szCs w:val="10"/>
                <w:b w:val="1"/>
                <w:bCs w:val="1"/>
                <w:color w:val="auto"/>
                <w:w w:val="99"/>
              </w:rPr>
              <w:t>Net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40"/>
              <w:spacing w:after="0" w:line="87" w:lineRule="exact"/>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w w:val="85"/>
              </w:rPr>
              <w:t>Accum.</w:t>
            </w:r>
          </w:p>
        </w:tc>
        <w:tc>
          <w:tcPr>
            <w:tcW w:w="120" w:type="dxa"/>
            <w:vAlign w:val="bottom"/>
          </w:tcPr>
          <w:p>
            <w:pPr>
              <w:spacing w:after="0"/>
              <w:rPr>
                <w:sz w:val="7"/>
                <w:szCs w:val="7"/>
                <w:color w:val="auto"/>
              </w:rPr>
            </w:pPr>
          </w:p>
        </w:tc>
        <w:tc>
          <w:tcPr>
            <w:tcW w:w="500" w:type="dxa"/>
            <w:vAlign w:val="bottom"/>
          </w:tcPr>
          <w:p>
            <w:pPr>
              <w:jc w:val="center"/>
              <w:ind w:right="57"/>
              <w:spacing w:after="0" w:line="87" w:lineRule="exact"/>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13"/>
        </w:trPr>
        <w:tc>
          <w:tcPr>
            <w:tcW w:w="8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60"/>
              <w:spacing w:after="0" w:line="114"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580" w:type="dxa"/>
            <w:vAlign w:val="bottom"/>
          </w:tcPr>
          <w:p>
            <w:pPr>
              <w:jc w:val="center"/>
              <w:ind w:right="37"/>
              <w:spacing w:after="0" w:line="114" w:lineRule="exact"/>
              <w:rPr>
                <w:sz w:val="20"/>
                <w:szCs w:val="20"/>
                <w:color w:val="auto"/>
              </w:rPr>
            </w:pPr>
            <w:r>
              <w:rPr>
                <w:rFonts w:ascii="Arial" w:cs="Arial" w:eastAsia="Arial" w:hAnsi="Arial"/>
                <w:sz w:val="11"/>
                <w:szCs w:val="11"/>
                <w:b w:val="1"/>
                <w:bCs w:val="1"/>
                <w:color w:val="auto"/>
                <w:w w:val="97"/>
              </w:rPr>
              <w:t>Carrying</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center"/>
              <w:ind w:right="57"/>
              <w:spacing w:after="0" w:line="114" w:lineRule="exact"/>
              <w:rPr>
                <w:sz w:val="20"/>
                <w:szCs w:val="20"/>
                <w:color w:val="auto"/>
              </w:rPr>
            </w:pPr>
            <w:r>
              <w:rPr>
                <w:rFonts w:ascii="Arial" w:cs="Arial" w:eastAsia="Arial" w:hAnsi="Arial"/>
                <w:sz w:val="11"/>
                <w:szCs w:val="11"/>
                <w:b w:val="1"/>
                <w:bCs w:val="1"/>
                <w:color w:val="auto"/>
                <w:w w:val="87"/>
              </w:rPr>
              <w:t>Book</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92"/>
              </w:rPr>
              <w:t>Carrying</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37"/>
              <w:spacing w:after="0" w:line="114" w:lineRule="exact"/>
              <w:rPr>
                <w:sz w:val="20"/>
                <w:szCs w:val="20"/>
                <w:color w:val="auto"/>
              </w:rPr>
            </w:pPr>
            <w:r>
              <w:rPr>
                <w:rFonts w:ascii="Arial" w:cs="Arial" w:eastAsia="Arial" w:hAnsi="Arial"/>
                <w:sz w:val="11"/>
                <w:szCs w:val="11"/>
                <w:b w:val="1"/>
                <w:bCs w:val="1"/>
                <w:color w:val="auto"/>
                <w:w w:val="87"/>
              </w:rPr>
              <w:t>Book</w:t>
            </w: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Useful Life</w:t>
            </w:r>
          </w:p>
        </w:tc>
        <w:tc>
          <w:tcPr>
            <w:tcW w:w="100" w:type="dxa"/>
            <w:vAlign w:val="bottom"/>
          </w:tcPr>
          <w:p>
            <w:pPr>
              <w:spacing w:after="0"/>
              <w:rPr>
                <w:sz w:val="11"/>
                <w:szCs w:val="11"/>
                <w:color w:val="auto"/>
              </w:rPr>
            </w:pPr>
          </w:p>
        </w:tc>
        <w:tc>
          <w:tcPr>
            <w:tcW w:w="580" w:type="dxa"/>
            <w:vAlign w:val="bottom"/>
          </w:tcPr>
          <w:p>
            <w:pPr>
              <w:jc w:val="center"/>
              <w:ind w:right="37"/>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Amortization</w:t>
            </w:r>
          </w:p>
        </w:tc>
        <w:tc>
          <w:tcPr>
            <w:tcW w:w="120" w:type="dxa"/>
            <w:vAlign w:val="bottom"/>
          </w:tcPr>
          <w:p>
            <w:pPr>
              <w:spacing w:after="0"/>
              <w:rPr>
                <w:sz w:val="11"/>
                <w:szCs w:val="11"/>
                <w:color w:val="auto"/>
              </w:rPr>
            </w:pPr>
          </w:p>
        </w:tc>
        <w:tc>
          <w:tcPr>
            <w:tcW w:w="480" w:type="dxa"/>
            <w:vAlign w:val="bottom"/>
          </w:tcPr>
          <w:p>
            <w:pPr>
              <w:jc w:val="center"/>
              <w:ind w:right="77"/>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2"/>
              </w:rPr>
              <w:t>Amortization</w:t>
            </w:r>
          </w:p>
        </w:tc>
        <w:tc>
          <w:tcPr>
            <w:tcW w:w="120" w:type="dxa"/>
            <w:vAlign w:val="bottom"/>
          </w:tcPr>
          <w:p>
            <w:pPr>
              <w:spacing w:after="0"/>
              <w:rPr>
                <w:sz w:val="11"/>
                <w:szCs w:val="11"/>
                <w:color w:val="auto"/>
              </w:rPr>
            </w:pPr>
          </w:p>
        </w:tc>
        <w:tc>
          <w:tcPr>
            <w:tcW w:w="500" w:type="dxa"/>
            <w:vAlign w:val="bottom"/>
          </w:tcPr>
          <w:p>
            <w:pPr>
              <w:jc w:val="center"/>
              <w:ind w:right="57"/>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55"/>
        </w:trPr>
        <w:tc>
          <w:tcPr>
            <w:tcW w:w="304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Customer list/relationships</w:t>
            </w: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 years</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17,340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(11,719)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5,621</w:t>
            </w:r>
          </w:p>
        </w:tc>
        <w:tc>
          <w:tcPr>
            <w:tcW w:w="1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17,340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(11,373)</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65"/>
        </w:trPr>
        <w:tc>
          <w:tcPr>
            <w:tcW w:w="3140" w:type="dxa"/>
            <w:vAlign w:val="bottom"/>
            <w:gridSpan w:val="3"/>
          </w:tcPr>
          <w:p>
            <w:pPr>
              <w:spacing w:after="0"/>
              <w:rPr>
                <w:sz w:val="20"/>
                <w:szCs w:val="20"/>
                <w:color w:val="auto"/>
              </w:rPr>
            </w:pPr>
            <w:r>
              <w:rPr>
                <w:rFonts w:ascii="Arial" w:cs="Arial" w:eastAsia="Arial" w:hAnsi="Arial"/>
                <w:sz w:val="14"/>
                <w:szCs w:val="14"/>
                <w:color w:val="auto"/>
              </w:rPr>
              <w:t>Trade names</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 years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(3,130)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(3,100)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65"/>
        </w:trPr>
        <w:tc>
          <w:tcPr>
            <w:tcW w:w="31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Trade secrets/recipes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 years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5"/>
        </w:trPr>
        <w:tc>
          <w:tcPr>
            <w:tcW w:w="3140" w:type="dxa"/>
            <w:vAlign w:val="bottom"/>
            <w:gridSpan w:val="3"/>
          </w:tcPr>
          <w:p>
            <w:pPr>
              <w:spacing w:after="0"/>
              <w:rPr>
                <w:sz w:val="20"/>
                <w:szCs w:val="20"/>
                <w:color w:val="auto"/>
              </w:rPr>
            </w:pPr>
            <w:r>
              <w:rPr>
                <w:rFonts w:ascii="Arial" w:cs="Arial" w:eastAsia="Arial" w:hAnsi="Arial"/>
                <w:sz w:val="14"/>
                <w:szCs w:val="14"/>
                <w:color w:val="auto"/>
              </w:rPr>
              <w:t>Brand name intangibles</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indefinite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55"/>
        </w:trPr>
        <w:tc>
          <w:tcPr>
            <w:tcW w:w="314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Intangibles, net</w:t>
            </w: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22,305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(15,479)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6,826</w:t>
            </w: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22,305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(15,099)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right="279" w:firstLine="198"/>
        <w:spacing w:after="0" w:line="265" w:lineRule="auto"/>
        <w:rPr>
          <w:sz w:val="20"/>
          <w:szCs w:val="20"/>
          <w:color w:val="auto"/>
        </w:rPr>
      </w:pPr>
      <w:r>
        <w:rPr>
          <w:rFonts w:ascii="Arial" w:cs="Arial" w:eastAsia="Arial" w:hAnsi="Arial"/>
          <w:sz w:val="14"/>
          <w:szCs w:val="14"/>
          <w:color w:val="auto"/>
        </w:rPr>
        <w:t>We anticipate recording amortization expense of $1.1 million for the remainder of fiscal 2023, $1.5 million for fiscal year 2024, $1.5 million for fiscal year 2025, $1.5 million for fiscal year 2026, and $0.8 million thereafter.</w:t>
      </w:r>
    </w:p>
    <w:p>
      <w:pPr>
        <w:spacing w:after="0" w:line="135"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1"/>
          <w:szCs w:val="11"/>
          <w:b w:val="1"/>
          <w:bCs w:val="1"/>
          <w:color w:val="auto"/>
        </w:rPr>
        <w:t>Stock-Based Compensation</w:t>
      </w:r>
    </w:p>
    <w:p>
      <w:pPr>
        <w:spacing w:after="0" w:line="173" w:lineRule="exact"/>
        <w:rPr>
          <w:sz w:val="20"/>
          <w:szCs w:val="20"/>
          <w:color w:val="auto"/>
        </w:rPr>
      </w:pPr>
    </w:p>
    <w:p>
      <w:pPr>
        <w:jc w:val="both"/>
        <w:ind w:left="20" w:right="39" w:firstLine="198"/>
        <w:spacing w:after="0" w:line="250" w:lineRule="auto"/>
        <w:rPr>
          <w:sz w:val="20"/>
          <w:szCs w:val="20"/>
          <w:color w:val="auto"/>
        </w:rPr>
      </w:pPr>
      <w:r>
        <w:rPr>
          <w:rFonts w:ascii="Arial" w:cs="Arial" w:eastAsia="Arial" w:hAnsi="Arial"/>
          <w:sz w:val="14"/>
          <w:szCs w:val="14"/>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Restricted Stock Awards</w:t>
      </w:r>
    </w:p>
    <w:p>
      <w:pPr>
        <w:spacing w:after="0" w:line="169" w:lineRule="exact"/>
        <w:rPr>
          <w:sz w:val="20"/>
          <w:szCs w:val="20"/>
          <w:color w:val="auto"/>
        </w:rPr>
      </w:pPr>
    </w:p>
    <w:p>
      <w:pPr>
        <w:ind w:left="20" w:right="99" w:firstLine="198"/>
        <w:spacing w:after="0" w:line="255" w:lineRule="auto"/>
        <w:rPr>
          <w:sz w:val="20"/>
          <w:szCs w:val="20"/>
          <w:color w:val="auto"/>
        </w:rPr>
      </w:pPr>
      <w:r>
        <w:rPr>
          <w:rFonts w:ascii="Arial" w:cs="Arial" w:eastAsia="Arial" w:hAnsi="Arial"/>
          <w:sz w:val="14"/>
          <w:szCs w:val="14"/>
          <w:color w:val="auto"/>
        </w:rPr>
        <w:t>On November 3, 2022, our Chief Executive Officer (CEO) entered into an amendment to his employment agreement, which changed $100,000 of his guaranteed STIP cash bonus for fiscal 2022 to $100,000 worth of unrestricted Calavo common stock. On December 22, 2022, our CEO was granted 3,321 shares of unrestricted common stock. The closing share price of our common stock at the grant date was $30.12.</w:t>
      </w:r>
    </w:p>
    <w:p>
      <w:pPr>
        <w:spacing w:after="0" w:line="146" w:lineRule="exact"/>
        <w:rPr>
          <w:sz w:val="20"/>
          <w:szCs w:val="20"/>
          <w:color w:val="auto"/>
        </w:rPr>
      </w:pPr>
    </w:p>
    <w:p>
      <w:pPr>
        <w:ind w:left="20" w:right="99" w:firstLine="198"/>
        <w:spacing w:after="0" w:line="252" w:lineRule="auto"/>
        <w:rPr>
          <w:sz w:val="20"/>
          <w:szCs w:val="20"/>
          <w:color w:val="auto"/>
        </w:rPr>
      </w:pPr>
      <w:r>
        <w:rPr>
          <w:rFonts w:ascii="Arial" w:cs="Arial" w:eastAsia="Arial" w:hAnsi="Arial"/>
          <w:sz w:val="14"/>
          <w:szCs w:val="14"/>
          <w:color w:val="auto"/>
        </w:rPr>
        <w:t>On December 1, 2022, our ten directors were granted 3,478 restricted shares each (for a total of 34,780 shares). These shares have full voting rights and participate in dividends as if unrestricted. The closing share price of our stock on such grant date was $34.51. As of November 1, 2023, these shares will vest and become unrestricted subject to the continued service of the director. The total recognized stock-based compensation expense for these grants was $0.2 million for the three months ended January 31, 2023.</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 combined summary of restricted stock award activity, related to our 2011 and 2020 Plans, is as follows (in thousands, except for per share amounts):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380" w:type="dxa"/>
            <w:vAlign w:val="bottom"/>
          </w:tcPr>
          <w:p>
            <w:pPr>
              <w:spacing w:after="0"/>
              <w:rPr>
                <w:sz w:val="10"/>
                <w:szCs w:val="10"/>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10"/>
                <w:szCs w:val="1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Weighted-Average</w:t>
            </w:r>
          </w:p>
        </w:tc>
        <w:tc>
          <w:tcPr>
            <w:tcW w:w="10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Grant Price</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Intrinsic Value</w:t>
            </w:r>
          </w:p>
        </w:tc>
        <w:tc>
          <w:tcPr>
            <w:tcW w:w="0" w:type="dxa"/>
            <w:vAlign w:val="bottom"/>
          </w:tcPr>
          <w:p>
            <w:pPr>
              <w:spacing w:after="0"/>
              <w:rPr>
                <w:sz w:val="1"/>
                <w:szCs w:val="1"/>
                <w:color w:val="auto"/>
              </w:rPr>
            </w:pPr>
          </w:p>
        </w:tc>
      </w:tr>
      <w:tr>
        <w:trPr>
          <w:trHeight w:val="155"/>
        </w:trPr>
        <w:tc>
          <w:tcPr>
            <w:tcW w:w="5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October 31, 2022</w:t>
            </w: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42.88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380" w:type="dxa"/>
            <w:vAlign w:val="bottom"/>
          </w:tcPr>
          <w:p>
            <w:pPr>
              <w:spacing w:after="0"/>
              <w:rPr>
                <w:sz w:val="20"/>
                <w:szCs w:val="20"/>
                <w:color w:val="auto"/>
              </w:rPr>
            </w:pPr>
            <w:r>
              <w:rPr>
                <w:rFonts w:ascii="Arial" w:cs="Arial" w:eastAsia="Arial" w:hAnsi="Arial"/>
                <w:sz w:val="14"/>
                <w:szCs w:val="14"/>
                <w:color w:val="auto"/>
              </w:rPr>
              <w:t>Vested</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line="155" w:lineRule="exact"/>
              <w:rPr>
                <w:sz w:val="20"/>
                <w:szCs w:val="20"/>
                <w:color w:val="auto"/>
              </w:rPr>
            </w:pPr>
            <w:r>
              <w:rPr>
                <w:rFonts w:ascii="Arial" w:cs="Arial" w:eastAsia="Arial" w:hAnsi="Arial"/>
                <w:sz w:val="14"/>
                <w:szCs w:val="14"/>
                <w:color w:val="auto"/>
              </w:rPr>
              <w:t>Outstanding at January 31, 2023</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38.11</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0" w:right="39" w:firstLine="198"/>
        <w:spacing w:after="0" w:line="403" w:lineRule="auto"/>
        <w:rPr>
          <w:sz w:val="20"/>
          <w:szCs w:val="20"/>
          <w:color w:val="auto"/>
        </w:rPr>
      </w:pPr>
      <w:r>
        <w:rPr>
          <w:rFonts w:ascii="Arial" w:cs="Arial" w:eastAsia="Arial" w:hAnsi="Arial"/>
          <w:sz w:val="11"/>
          <w:szCs w:val="11"/>
          <w:color w:val="auto"/>
        </w:rPr>
        <w:t>The total recognized stock-based compensation expense for restricted stock was $0.7 million and $0.6 million for the three months ended January 31, 2023 and 2022. Total unrecognized stock-based compensation expense totaled $1.9 million as of January 31, 2023 and will be amortized through fiscal year 2024.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Restricted Stock Units (RSUs) and Performance Restricted Stock Units (PRSUs)</w:t>
      </w:r>
    </w:p>
    <w:p>
      <w:pPr>
        <w:spacing w:after="0" w:line="169" w:lineRule="exact"/>
        <w:rPr>
          <w:sz w:val="20"/>
          <w:szCs w:val="20"/>
          <w:color w:val="auto"/>
        </w:rPr>
      </w:pPr>
    </w:p>
    <w:p>
      <w:pPr>
        <w:ind w:left="20" w:right="99" w:firstLine="198"/>
        <w:spacing w:after="0" w:line="358" w:lineRule="auto"/>
        <w:rPr>
          <w:sz w:val="20"/>
          <w:szCs w:val="20"/>
          <w:color w:val="auto"/>
        </w:rPr>
      </w:pPr>
      <w:r>
        <w:rPr>
          <w:rFonts w:ascii="Arial" w:cs="Arial" w:eastAsia="Arial" w:hAnsi="Arial"/>
          <w:sz w:val="11"/>
          <w:szCs w:val="11"/>
          <w:color w:val="auto"/>
        </w:rPr>
        <w:t>On December 1, 2022, we issued RSUs and PRSUs for officers and other members of management as part of our long-term incentive plan. The RSUs are time-based and vest annually in equal amounts over a three-year period. The PRSUs are based on three-year cumulative performance targets of net sales, adjusted EBITDA and return on invested capital and vest entirely at the third anniversary. We granted 66,325 RSUs and 66,325 PRSUs at a grant stock price of $34.51.</w:t>
      </w:r>
    </w:p>
    <w:p>
      <w:pPr>
        <w:spacing w:after="0" w:line="93" w:lineRule="exact"/>
        <w:rPr>
          <w:sz w:val="20"/>
          <w:szCs w:val="20"/>
          <w:color w:val="auto"/>
        </w:rPr>
      </w:pPr>
    </w:p>
    <w:p>
      <w:pPr>
        <w:ind w:left="20" w:right="99" w:firstLine="232"/>
        <w:spacing w:after="0" w:line="252" w:lineRule="auto"/>
        <w:rPr>
          <w:sz w:val="20"/>
          <w:szCs w:val="20"/>
          <w:color w:val="auto"/>
        </w:rPr>
      </w:pPr>
      <w:r>
        <w:rPr>
          <w:rFonts w:ascii="Arial" w:cs="Arial" w:eastAsia="Arial" w:hAnsi="Arial"/>
          <w:sz w:val="14"/>
          <w:szCs w:val="14"/>
          <w:color w:val="auto"/>
        </w:rPr>
        <w:t>Based on our current projections, we recognized approximately $0.5 million of stock-based compensation for the three months ended January 31, 2023 for all RSUs and PRSUs. As of January 31, 2023, there was $6.0 million of unrecognized stock-based compensation costs related to non-vested RSUs and PRSUs, which the Company expects to recognize over a weighted-average period of 2.1 years. The total fair value of the restricted stock units at January 31, 2023, is approximately $6.4 million.</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summary of RSU activity, related to our 2020 Plan, is as follows (in thousands, except for per share amounts):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40" w:type="dxa"/>
            <w:vAlign w:val="bottom"/>
          </w:tcPr>
          <w:p>
            <w:pPr>
              <w:jc w:val="right"/>
              <w:ind w:right="78"/>
              <w:spacing w:after="0"/>
              <w:rPr>
                <w:sz w:val="20"/>
                <w:szCs w:val="20"/>
                <w:color w:val="auto"/>
              </w:rPr>
            </w:pPr>
            <w:r>
              <w:rPr>
                <w:rFonts w:ascii="Arial" w:cs="Arial" w:eastAsia="Arial" w:hAnsi="Arial"/>
                <w:sz w:val="11"/>
                <w:szCs w:val="11"/>
                <w:b w:val="1"/>
                <w:bCs w:val="1"/>
                <w:color w:val="auto"/>
              </w:rPr>
              <w:t>Number of 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75"/>
              <w:spacing w:after="0"/>
              <w:rPr>
                <w:sz w:val="20"/>
                <w:szCs w:val="20"/>
                <w:color w:val="auto"/>
              </w:rPr>
            </w:pPr>
            <w:r>
              <w:rPr>
                <w:rFonts w:ascii="Arial" w:cs="Arial" w:eastAsia="Arial" w:hAnsi="Arial"/>
                <w:sz w:val="11"/>
                <w:szCs w:val="11"/>
                <w:b w:val="1"/>
                <w:bCs w:val="1"/>
                <w:color w:val="auto"/>
                <w:w w:val="93"/>
              </w:rPr>
              <w:t>Weighted-Average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30"/>
        </w:trPr>
        <w:tc>
          <w:tcPr>
            <w:tcW w:w="310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Represented</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Grant Price</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93"/>
              </w:rPr>
              <w:t>Intrinsic Value</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Outstanding at October 31, 2022</w:t>
            </w:r>
          </w:p>
        </w:tc>
        <w:tc>
          <w:tcPr>
            <w:tcW w:w="2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39.17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20"/>
                <w:szCs w:val="20"/>
                <w:color w:val="auto"/>
              </w:rPr>
            </w:pPr>
            <w:r>
              <w:rPr>
                <w:rFonts w:ascii="Arial" w:cs="Arial" w:eastAsia="Arial" w:hAnsi="Arial"/>
                <w:sz w:val="14"/>
                <w:szCs w:val="14"/>
                <w:color w:val="auto"/>
              </w:rPr>
              <w:t>Vested</w:t>
            </w:r>
          </w:p>
        </w:tc>
        <w:tc>
          <w:tcPr>
            <w:tcW w:w="34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37.49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20"/>
                <w:szCs w:val="20"/>
                <w:color w:val="auto"/>
              </w:rPr>
            </w:pPr>
            <w:r>
              <w:rPr>
                <w:rFonts w:ascii="Arial" w:cs="Arial" w:eastAsia="Arial" w:hAnsi="Arial"/>
                <w:sz w:val="14"/>
                <w:szCs w:val="14"/>
                <w:color w:val="auto"/>
              </w:rPr>
              <w:t>Granted</w:t>
            </w:r>
          </w:p>
        </w:tc>
        <w:tc>
          <w:tcPr>
            <w:tcW w:w="344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34.51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January 31, 2023</w:t>
            </w:r>
          </w:p>
        </w:tc>
        <w:tc>
          <w:tcPr>
            <w:tcW w:w="23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260" w:type="dxa"/>
            <w:vAlign w:val="bottom"/>
            <w:tcBorders>
              <w:top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36.46</w:t>
            </w:r>
          </w:p>
        </w:tc>
        <w:tc>
          <w:tcPr>
            <w:tcW w:w="240" w:type="dxa"/>
            <w:vAlign w:val="bottom"/>
            <w:tcBorders>
              <w:top w:val="single" w:sz="8" w:color="CCEEFF"/>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3,350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771"/>
              <w:spacing w:after="0"/>
              <w:rPr>
                <w:sz w:val="20"/>
                <w:szCs w:val="20"/>
                <w:color w:val="auto"/>
              </w:rPr>
            </w:pPr>
            <w:r>
              <w:rPr>
                <w:rFonts w:ascii="Arial" w:cs="Arial" w:eastAsia="Arial" w:hAnsi="Arial"/>
                <w:sz w:val="14"/>
                <w:szCs w:val="14"/>
                <w:color w:val="auto"/>
              </w:rPr>
              <w:t>12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28"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summary of PRSU activity, related to our 2020 Plan, is as follows (in thousands, except for per share amounts):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400" w:type="dxa"/>
            <w:vAlign w:val="bottom"/>
          </w:tcPr>
          <w:p>
            <w:pPr>
              <w:spacing w:after="0"/>
              <w:rPr>
                <w:sz w:val="10"/>
                <w:szCs w:val="10"/>
                <w:color w:val="auto"/>
              </w:rPr>
            </w:pPr>
          </w:p>
        </w:tc>
        <w:tc>
          <w:tcPr>
            <w:tcW w:w="1140" w:type="dxa"/>
            <w:vAlign w:val="bottom"/>
          </w:tcPr>
          <w:p>
            <w:pPr>
              <w:jc w:val="right"/>
              <w:ind w:right="76"/>
              <w:spacing w:after="0"/>
              <w:rPr>
                <w:sz w:val="20"/>
                <w:szCs w:val="20"/>
                <w:color w:val="auto"/>
              </w:rPr>
            </w:pPr>
            <w:r>
              <w:rPr>
                <w:rFonts w:ascii="Arial" w:cs="Arial" w:eastAsia="Arial" w:hAnsi="Arial"/>
                <w:sz w:val="11"/>
                <w:szCs w:val="11"/>
                <w:b w:val="1"/>
                <w:bCs w:val="1"/>
                <w:color w:val="auto"/>
              </w:rPr>
              <w:t>Number of 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Weighted-Average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40"/>
              <w:spacing w:after="0"/>
              <w:rPr>
                <w:sz w:val="20"/>
                <w:szCs w:val="20"/>
                <w:color w:val="auto"/>
              </w:rPr>
            </w:pPr>
            <w:r>
              <w:rPr>
                <w:rFonts w:ascii="Arial" w:cs="Arial" w:eastAsia="Arial" w:hAnsi="Arial"/>
                <w:sz w:val="11"/>
                <w:szCs w:val="11"/>
                <w:b w:val="1"/>
                <w:bCs w:val="1"/>
                <w:color w:val="auto"/>
                <w:w w:val="88"/>
              </w:rPr>
              <w:t>Aggregate</w:t>
            </w:r>
          </w:p>
        </w:tc>
      </w:tr>
      <w:tr>
        <w:trPr>
          <w:trHeight w:val="130"/>
        </w:trPr>
        <w:tc>
          <w:tcPr>
            <w:tcW w:w="5400" w:type="dxa"/>
            <w:vAlign w:val="bottom"/>
          </w:tcPr>
          <w:p>
            <w:pPr>
              <w:spacing w:after="0"/>
              <w:rPr>
                <w:sz w:val="11"/>
                <w:szCs w:val="11"/>
                <w:color w:val="auto"/>
              </w:rPr>
            </w:pPr>
          </w:p>
        </w:tc>
        <w:tc>
          <w:tcPr>
            <w:tcW w:w="1140" w:type="dxa"/>
            <w:vAlign w:val="bottom"/>
          </w:tcPr>
          <w:p>
            <w:pPr>
              <w:jc w:val="right"/>
              <w:ind w:right="216"/>
              <w:spacing w:after="0"/>
              <w:rPr>
                <w:sz w:val="20"/>
                <w:szCs w:val="20"/>
                <w:color w:val="auto"/>
              </w:rPr>
            </w:pPr>
            <w:r>
              <w:rPr>
                <w:rFonts w:ascii="Arial" w:cs="Arial" w:eastAsia="Arial" w:hAnsi="Arial"/>
                <w:sz w:val="11"/>
                <w:szCs w:val="11"/>
                <w:b w:val="1"/>
                <w:bCs w:val="1"/>
                <w:color w:val="auto"/>
              </w:rPr>
              <w:t>Represented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Grant Price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20"/>
              <w:spacing w:after="0"/>
              <w:rPr>
                <w:sz w:val="20"/>
                <w:szCs w:val="20"/>
                <w:color w:val="auto"/>
              </w:rPr>
            </w:pPr>
            <w:r>
              <w:rPr>
                <w:rFonts w:ascii="Arial" w:cs="Arial" w:eastAsia="Arial" w:hAnsi="Arial"/>
                <w:sz w:val="11"/>
                <w:szCs w:val="11"/>
                <w:b w:val="1"/>
                <w:bCs w:val="1"/>
                <w:color w:val="auto"/>
                <w:w w:val="93"/>
              </w:rPr>
              <w:t>Intrinsic Value</w:t>
            </w:r>
          </w:p>
        </w:tc>
      </w:tr>
      <w:tr>
        <w:trPr>
          <w:trHeight w:val="155"/>
        </w:trPr>
        <w:tc>
          <w:tcPr>
            <w:tcW w:w="5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October 31, 2022</w:t>
            </w: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37.49</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65"/>
        </w:trPr>
        <w:tc>
          <w:tcPr>
            <w:tcW w:w="5400" w:type="dxa"/>
            <w:vAlign w:val="bottom"/>
          </w:tcPr>
          <w:p>
            <w:pPr>
              <w:spacing w:after="0"/>
              <w:rPr>
                <w:sz w:val="20"/>
                <w:szCs w:val="20"/>
                <w:color w:val="auto"/>
              </w:rPr>
            </w:pPr>
            <w:r>
              <w:rPr>
                <w:rFonts w:ascii="Arial" w:cs="Arial" w:eastAsia="Arial" w:hAnsi="Arial"/>
                <w:sz w:val="14"/>
                <w:szCs w:val="14"/>
                <w:color w:val="auto"/>
              </w:rPr>
              <w:t>Forfeited</w:t>
            </w: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37.49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5"/>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color w:val="auto"/>
              </w:rPr>
              <w:t>Outstanding at January 31, 2023</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35.41</w:t>
            </w:r>
          </w:p>
        </w:tc>
        <w:tc>
          <w:tcPr>
            <w:tcW w:w="140" w:type="dxa"/>
            <w:vAlign w:val="bottom"/>
          </w:tcPr>
          <w:p>
            <w:pPr>
              <w:spacing w:after="0"/>
              <w:rPr>
                <w:sz w:val="13"/>
                <w:szCs w:val="13"/>
                <w:color w:val="auto"/>
              </w:rPr>
            </w:pPr>
          </w:p>
        </w:tc>
        <w:tc>
          <w:tcPr>
            <w:tcW w:w="1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2,992</w:t>
            </w: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Stock Options</w:t>
      </w:r>
    </w:p>
    <w:p>
      <w:pPr>
        <w:spacing w:after="0" w:line="169" w:lineRule="exact"/>
        <w:rPr>
          <w:sz w:val="20"/>
          <w:szCs w:val="20"/>
          <w:color w:val="auto"/>
        </w:rPr>
      </w:pPr>
    </w:p>
    <w:p>
      <w:pPr>
        <w:jc w:val="both"/>
        <w:ind w:left="20" w:right="59" w:firstLine="198"/>
        <w:spacing w:after="0" w:line="265" w:lineRule="auto"/>
        <w:rPr>
          <w:sz w:val="20"/>
          <w:szCs w:val="20"/>
          <w:color w:val="auto"/>
        </w:rPr>
      </w:pPr>
      <w:r>
        <w:rPr>
          <w:rFonts w:ascii="Arial" w:cs="Arial" w:eastAsia="Arial" w:hAnsi="Arial"/>
          <w:sz w:val="14"/>
          <w:szCs w:val="14"/>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57" w:lineRule="exact"/>
        <w:rPr>
          <w:sz w:val="20"/>
          <w:szCs w:val="20"/>
          <w:color w:val="auto"/>
        </w:rPr>
      </w:pPr>
    </w:p>
    <w:p>
      <w:pPr>
        <w:ind w:left="20" w:right="199" w:firstLine="198"/>
        <w:spacing w:after="0" w:line="255" w:lineRule="auto"/>
        <w:rPr>
          <w:sz w:val="20"/>
          <w:szCs w:val="20"/>
          <w:color w:val="auto"/>
        </w:rPr>
      </w:pPr>
      <w:r>
        <w:rPr>
          <w:rFonts w:ascii="Arial" w:cs="Arial" w:eastAsia="Arial" w:hAnsi="Arial"/>
          <w:sz w:val="14"/>
          <w:szCs w:val="14"/>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 summary of stock option activity, related to our 2011 and 2020 Plans, is as follows (in thousands, except for weighted-average exercise price):</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1"/>
              </w:rPr>
              <w:t>Weighted-Average</w:t>
            </w: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3"/>
        </w:trPr>
        <w:tc>
          <w:tcPr>
            <w:tcW w:w="5700" w:type="dxa"/>
            <w:vAlign w:val="bottom"/>
          </w:tcPr>
          <w:p>
            <w:pPr>
              <w:spacing w:after="0"/>
              <w:rPr>
                <w:sz w:val="9"/>
                <w:szCs w:val="9"/>
                <w:color w:val="auto"/>
              </w:rPr>
            </w:pP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Number of Shares</w:t>
            </w:r>
          </w:p>
        </w:tc>
        <w:tc>
          <w:tcPr>
            <w:tcW w:w="800" w:type="dxa"/>
            <w:vAlign w:val="bottom"/>
          </w:tcPr>
          <w:p>
            <w:pPr>
              <w:jc w:val="center"/>
              <w:ind w:left="307"/>
              <w:spacing w:after="0" w:line="114" w:lineRule="exact"/>
              <w:rPr>
                <w:sz w:val="20"/>
                <w:szCs w:val="20"/>
                <w:color w:val="auto"/>
              </w:rPr>
            </w:pPr>
            <w:r>
              <w:rPr>
                <w:rFonts w:ascii="Arial" w:cs="Arial" w:eastAsia="Arial" w:hAnsi="Arial"/>
                <w:sz w:val="11"/>
                <w:szCs w:val="11"/>
                <w:b w:val="1"/>
                <w:bCs w:val="1"/>
                <w:color w:val="auto"/>
                <w:w w:val="88"/>
              </w:rPr>
              <w:t>Exercise</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30"/>
        </w:trPr>
        <w:tc>
          <w:tcPr>
            <w:tcW w:w="57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0" w:type="dxa"/>
            <w:vAlign w:val="bottom"/>
          </w:tcPr>
          <w:p>
            <w:pPr>
              <w:jc w:val="center"/>
              <w:ind w:left="307"/>
              <w:spacing w:after="0"/>
              <w:rPr>
                <w:sz w:val="20"/>
                <w:szCs w:val="20"/>
                <w:color w:val="auto"/>
              </w:rPr>
            </w:pPr>
            <w:r>
              <w:rPr>
                <w:rFonts w:ascii="Arial" w:cs="Arial" w:eastAsia="Arial" w:hAnsi="Arial"/>
                <w:sz w:val="11"/>
                <w:szCs w:val="11"/>
                <w:b w:val="1"/>
                <w:bCs w:val="1"/>
                <w:color w:val="auto"/>
                <w:w w:val="89"/>
              </w:rPr>
              <w:t>Price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2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55"/>
        </w:trPr>
        <w:tc>
          <w:tcPr>
            <w:tcW w:w="5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October 31, 2022</w:t>
            </w: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w:t>
            </w: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44.67</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4"/>
                <w:szCs w:val="14"/>
                <w:color w:val="auto"/>
              </w:rPr>
              <w:t>Exercised</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85"/>
              </w:rPr>
              <w:t>23.48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Outstanding at January 31, 2023</w:t>
            </w:r>
          </w:p>
        </w:tc>
        <w:tc>
          <w:tcPr>
            <w:tcW w:w="1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46.36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CCEEFF"/>
              <w:bottom w:val="single" w:sz="8" w:color="auto"/>
            </w:tcBorders>
            <w:shd w:val="clear" w:color="auto" w:fill="CCEEFF"/>
          </w:tcPr>
          <w:p>
            <w:pPr>
              <w:ind w:left="4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Exercisable at January 31, 2023</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vMerge w:val="restart"/>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w w:val="85"/>
              </w:rPr>
              <w:t>45.83</w:t>
            </w: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700" w:type="dxa"/>
            <w:vAlign w:val="bottom"/>
            <w:vMerge w:val="continue"/>
          </w:tcPr>
          <w:p>
            <w:pPr>
              <w:spacing w:after="0"/>
              <w:rPr>
                <w:sz w:val="11"/>
                <w:szCs w:val="11"/>
                <w:color w:val="auto"/>
              </w:rPr>
            </w:pPr>
          </w:p>
        </w:tc>
        <w:tc>
          <w:tcPr>
            <w:tcW w:w="11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00"/>
              <w:spacing w:after="0" w:line="13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right="319" w:firstLine="198"/>
        <w:spacing w:after="0" w:line="265" w:lineRule="auto"/>
        <w:rPr>
          <w:sz w:val="20"/>
          <w:szCs w:val="20"/>
          <w:color w:val="auto"/>
        </w:rPr>
      </w:pPr>
      <w:r>
        <w:rPr>
          <w:rFonts w:ascii="Arial" w:cs="Arial" w:eastAsia="Arial" w:hAnsi="Arial"/>
          <w:sz w:val="14"/>
          <w:szCs w:val="14"/>
          <w:color w:val="auto"/>
        </w:rPr>
        <w:t>At January 31, 2023, outstanding and exercisable stock options had a weighted-average remaining contractual term of 2.6 years. The total recognized and unrecognized stock-based compensation expense was insignificant for the three ended January 31, 2023 and 2022.</w:t>
      </w:r>
    </w:p>
    <w:p>
      <w:pPr>
        <w:spacing w:after="0" w:line="135" w:lineRule="exact"/>
        <w:rPr>
          <w:sz w:val="20"/>
          <w:szCs w:val="20"/>
          <w:color w:val="auto"/>
        </w:rPr>
      </w:pPr>
    </w:p>
    <w:p>
      <w:pPr>
        <w:ind w:left="280" w:hanging="257"/>
        <w:spacing w:after="0"/>
        <w:tabs>
          <w:tab w:leader="none" w:pos="28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Other events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Dividend payment</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On December 14, 2022, we paid a $0.2875 per share dividend in the aggregate amount of $5.1 million to shareholders of record on November 16, 2022.</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Litigation</w:t>
      </w:r>
    </w:p>
    <w:p>
      <w:pPr>
        <w:spacing w:after="0" w:line="169" w:lineRule="exact"/>
        <w:rPr>
          <w:sz w:val="20"/>
          <w:szCs w:val="20"/>
          <w:color w:val="auto"/>
        </w:rPr>
      </w:pPr>
    </w:p>
    <w:p>
      <w:pPr>
        <w:ind w:left="20" w:right="59" w:firstLine="198"/>
        <w:spacing w:after="0" w:line="265" w:lineRule="auto"/>
        <w:rPr>
          <w:sz w:val="20"/>
          <w:szCs w:val="20"/>
          <w:color w:val="auto"/>
        </w:rPr>
      </w:pPr>
      <w:r>
        <w:rPr>
          <w:rFonts w:ascii="Arial" w:cs="Arial" w:eastAsia="Arial" w:hAnsi="Arial"/>
          <w:sz w:val="14"/>
          <w:szCs w:val="14"/>
          <w:color w:val="auto"/>
        </w:rPr>
        <w:t>From time to time, we are involved in litigation arising in the ordinary course of our business that we do not believe will have a material adverse impact on our financial statements.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Mexico tax audits</w:t>
      </w:r>
    </w:p>
    <w:p>
      <w:pPr>
        <w:spacing w:after="0" w:line="169" w:lineRule="exact"/>
        <w:rPr>
          <w:sz w:val="20"/>
          <w:szCs w:val="20"/>
          <w:color w:val="auto"/>
        </w:rPr>
      </w:pPr>
    </w:p>
    <w:p>
      <w:pPr>
        <w:jc w:val="both"/>
        <w:ind w:left="20" w:right="139" w:firstLine="198"/>
        <w:spacing w:after="0" w:line="255" w:lineRule="auto"/>
        <w:rPr>
          <w:sz w:val="20"/>
          <w:szCs w:val="20"/>
          <w:color w:val="auto"/>
        </w:rPr>
      </w:pPr>
      <w:r>
        <w:rPr>
          <w:rFonts w:ascii="Arial" w:cs="Arial" w:eastAsia="Arial" w:hAnsi="Arial"/>
          <w:sz w:val="14"/>
          <w:szCs w:val="14"/>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2013 Assessment</w:t>
      </w:r>
    </w:p>
    <w:p>
      <w:pPr>
        <w:spacing w:after="0" w:line="173" w:lineRule="exact"/>
        <w:rPr>
          <w:sz w:val="20"/>
          <w:szCs w:val="20"/>
          <w:color w:val="auto"/>
        </w:rPr>
      </w:pPr>
    </w:p>
    <w:p>
      <w:pPr>
        <w:ind w:left="20" w:right="39" w:firstLine="198"/>
        <w:spacing w:after="0" w:line="272" w:lineRule="auto"/>
        <w:rPr>
          <w:sz w:val="20"/>
          <w:szCs w:val="20"/>
          <w:color w:val="auto"/>
        </w:rPr>
      </w:pPr>
      <w:r>
        <w:rPr>
          <w:rFonts w:ascii="Arial" w:cs="Arial" w:eastAsia="Arial" w:hAnsi="Arial"/>
          <w:sz w:val="13"/>
          <w:szCs w:val="13"/>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38" w:lineRule="exact"/>
        <w:rPr>
          <w:sz w:val="20"/>
          <w:szCs w:val="20"/>
          <w:color w:val="auto"/>
        </w:rPr>
      </w:pPr>
    </w:p>
    <w:p>
      <w:pPr>
        <w:ind w:left="20" w:right="99" w:firstLine="198"/>
        <w:spacing w:after="0" w:line="272" w:lineRule="auto"/>
        <w:rPr>
          <w:sz w:val="20"/>
          <w:szCs w:val="20"/>
          <w:color w:val="auto"/>
        </w:rPr>
      </w:pPr>
      <w:r>
        <w:rPr>
          <w:rFonts w:ascii="Arial" w:cs="Arial" w:eastAsia="Arial" w:hAnsi="Arial"/>
          <w:sz w:val="13"/>
          <w:szCs w:val="13"/>
          <w:color w:val="auto"/>
        </w:rPr>
        <w:t>As a result, in July 2018, the SAT’s local office in Uruapan issued to CDM a final tax assessment (the “2013 Assessment”) totaling approximately $2.6 billion Mexican pesos (which includes annual adjustments for inflation, and equals approximately $138.4 million USD at January 31, 2023) related to Income Tax, Flat Rate Business Tax, and value added tax, related to this fiscal 2013 tax audit. This amount has been adjusted for inflation as of January 31, 2023 to the amount of $3.08 billion Mexican pesos (approx. $163.9 million USD). Additionally, the tax authorities have determined that we owe our employees profit-sharing liability, totaling approximately $118 million Mexican pesos (approx. $6.2 million USD at January 31, 2023). In August 2018, we filed an Administrative Appeal on the 2013 Assessment, appealing our case to the SAT’s central legal department in Michoacan.</w:t>
      </w:r>
    </w:p>
    <w:p>
      <w:pPr>
        <w:spacing w:after="0" w:line="138" w:lineRule="exact"/>
        <w:rPr>
          <w:sz w:val="20"/>
          <w:szCs w:val="20"/>
          <w:color w:val="auto"/>
        </w:rPr>
      </w:pPr>
    </w:p>
    <w:p>
      <w:pPr>
        <w:ind w:left="20" w:right="59" w:firstLine="198"/>
        <w:spacing w:after="0" w:line="250" w:lineRule="auto"/>
        <w:rPr>
          <w:sz w:val="20"/>
          <w:szCs w:val="20"/>
          <w:color w:val="auto"/>
        </w:rPr>
      </w:pPr>
      <w:r>
        <w:rPr>
          <w:rFonts w:ascii="Arial" w:cs="Arial" w:eastAsia="Arial" w:hAnsi="Arial"/>
          <w:sz w:val="14"/>
          <w:szCs w:val="14"/>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51" w:lineRule="exact"/>
        <w:rPr>
          <w:sz w:val="20"/>
          <w:szCs w:val="20"/>
          <w:color w:val="auto"/>
        </w:rPr>
      </w:pPr>
    </w:p>
    <w:p>
      <w:pPr>
        <w:ind w:left="20" w:right="299" w:firstLine="198"/>
        <w:spacing w:after="0" w:line="321" w:lineRule="auto"/>
        <w:rPr>
          <w:sz w:val="20"/>
          <w:szCs w:val="20"/>
          <w:color w:val="auto"/>
        </w:rPr>
      </w:pPr>
      <w:r>
        <w:rPr>
          <w:rFonts w:ascii="Arial" w:cs="Arial" w:eastAsia="Arial" w:hAnsi="Arial"/>
          <w:sz w:val="11"/>
          <w:szCs w:val="11"/>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220" w:hanging="238"/>
        <w:spacing w:after="0" w:line="229" w:lineRule="auto"/>
        <w:tabs>
          <w:tab w:leader="none" w:pos="1220" w:val="left"/>
        </w:tabs>
        <w:numPr>
          <w:ilvl w:val="0"/>
          <w:numId w:val="4"/>
        </w:numPr>
        <w:rPr>
          <w:rFonts w:ascii="Courier New" w:cs="Courier New" w:eastAsia="Courier New" w:hAnsi="Courier New"/>
          <w:sz w:val="14"/>
          <w:szCs w:val="14"/>
          <w:color w:val="auto"/>
        </w:rPr>
      </w:pPr>
      <w:r>
        <w:rPr>
          <w:rFonts w:ascii="Arial" w:cs="Arial" w:eastAsia="Arial" w:hAnsi="Arial"/>
          <w:sz w:val="14"/>
          <w:szCs w:val="14"/>
          <w:color w:val="auto"/>
        </w:rPr>
        <w:t>Failure to recognize CDM as a “maquiladora”</w:t>
      </w:r>
    </w:p>
    <w:p>
      <w:pPr>
        <w:ind w:left="1220" w:hanging="238"/>
        <w:spacing w:after="0" w:line="228" w:lineRule="auto"/>
        <w:tabs>
          <w:tab w:leader="none" w:pos="1220" w:val="left"/>
        </w:tabs>
        <w:numPr>
          <w:ilvl w:val="0"/>
          <w:numId w:val="4"/>
        </w:numPr>
        <w:rPr>
          <w:rFonts w:ascii="Courier New" w:cs="Courier New" w:eastAsia="Courier New" w:hAnsi="Courier New"/>
          <w:sz w:val="14"/>
          <w:szCs w:val="14"/>
          <w:color w:val="auto"/>
        </w:rPr>
      </w:pPr>
      <w:r>
        <w:rPr>
          <w:rFonts w:ascii="Arial" w:cs="Arial" w:eastAsia="Arial" w:hAnsi="Arial"/>
          <w:sz w:val="14"/>
          <w:szCs w:val="14"/>
          <w:color w:val="auto"/>
        </w:rPr>
        <w:t>Considering the Company to have a permanent establishment in Mexico,</w:t>
      </w:r>
    </w:p>
    <w:p>
      <w:pPr>
        <w:ind w:left="1220" w:hanging="238"/>
        <w:spacing w:after="0" w:line="228" w:lineRule="auto"/>
        <w:tabs>
          <w:tab w:leader="none" w:pos="1220" w:val="left"/>
        </w:tabs>
        <w:numPr>
          <w:ilvl w:val="0"/>
          <w:numId w:val="4"/>
        </w:numPr>
        <w:rPr>
          <w:rFonts w:ascii="Courier New" w:cs="Courier New" w:eastAsia="Courier New" w:hAnsi="Courier New"/>
          <w:sz w:val="14"/>
          <w:szCs w:val="14"/>
          <w:color w:val="auto"/>
        </w:rPr>
      </w:pPr>
      <w:r>
        <w:rPr>
          <w:rFonts w:ascii="Arial" w:cs="Arial" w:eastAsia="Arial" w:hAnsi="Arial"/>
          <w:sz w:val="14"/>
          <w:szCs w:val="14"/>
          <w:color w:val="auto"/>
        </w:rPr>
        <w:t>Including fruit purchase deposits transferred by the Company to CDM as taxable,</w:t>
      </w:r>
    </w:p>
    <w:p>
      <w:pPr>
        <w:ind w:left="1220" w:hanging="238"/>
        <w:spacing w:after="0" w:line="228" w:lineRule="auto"/>
        <w:tabs>
          <w:tab w:leader="none" w:pos="1220" w:val="left"/>
        </w:tabs>
        <w:numPr>
          <w:ilvl w:val="0"/>
          <w:numId w:val="4"/>
        </w:numPr>
        <w:rPr>
          <w:rFonts w:ascii="Courier New" w:cs="Courier New" w:eastAsia="Courier New" w:hAnsi="Courier New"/>
          <w:sz w:val="14"/>
          <w:szCs w:val="14"/>
          <w:color w:val="auto"/>
        </w:rPr>
      </w:pPr>
      <w:r>
        <w:rPr>
          <w:rFonts w:ascii="Arial" w:cs="Arial" w:eastAsia="Arial" w:hAnsi="Arial"/>
          <w:sz w:val="14"/>
          <w:szCs w:val="14"/>
          <w:color w:val="auto"/>
        </w:rPr>
        <w:t>Application of 16% IVA tax to fruit purchase deposits; and</w:t>
      </w:r>
    </w:p>
    <w:p>
      <w:pPr>
        <w:ind w:left="1220" w:hanging="238"/>
        <w:spacing w:after="0" w:line="228" w:lineRule="auto"/>
        <w:tabs>
          <w:tab w:leader="none" w:pos="1220" w:val="left"/>
        </w:tabs>
        <w:numPr>
          <w:ilvl w:val="0"/>
          <w:numId w:val="4"/>
        </w:numPr>
        <w:rPr>
          <w:rFonts w:ascii="Courier New" w:cs="Courier New" w:eastAsia="Courier New" w:hAnsi="Courier New"/>
          <w:sz w:val="14"/>
          <w:szCs w:val="14"/>
          <w:color w:val="auto"/>
        </w:rPr>
      </w:pPr>
      <w:r>
        <w:rPr>
          <w:rFonts w:ascii="Arial" w:cs="Arial" w:eastAsia="Arial" w:hAnsi="Arial"/>
          <w:sz w:val="14"/>
          <w:szCs w:val="14"/>
          <w:color w:val="auto"/>
        </w:rPr>
        <w:t>Imposing double-taxation on the fruit purchase transactions</w:t>
      </w:r>
    </w:p>
    <w:p>
      <w:pPr>
        <w:spacing w:after="0" w:line="156" w:lineRule="exact"/>
        <w:rPr>
          <w:sz w:val="20"/>
          <w:szCs w:val="20"/>
          <w:color w:val="auto"/>
        </w:rPr>
      </w:pPr>
    </w:p>
    <w:p>
      <w:pPr>
        <w:ind w:left="20" w:right="119" w:firstLine="198"/>
        <w:spacing w:after="0" w:line="252" w:lineRule="auto"/>
        <w:rPr>
          <w:sz w:val="20"/>
          <w:szCs w:val="20"/>
          <w:color w:val="auto"/>
        </w:rPr>
      </w:pPr>
      <w:r>
        <w:rPr>
          <w:rFonts w:ascii="Arial" w:cs="Arial" w:eastAsia="Arial" w:hAnsi="Arial"/>
          <w:sz w:val="14"/>
          <w:szCs w:val="14"/>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48" w:lineRule="exact"/>
        <w:rPr>
          <w:sz w:val="20"/>
          <w:szCs w:val="20"/>
          <w:color w:val="auto"/>
        </w:rPr>
      </w:pPr>
    </w:p>
    <w:p>
      <w:pPr>
        <w:ind w:left="20" w:right="159" w:firstLine="198"/>
        <w:spacing w:after="0" w:line="304" w:lineRule="auto"/>
        <w:rPr>
          <w:sz w:val="20"/>
          <w:szCs w:val="20"/>
          <w:color w:val="auto"/>
        </w:rPr>
      </w:pPr>
      <w:r>
        <w:rPr>
          <w:rFonts w:ascii="Arial" w:cs="Arial" w:eastAsia="Arial" w:hAnsi="Arial"/>
          <w:sz w:val="13"/>
          <w:szCs w:val="13"/>
          <w:color w:val="auto"/>
        </w:rPr>
        <w:t xml:space="preserve">On August 27, 2021, we filed a formal complaint, or </w:t>
      </w:r>
      <w:r>
        <w:rPr>
          <w:rFonts w:ascii="Arial" w:cs="Arial" w:eastAsia="Arial" w:hAnsi="Arial"/>
          <w:sz w:val="13"/>
          <w:szCs w:val="13"/>
          <w:i w:val="1"/>
          <w:iCs w:val="1"/>
          <w:color w:val="auto"/>
        </w:rPr>
        <w:t>queja</w:t>
      </w:r>
      <w:r>
        <w:rPr>
          <w:rFonts w:ascii="Arial" w:cs="Arial" w:eastAsia="Arial" w:hAnsi="Arial"/>
          <w:sz w:val="13"/>
          <w:szCs w:val="13"/>
          <w:color w:val="auto"/>
        </w:rPr>
        <w:t>, (the “Complaint”) before the PRODECON to request its assistance with having the SAT act upon the Reconsideration. The Complaint was withdrawn in September, but may still be reinstated if deemed appropriate in the future.</w:t>
      </w:r>
    </w:p>
    <w:p>
      <w:pPr>
        <w:spacing w:after="0" w:line="116" w:lineRule="exact"/>
        <w:rPr>
          <w:sz w:val="20"/>
          <w:szCs w:val="20"/>
          <w:color w:val="auto"/>
        </w:rPr>
      </w:pPr>
    </w:p>
    <w:p>
      <w:pPr>
        <w:ind w:left="20" w:right="179" w:firstLine="198"/>
        <w:spacing w:after="0" w:line="252" w:lineRule="auto"/>
        <w:rPr>
          <w:sz w:val="20"/>
          <w:szCs w:val="20"/>
          <w:color w:val="auto"/>
        </w:rPr>
      </w:pPr>
      <w:r>
        <w:rPr>
          <w:rFonts w:ascii="Arial" w:cs="Arial" w:eastAsia="Arial" w:hAnsi="Arial"/>
          <w:sz w:val="14"/>
          <w:szCs w:val="14"/>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with a federal district court seeking to nullify the arguments against the Reconsideration made by the SAT on constitutional grounds.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199" w:firstLine="198"/>
        <w:spacing w:after="0" w:line="255" w:lineRule="auto"/>
        <w:rPr>
          <w:sz w:val="20"/>
          <w:szCs w:val="20"/>
          <w:color w:val="auto"/>
        </w:rPr>
      </w:pPr>
      <w:r>
        <w:rPr>
          <w:rFonts w:ascii="Arial" w:cs="Arial" w:eastAsia="Arial" w:hAnsi="Arial"/>
          <w:sz w:val="14"/>
          <w:szCs w:val="14"/>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46" w:lineRule="exact"/>
        <w:rPr>
          <w:sz w:val="20"/>
          <w:szCs w:val="20"/>
          <w:color w:val="auto"/>
        </w:rPr>
      </w:pPr>
    </w:p>
    <w:p>
      <w:pPr>
        <w:ind w:left="20" w:right="79" w:firstLine="232"/>
        <w:spacing w:after="0" w:line="250" w:lineRule="auto"/>
        <w:rPr>
          <w:sz w:val="20"/>
          <w:szCs w:val="20"/>
          <w:color w:val="auto"/>
        </w:rPr>
      </w:pPr>
      <w:r>
        <w:rPr>
          <w:rFonts w:ascii="Arial" w:cs="Arial" w:eastAsia="Arial" w:hAnsi="Arial"/>
          <w:sz w:val="14"/>
          <w:szCs w:val="14"/>
          <w:color w:val="auto"/>
        </w:rPr>
        <w:t>On February 25, 2022, we filed an additional injunction in which we seek to have the liens against the bank accounts of CDM lifted. The injunction suit has been accepted by the court and we are expecting a response in the next 2 - 3 months. 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51" w:lineRule="exact"/>
        <w:rPr>
          <w:sz w:val="20"/>
          <w:szCs w:val="20"/>
          <w:color w:val="auto"/>
        </w:rPr>
      </w:pPr>
    </w:p>
    <w:p>
      <w:pPr>
        <w:ind w:left="20" w:right="39" w:firstLine="198"/>
        <w:spacing w:after="0" w:line="252" w:lineRule="auto"/>
        <w:rPr>
          <w:sz w:val="20"/>
          <w:szCs w:val="20"/>
          <w:color w:val="auto"/>
        </w:rPr>
      </w:pPr>
      <w:r>
        <w:rPr>
          <w:rFonts w:ascii="Arial" w:cs="Arial" w:eastAsia="Arial" w:hAnsi="Arial"/>
          <w:sz w:val="14"/>
          <w:szCs w:val="14"/>
          <w:color w:val="auto"/>
        </w:rPr>
        <w:t>The injunction suit has been admitted for analysis by the District Court, however, SAT filed a complaint (queja) against the ruling allowing CDM to file an extension of the injunction suit aiming to appoint as a defendant other than SAT’s authority that were involved in the reconsideration appeal's resolution. This complaint was filed by SAT to challenge the admission and analysis of the injunction suit; this complaint is expected to be decided by the Circuit Courts within the next couple of months.</w:t>
      </w:r>
    </w:p>
    <w:p>
      <w:pPr>
        <w:spacing w:after="0" w:line="148" w:lineRule="exact"/>
        <w:rPr>
          <w:sz w:val="20"/>
          <w:szCs w:val="20"/>
          <w:color w:val="auto"/>
        </w:rPr>
      </w:pPr>
    </w:p>
    <w:p>
      <w:pPr>
        <w:ind w:left="20" w:right="99" w:firstLine="198"/>
        <w:spacing w:after="0" w:line="249" w:lineRule="auto"/>
        <w:rPr>
          <w:sz w:val="20"/>
          <w:szCs w:val="20"/>
          <w:color w:val="auto"/>
        </w:rPr>
      </w:pPr>
      <w:r>
        <w:rPr>
          <w:rFonts w:ascii="Arial" w:cs="Arial" w:eastAsia="Arial" w:hAnsi="Arial"/>
          <w:sz w:val="14"/>
          <w:szCs w:val="14"/>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 On March 10, 2022, we met with the SAT and offered an Administrative Guaranty (</w:t>
      </w:r>
      <w:r>
        <w:rPr>
          <w:rFonts w:ascii="Arial" w:cs="Arial" w:eastAsia="Arial" w:hAnsi="Arial"/>
          <w:sz w:val="14"/>
          <w:szCs w:val="14"/>
          <w:i w:val="1"/>
          <w:iCs w:val="1"/>
          <w:color w:val="auto"/>
        </w:rPr>
        <w:t>Embargo en Via Administrativa)</w:t>
      </w:r>
      <w:r>
        <w:rPr>
          <w:rFonts w:ascii="Arial" w:cs="Arial" w:eastAsia="Arial" w:hAnsi="Arial"/>
          <w:sz w:val="14"/>
          <w:szCs w:val="14"/>
          <w:color w:val="auto"/>
        </w:rPr>
        <w:t xml:space="preserve"> to secure the 2013 Assessment</w:t>
      </w:r>
      <w:r>
        <w:rPr>
          <w:rFonts w:ascii="Arial" w:cs="Arial" w:eastAsia="Arial" w:hAnsi="Arial"/>
          <w:sz w:val="14"/>
          <w:szCs w:val="14"/>
          <w:i w:val="1"/>
          <w:iCs w:val="1"/>
          <w:color w:val="auto"/>
        </w:rPr>
        <w:t>,</w:t>
      </w:r>
      <w:r>
        <w:rPr>
          <w:rFonts w:ascii="Arial" w:cs="Arial" w:eastAsia="Arial" w:hAnsi="Arial"/>
          <w:sz w:val="14"/>
          <w:szCs w:val="14"/>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52" w:lineRule="exact"/>
        <w:rPr>
          <w:sz w:val="20"/>
          <w:szCs w:val="20"/>
          <w:color w:val="auto"/>
        </w:rPr>
      </w:pPr>
    </w:p>
    <w:p>
      <w:pPr>
        <w:ind w:left="20" w:right="439" w:firstLine="198"/>
        <w:spacing w:after="0" w:line="284" w:lineRule="auto"/>
        <w:rPr>
          <w:sz w:val="20"/>
          <w:szCs w:val="20"/>
          <w:color w:val="auto"/>
        </w:rPr>
      </w:pPr>
      <w:r>
        <w:rPr>
          <w:rFonts w:ascii="Arial" w:cs="Arial" w:eastAsia="Arial" w:hAnsi="Arial"/>
          <w:sz w:val="13"/>
          <w:szCs w:val="13"/>
          <w:color w:val="auto"/>
        </w:rPr>
        <w:t>On April 27, 2022, the SAT provided a Positive Compliance Opinion to CDM, and consequently on April 29, 2022, the Tax Authority renewed the VAT Certification to CDM. These two resolutions signal a positive development on the Tax controversies in Mexico. On April 29, 2022, we submitted all the documentation required to the Tax Authority and the Federal Tax Court to continue with the consideration of the Administrative Guaranty.</w:t>
      </w:r>
    </w:p>
    <w:p>
      <w:pPr>
        <w:spacing w:after="0" w:line="129" w:lineRule="exact"/>
        <w:rPr>
          <w:sz w:val="20"/>
          <w:szCs w:val="20"/>
          <w:color w:val="auto"/>
        </w:rPr>
      </w:pPr>
    </w:p>
    <w:p>
      <w:pPr>
        <w:ind w:left="20" w:right="419" w:firstLine="198"/>
        <w:spacing w:after="0" w:line="252" w:lineRule="auto"/>
        <w:rPr>
          <w:sz w:val="20"/>
          <w:szCs w:val="20"/>
          <w:color w:val="auto"/>
        </w:rPr>
      </w:pPr>
      <w:r>
        <w:rPr>
          <w:rFonts w:ascii="Arial" w:cs="Arial" w:eastAsia="Arial" w:hAnsi="Arial"/>
          <w:sz w:val="14"/>
          <w:szCs w:val="14"/>
          <w:color w:val="auto"/>
        </w:rPr>
        <w:t>On June 16, 2022 we received a request from the Tax Authorities to provide information related to the Administrative Guaranty. The information was presented on July 7, 2022, and on August 2, 2022. On August 8, 2022, we met with Tax Authorities in Mexico City to review the information presented and agreed to next steps on the approval of the Guarantee. Since then, the Tax Authorities have visited Calavo Mexico to continue the validation process and we believe will have a resolution in the next 2 - 3 months.</w:t>
      </w:r>
    </w:p>
    <w:p>
      <w:pPr>
        <w:spacing w:after="0" w:line="148" w:lineRule="exact"/>
        <w:rPr>
          <w:sz w:val="20"/>
          <w:szCs w:val="20"/>
          <w:color w:val="auto"/>
        </w:rPr>
      </w:pPr>
    </w:p>
    <w:p>
      <w:pPr>
        <w:ind w:left="20" w:right="159" w:firstLine="198"/>
        <w:spacing w:after="0" w:line="255" w:lineRule="auto"/>
        <w:rPr>
          <w:sz w:val="20"/>
          <w:szCs w:val="20"/>
          <w:color w:val="auto"/>
        </w:rPr>
      </w:pPr>
      <w:r>
        <w:rPr>
          <w:rFonts w:ascii="Arial" w:cs="Arial" w:eastAsia="Arial" w:hAnsi="Arial"/>
          <w:sz w:val="14"/>
          <w:szCs w:val="14"/>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 assessment exceeds the economic capacity of CDM.</w:t>
      </w:r>
    </w:p>
    <w:p>
      <w:pPr>
        <w:spacing w:after="0" w:line="146" w:lineRule="exact"/>
        <w:rPr>
          <w:sz w:val="20"/>
          <w:szCs w:val="20"/>
          <w:color w:val="auto"/>
        </w:rPr>
      </w:pPr>
    </w:p>
    <w:p>
      <w:pPr>
        <w:ind w:left="20" w:right="59" w:firstLine="198"/>
        <w:spacing w:after="0" w:line="248" w:lineRule="auto"/>
        <w:rPr>
          <w:sz w:val="20"/>
          <w:szCs w:val="20"/>
          <w:color w:val="auto"/>
        </w:rPr>
      </w:pPr>
      <w:r>
        <w:rPr>
          <w:rFonts w:ascii="Arial" w:cs="Arial" w:eastAsia="Arial" w:hAnsi="Arial"/>
          <w:sz w:val="14"/>
          <w:szCs w:val="14"/>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January 31, 2023 based on our cumulative probability analysis. We incurred $0.6 million of related professional fees for the three months ended January 31, 2023, which have been recorded in Expenses related to Mexican Tax matters.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8.  Noncontrolling interest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780" w:type="dxa"/>
            <w:vAlign w:val="bottom"/>
            <w:gridSpan w:val="5"/>
          </w:tcPr>
          <w:p>
            <w:pPr>
              <w:ind w:left="180"/>
              <w:spacing w:after="0"/>
              <w:rPr>
                <w:sz w:val="20"/>
                <w:szCs w:val="20"/>
                <w:color w:val="auto"/>
              </w:rPr>
            </w:pPr>
            <w:r>
              <w:rPr>
                <w:rFonts w:ascii="Arial" w:cs="Arial" w:eastAsia="Arial" w:hAnsi="Arial"/>
                <w:sz w:val="14"/>
                <w:szCs w:val="14"/>
                <w:color w:val="auto"/>
                <w:w w:val="91"/>
              </w:rPr>
              <w:t>The following table reconciles shareholders’ equity attributable to noncontrolling interest related to Avocados de Jalisco (in thousands).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5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Avocados de Jalisco noncontrolling interest</w:t>
            </w:r>
          </w:p>
        </w:tc>
        <w:tc>
          <w:tcPr>
            <w:tcW w:w="10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23"/>
                <w:szCs w:val="2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Year ended</w:t>
            </w:r>
          </w:p>
        </w:tc>
        <w:tc>
          <w:tcPr>
            <w:tcW w:w="0" w:type="dxa"/>
            <w:vAlign w:val="bottom"/>
          </w:tcPr>
          <w:p>
            <w:pPr>
              <w:spacing w:after="0"/>
              <w:rPr>
                <w:sz w:val="1"/>
                <w:szCs w:val="1"/>
                <w:color w:val="auto"/>
              </w:rPr>
            </w:pPr>
          </w:p>
        </w:tc>
      </w:tr>
      <w:tr>
        <w:trPr>
          <w:trHeight w:val="130"/>
        </w:trPr>
        <w:tc>
          <w:tcPr>
            <w:tcW w:w="65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January 31, 2023</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January 31, 2022</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2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 beginning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Arial" w:cs="Arial" w:eastAsia="Arial" w:hAnsi="Arial"/>
                <w:sz w:val="14"/>
                <w:szCs w:val="14"/>
                <w:color w:val="auto"/>
              </w:rPr>
              <w:t>Net income (loss) attributable to noncontrolling interest of Avocados de Jalisco</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Noncontrolling interest, ending</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1"/>
          <w:szCs w:val="11"/>
          <w:b w:val="1"/>
          <w:bCs w:val="1"/>
          <w:color w:val="auto"/>
        </w:rPr>
        <w:t>Earnings per share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and diluted net income per share is calculated as follows (data in thousands, except per share data):</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6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80" w:type="dxa"/>
            <w:vAlign w:val="bottom"/>
            <w:gridSpan w:val="6"/>
          </w:tcPr>
          <w:p>
            <w:pPr>
              <w:ind w:left="120"/>
              <w:spacing w:after="0"/>
              <w:rPr>
                <w:sz w:val="20"/>
                <w:szCs w:val="20"/>
                <w:color w:val="auto"/>
              </w:rPr>
            </w:pPr>
            <w:r>
              <w:rPr>
                <w:rFonts w:ascii="Arial" w:cs="Arial" w:eastAsia="Arial" w:hAnsi="Arial"/>
                <w:sz w:val="11"/>
                <w:szCs w:val="11"/>
                <w:b w:val="1"/>
                <w:bCs w:val="1"/>
                <w:color w:val="auto"/>
              </w:rPr>
              <w:t>Three months ended January 31,</w:t>
            </w:r>
          </w:p>
        </w:tc>
      </w:tr>
      <w:tr>
        <w:trPr>
          <w:trHeight w:val="104"/>
        </w:trPr>
        <w:tc>
          <w:tcPr>
            <w:tcW w:w="666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95"/>
              <w:spacing w:after="0" w:line="104" w:lineRule="exact"/>
              <w:rPr>
                <w:sz w:val="20"/>
                <w:szCs w:val="20"/>
                <w:color w:val="auto"/>
              </w:rPr>
            </w:pPr>
            <w:r>
              <w:rPr>
                <w:rFonts w:ascii="Arial" w:cs="Arial" w:eastAsia="Arial" w:hAnsi="Arial"/>
                <w:sz w:val="11"/>
                <w:szCs w:val="11"/>
                <w:b w:val="1"/>
                <w:bCs w:val="1"/>
                <w:color w:val="auto"/>
              </w:rPr>
              <w:t>2023</w:t>
            </w:r>
          </w:p>
        </w:tc>
        <w:tc>
          <w:tcPr>
            <w:tcW w:w="1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33"/>
              <w:spacing w:after="0" w:line="104" w:lineRule="exact"/>
              <w:rPr>
                <w:sz w:val="20"/>
                <w:szCs w:val="20"/>
                <w:color w:val="auto"/>
              </w:rPr>
            </w:pPr>
            <w:r>
              <w:rPr>
                <w:rFonts w:ascii="Arial" w:cs="Arial" w:eastAsia="Arial" w:hAnsi="Arial"/>
                <w:sz w:val="11"/>
                <w:szCs w:val="11"/>
                <w:b w:val="1"/>
                <w:bCs w:val="1"/>
                <w:color w:val="auto"/>
              </w:rPr>
              <w:t>2022</w:t>
            </w:r>
          </w:p>
        </w:tc>
        <w:tc>
          <w:tcPr>
            <w:tcW w:w="140" w:type="dxa"/>
            <w:vAlign w:val="bottom"/>
            <w:tcBorders>
              <w:bottom w:val="single" w:sz="8" w:color="CCEEFF"/>
            </w:tcBorders>
          </w:tcPr>
          <w:p>
            <w:pPr>
              <w:spacing w:after="0"/>
              <w:rPr>
                <w:sz w:val="9"/>
                <w:szCs w:val="9"/>
                <w:color w:val="auto"/>
              </w:rPr>
            </w:pPr>
          </w:p>
        </w:tc>
      </w:tr>
      <w:tr>
        <w:trPr>
          <w:trHeight w:val="155"/>
        </w:trPr>
        <w:tc>
          <w:tcPr>
            <w:tcW w:w="66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Numerator:</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5"/>
        </w:trPr>
        <w:tc>
          <w:tcPr>
            <w:tcW w:w="6660" w:type="dxa"/>
            <w:vAlign w:val="bottom"/>
          </w:tcPr>
          <w:p>
            <w:pPr>
              <w:spacing w:after="0"/>
              <w:rPr>
                <w:sz w:val="20"/>
                <w:szCs w:val="20"/>
                <w:color w:val="auto"/>
              </w:rPr>
            </w:pPr>
            <w:r>
              <w:rPr>
                <w:rFonts w:ascii="Arial" w:cs="Arial" w:eastAsia="Arial" w:hAnsi="Arial"/>
                <w:sz w:val="14"/>
                <w:szCs w:val="14"/>
                <w:color w:val="auto"/>
              </w:rPr>
              <w:t>Net loss attributable to Calavo Growers, Inc.</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(3,068)</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(4,043)</w:t>
            </w:r>
          </w:p>
        </w:tc>
      </w:tr>
      <w:tr>
        <w:trPr>
          <w:trHeight w:val="165"/>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Denominator:</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5"/>
        </w:trPr>
        <w:tc>
          <w:tcPr>
            <w:tcW w:w="6660" w:type="dxa"/>
            <w:vAlign w:val="bottom"/>
          </w:tcPr>
          <w:p>
            <w:pPr>
              <w:spacing w:after="0"/>
              <w:rPr>
                <w:sz w:val="20"/>
                <w:szCs w:val="20"/>
                <w:color w:val="auto"/>
              </w:rPr>
            </w:pPr>
            <w:r>
              <w:rPr>
                <w:rFonts w:ascii="Arial" w:cs="Arial" w:eastAsia="Arial" w:hAnsi="Arial"/>
                <w:sz w:val="14"/>
                <w:szCs w:val="14"/>
                <w:color w:val="auto"/>
              </w:rPr>
              <w:t>Weighted average shares – Basic</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17,673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17,653</w:t>
            </w:r>
          </w:p>
        </w:tc>
        <w:tc>
          <w:tcPr>
            <w:tcW w:w="140" w:type="dxa"/>
            <w:vAlign w:val="bottom"/>
          </w:tcPr>
          <w:p>
            <w:pPr>
              <w:spacing w:after="0"/>
              <w:rPr>
                <w:sz w:val="14"/>
                <w:szCs w:val="14"/>
                <w:color w:val="auto"/>
              </w:rPr>
            </w:pPr>
          </w:p>
        </w:tc>
      </w:tr>
      <w:tr>
        <w:trPr>
          <w:trHeight w:val="165"/>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Effect of dilutive securities – Restricted stock/units/options (1)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95"/>
        </w:trPr>
        <w:tc>
          <w:tcPr>
            <w:tcW w:w="66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Weighted average shares – Diluted</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17,673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17,653</w:t>
            </w:r>
          </w:p>
        </w:tc>
        <w:tc>
          <w:tcPr>
            <w:tcW w:w="140" w:type="dxa"/>
            <w:vAlign w:val="bottom"/>
            <w:tcBorders>
              <w:bottom w:val="single" w:sz="8" w:color="CCEEFF"/>
            </w:tcBorders>
          </w:tcPr>
          <w:p>
            <w:pPr>
              <w:spacing w:after="0"/>
              <w:rPr>
                <w:sz w:val="16"/>
                <w:szCs w:val="16"/>
                <w:color w:val="auto"/>
              </w:rPr>
            </w:pPr>
          </w:p>
        </w:tc>
      </w:tr>
      <w:tr>
        <w:trPr>
          <w:trHeight w:val="136"/>
        </w:trPr>
        <w:tc>
          <w:tcPr>
            <w:tcW w:w="66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Net loss per share attributable to Calavo Growers, Inc:</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5"/>
        </w:trPr>
        <w:tc>
          <w:tcPr>
            <w:tcW w:w="6660" w:type="dxa"/>
            <w:vAlign w:val="bottom"/>
          </w:tcPr>
          <w:p>
            <w:pPr>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(0.17)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(0.23)</w:t>
            </w:r>
          </w:p>
        </w:tc>
      </w:tr>
      <w:tr>
        <w:trPr>
          <w:trHeight w:val="165"/>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(0.23)</w:t>
            </w:r>
          </w:p>
        </w:tc>
      </w:tr>
    </w:tbl>
    <w:p>
      <w:pPr>
        <w:spacing w:after="0" w:line="154" w:lineRule="exact"/>
        <w:rPr>
          <w:sz w:val="20"/>
          <w:szCs w:val="20"/>
          <w:color w:val="auto"/>
        </w:rPr>
      </w:pPr>
    </w:p>
    <w:p>
      <w:pPr>
        <w:ind w:left="540" w:right="99" w:hanging="249"/>
        <w:spacing w:after="0" w:line="304" w:lineRule="auto"/>
        <w:tabs>
          <w:tab w:leader="none" w:pos="54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 the three months ended January 31, 2023 and 2022, approximately 137,000 shares and 43,000 shares of common stock equivalents were excluded in the computation of diluted net loss per share, as the effect would be anti-dilutive since the Company reported a net loss, respectively.</w:t>
      </w:r>
    </w:p>
    <w:p>
      <w:pPr>
        <w:spacing w:after="0" w:line="111" w:lineRule="exact"/>
        <w:rPr>
          <w:rFonts w:ascii="Arial" w:cs="Arial" w:eastAsia="Arial" w:hAnsi="Arial"/>
          <w:sz w:val="13"/>
          <w:szCs w:val="13"/>
          <w:color w:val="auto"/>
        </w:rPr>
      </w:pPr>
    </w:p>
    <w:p>
      <w:pPr>
        <w:ind w:left="260" w:hanging="237"/>
        <w:spacing w:after="0"/>
        <w:tabs>
          <w:tab w:leader="none" w:pos="26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Mexican IVA taxes receivable</w:t>
      </w:r>
    </w:p>
    <w:p>
      <w:pPr>
        <w:spacing w:after="0" w:line="173" w:lineRule="exact"/>
        <w:rPr>
          <w:sz w:val="20"/>
          <w:szCs w:val="20"/>
          <w:color w:val="auto"/>
        </w:rPr>
      </w:pPr>
    </w:p>
    <w:p>
      <w:pPr>
        <w:ind w:left="20" w:right="39" w:firstLine="198"/>
        <w:spacing w:after="0" w:line="255" w:lineRule="auto"/>
        <w:rPr>
          <w:sz w:val="20"/>
          <w:szCs w:val="20"/>
          <w:color w:val="auto"/>
        </w:rPr>
      </w:pPr>
      <w:r>
        <w:rPr>
          <w:rFonts w:ascii="Arial" w:cs="Arial" w:eastAsia="Arial" w:hAnsi="Arial"/>
          <w:sz w:val="14"/>
          <w:szCs w:val="14"/>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46" w:lineRule="exact"/>
        <w:rPr>
          <w:sz w:val="20"/>
          <w:szCs w:val="20"/>
          <w:color w:val="auto"/>
        </w:rPr>
      </w:pPr>
    </w:p>
    <w:p>
      <w:pPr>
        <w:ind w:left="20" w:right="219" w:firstLine="198"/>
        <w:spacing w:after="0" w:line="249" w:lineRule="auto"/>
        <w:rPr>
          <w:sz w:val="20"/>
          <w:szCs w:val="20"/>
          <w:color w:val="auto"/>
        </w:rPr>
      </w:pPr>
      <w:r>
        <w:rPr>
          <w:rFonts w:ascii="Arial" w:cs="Arial" w:eastAsia="Arial" w:hAnsi="Arial"/>
          <w:sz w:val="14"/>
          <w:szCs w:val="14"/>
          <w:color w:val="auto"/>
        </w:rPr>
        <w:t>As of January 31, 2023, and October 31, 2022, CDM IVA receivables totaled $46.4 million (892.0 million Mexican pesos) and $43.6 million (865.4 million Mexican pesos). Historically, CDM received IVA refund payments from the Mexican tax authorities on a timely basis. Beginning in fiscal 2014 and continuing into fiscal 2023, the tax authorities began objecting to refund requests and supporting documentation that had previously been deemed acceptable to process a refund. 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50" w:lineRule="exact"/>
        <w:rPr>
          <w:sz w:val="20"/>
          <w:szCs w:val="20"/>
          <w:color w:val="auto"/>
        </w:rPr>
      </w:pPr>
    </w:p>
    <w:p>
      <w:pPr>
        <w:ind w:left="20" w:right="119" w:firstLine="198"/>
        <w:spacing w:after="0" w:line="250" w:lineRule="auto"/>
        <w:rPr>
          <w:sz w:val="20"/>
          <w:szCs w:val="20"/>
          <w:color w:val="auto"/>
        </w:rPr>
      </w:pPr>
      <w:r>
        <w:rPr>
          <w:rFonts w:ascii="Arial" w:cs="Arial" w:eastAsia="Arial" w:hAnsi="Arial"/>
          <w:sz w:val="14"/>
          <w:szCs w:val="14"/>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219"/>
        <w:spacing w:after="0" w:line="250" w:lineRule="auto"/>
        <w:rPr>
          <w:sz w:val="20"/>
          <w:szCs w:val="20"/>
          <w:color w:val="auto"/>
        </w:rPr>
      </w:pPr>
      <w:r>
        <w:rPr>
          <w:rFonts w:ascii="Arial" w:cs="Arial" w:eastAsia="Arial" w:hAnsi="Arial"/>
          <w:sz w:val="14"/>
          <w:szCs w:val="14"/>
          <w:color w:val="auto"/>
        </w:rPr>
        <w:t>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51" w:lineRule="exact"/>
        <w:rPr>
          <w:sz w:val="20"/>
          <w:szCs w:val="20"/>
          <w:color w:val="auto"/>
        </w:rPr>
      </w:pPr>
    </w:p>
    <w:p>
      <w:pPr>
        <w:ind w:left="20" w:right="79" w:firstLine="198"/>
        <w:spacing w:after="0" w:line="265" w:lineRule="auto"/>
        <w:rPr>
          <w:sz w:val="20"/>
          <w:szCs w:val="20"/>
          <w:color w:val="auto"/>
        </w:rPr>
      </w:pPr>
      <w:r>
        <w:rPr>
          <w:rFonts w:ascii="Arial" w:cs="Arial" w:eastAsia="Arial" w:hAnsi="Arial"/>
          <w:sz w:val="14"/>
          <w:szCs w:val="14"/>
          <w:color w:val="auto"/>
        </w:rPr>
        <w:t>In April 2022, the Tax Court issued the ruling for the months of July, August and September 2015 through which it was declared that the following resolutions were resolved:</w:t>
      </w:r>
    </w:p>
    <w:p>
      <w:pPr>
        <w:spacing w:after="0" w:line="139" w:lineRule="exact"/>
        <w:rPr>
          <w:sz w:val="20"/>
          <w:szCs w:val="20"/>
          <w:color w:val="auto"/>
        </w:rPr>
      </w:pPr>
    </w:p>
    <w:p>
      <w:pPr>
        <w:ind w:left="740" w:hanging="253"/>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It is recognized that CDM operates as a maquila under the authorization of the Ministry of Finance.</w:t>
      </w:r>
    </w:p>
    <w:p>
      <w:pPr>
        <w:spacing w:after="0" w:line="168" w:lineRule="exact"/>
        <w:rPr>
          <w:rFonts w:ascii="Arial" w:cs="Arial" w:eastAsia="Arial" w:hAnsi="Arial"/>
          <w:sz w:val="14"/>
          <w:szCs w:val="14"/>
          <w:color w:val="auto"/>
        </w:rPr>
      </w:pPr>
    </w:p>
    <w:p>
      <w:pPr>
        <w:ind w:left="740" w:right="139" w:hanging="253"/>
        <w:spacing w:after="0" w:line="265" w:lineRule="auto"/>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39" w:lineRule="exact"/>
        <w:rPr>
          <w:rFonts w:ascii="Arial" w:cs="Arial" w:eastAsia="Arial" w:hAnsi="Arial"/>
          <w:sz w:val="14"/>
          <w:szCs w:val="14"/>
          <w:color w:val="auto"/>
        </w:rPr>
      </w:pPr>
    </w:p>
    <w:p>
      <w:pPr>
        <w:ind w:left="740" w:hanging="253"/>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It is recognized that VAT is recoverable, since CDM demonstrated the existence of operations carried under the maquila services.</w:t>
      </w:r>
    </w:p>
    <w:p>
      <w:pPr>
        <w:spacing w:after="0" w:line="168" w:lineRule="exact"/>
        <w:rPr>
          <w:rFonts w:ascii="Arial" w:cs="Arial" w:eastAsia="Arial" w:hAnsi="Arial"/>
          <w:sz w:val="14"/>
          <w:szCs w:val="14"/>
          <w:color w:val="auto"/>
        </w:rPr>
      </w:pPr>
    </w:p>
    <w:p>
      <w:pPr>
        <w:ind w:left="740" w:right="199" w:hanging="253"/>
        <w:spacing w:after="0" w:line="304" w:lineRule="auto"/>
        <w:tabs>
          <w:tab w:leader="none" w:pos="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Resolved that certain VAT amounts attributed to the purchase of certain packing materials are not recoverable as CDM was not the buyer on record and therefore did not pay for the materials, which approximated $6.9 million pesos (approximately $0.4 million USD).</w:t>
      </w:r>
    </w:p>
    <w:p>
      <w:pPr>
        <w:spacing w:after="0" w:line="116" w:lineRule="exact"/>
        <w:rPr>
          <w:sz w:val="20"/>
          <w:szCs w:val="20"/>
          <w:color w:val="auto"/>
        </w:rPr>
      </w:pPr>
    </w:p>
    <w:p>
      <w:pPr>
        <w:ind w:left="20" w:right="59" w:firstLine="172"/>
        <w:spacing w:after="0" w:line="274" w:lineRule="auto"/>
        <w:rPr>
          <w:sz w:val="20"/>
          <w:szCs w:val="20"/>
          <w:color w:val="auto"/>
        </w:rPr>
      </w:pPr>
      <w:r>
        <w:rPr>
          <w:rFonts w:ascii="Arial" w:cs="Arial" w:eastAsia="Arial" w:hAnsi="Arial"/>
          <w:sz w:val="13"/>
          <w:szCs w:val="13"/>
          <w:color w:val="auto"/>
        </w:rPr>
        <w:t>In January 2023 the Federal Tax Court issued a definitive resolution confirming the ruling from April 2022, ordering SAT to refund approximately $18 million pesos (approx. $1.0 million USD at January 31, 2023) and confirming that the $6.9 million pesos (approx. $0.4 million USD at January 31, 2023) related to packing materials will not be recoverable. For the three months ended January 31, 2023, we recognized a reserve of $1.4 million USD for Mexican IVA tax receivables related to certain packing material vendors corresponding to the years 2013 and 2015. This reserve includes the amounts included in the January 2023 ruling as well as other similar receivables that are subject to proceedings in this same Federal Tax Court.</w:t>
      </w:r>
    </w:p>
    <w:p>
      <w:pPr>
        <w:spacing w:after="0" w:line="136" w:lineRule="exact"/>
        <w:rPr>
          <w:sz w:val="20"/>
          <w:szCs w:val="20"/>
          <w:color w:val="auto"/>
        </w:rPr>
      </w:pPr>
    </w:p>
    <w:p>
      <w:pPr>
        <w:jc w:val="both"/>
        <w:ind w:left="20" w:right="39" w:firstLine="198"/>
        <w:spacing w:after="0" w:line="343" w:lineRule="auto"/>
        <w:rPr>
          <w:sz w:val="20"/>
          <w:szCs w:val="20"/>
          <w:color w:val="auto"/>
        </w:rPr>
      </w:pPr>
      <w:r>
        <w:rPr>
          <w:rFonts w:ascii="Arial" w:cs="Arial" w:eastAsia="Arial" w:hAnsi="Arial"/>
          <w:sz w:val="11"/>
          <w:szCs w:val="11"/>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January 31, 2023,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11. Credit Facility</w:t>
      </w:r>
    </w:p>
    <w:p>
      <w:pPr>
        <w:spacing w:after="0" w:line="173" w:lineRule="exact"/>
        <w:rPr>
          <w:sz w:val="20"/>
          <w:szCs w:val="20"/>
          <w:color w:val="auto"/>
        </w:rPr>
      </w:pPr>
    </w:p>
    <w:p>
      <w:pPr>
        <w:ind w:left="20" w:right="199" w:firstLine="198"/>
        <w:spacing w:after="0" w:line="265" w:lineRule="auto"/>
        <w:rPr>
          <w:sz w:val="20"/>
          <w:szCs w:val="20"/>
          <w:color w:val="auto"/>
        </w:rPr>
      </w:pPr>
      <w:r>
        <w:rPr>
          <w:rFonts w:ascii="Arial" w:cs="Arial" w:eastAsia="Arial" w:hAnsi="Arial"/>
          <w:sz w:val="14"/>
          <w:szCs w:val="14"/>
          <w:color w:val="auto"/>
        </w:rPr>
        <w:t>We have a revolving credit facility (the “Credit Facility”) with Bank of America, N.A. (Bank of America) as administrative agent and Merrill Lynch, Pierce, Fenner &amp; Smith Inc. as joint lead arranger and sole bookrunner, and Farm Credit West (FCW), as joint lead arranger.</w:t>
      </w:r>
    </w:p>
    <w:p>
      <w:pPr>
        <w:spacing w:after="0" w:line="139" w:lineRule="exact"/>
        <w:rPr>
          <w:sz w:val="20"/>
          <w:szCs w:val="20"/>
          <w:color w:val="auto"/>
        </w:rPr>
      </w:pPr>
    </w:p>
    <w:p>
      <w:pPr>
        <w:ind w:left="20" w:right="119" w:firstLine="198"/>
        <w:spacing w:after="0" w:line="252" w:lineRule="auto"/>
        <w:rPr>
          <w:sz w:val="20"/>
          <w:szCs w:val="20"/>
          <w:color w:val="auto"/>
        </w:rPr>
      </w:pPr>
      <w:r>
        <w:rPr>
          <w:rFonts w:ascii="Arial" w:cs="Arial" w:eastAsia="Arial" w:hAnsi="Arial"/>
          <w:sz w:val="14"/>
          <w:szCs w:val="14"/>
          <w:color w:val="auto"/>
        </w:rPr>
        <w:t>On November 1, 2022, we entered into a Seventh Amendment to our Credit Facility, which permitted us to declare cash dividends so long as (i) after giving effect to any such dividend a new Consolidated Dividend Adjusted Fixed Charge Coverage Ratio is not less than 1.20 to 1.00 and (ii) any such cash dividends are paid in the same fiscal quarter in which they are declared. Notwithstanding the foregoing restriction, we may declare and make a dividend payment in an amount not to exceed $5,200,000 on or before January 31, 2023.</w:t>
      </w:r>
    </w:p>
    <w:p>
      <w:pPr>
        <w:spacing w:after="0" w:line="148" w:lineRule="exact"/>
        <w:rPr>
          <w:sz w:val="20"/>
          <w:szCs w:val="20"/>
          <w:color w:val="auto"/>
        </w:rPr>
      </w:pPr>
    </w:p>
    <w:p>
      <w:pPr>
        <w:ind w:left="20" w:right="179" w:firstLine="198"/>
        <w:spacing w:after="0" w:line="255" w:lineRule="auto"/>
        <w:rPr>
          <w:sz w:val="20"/>
          <w:szCs w:val="20"/>
          <w:color w:val="auto"/>
        </w:rPr>
      </w:pPr>
      <w:r>
        <w:rPr>
          <w:rFonts w:ascii="Arial" w:cs="Arial" w:eastAsia="Arial" w:hAnsi="Arial"/>
          <w:sz w:val="14"/>
          <w:szCs w:val="14"/>
          <w:color w:val="auto"/>
        </w:rPr>
        <w:t>As of January 31, 2023, we were in compliance with the financial covenants, and we expect to remain in compliance. As of January 31, 2023, approximately $26.0 million was available for borrowing, based on our borrowing base calculation discussed above. We have a letter of credit balance of $3.2 million as of January 31, 2023, that lowers the amount available per our Credit Facility.</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20" w:right="239" w:firstLine="232"/>
        <w:spacing w:after="0" w:line="255" w:lineRule="auto"/>
        <w:rPr>
          <w:sz w:val="20"/>
          <w:szCs w:val="20"/>
          <w:color w:val="auto"/>
        </w:rPr>
      </w:pPr>
      <w:r>
        <w:rPr>
          <w:rFonts w:ascii="Arial" w:cs="Arial" w:eastAsia="Arial" w:hAnsi="Arial"/>
          <w:sz w:val="14"/>
          <w:szCs w:val="14"/>
          <w:color w:val="auto"/>
        </w:rPr>
        <w:t>The weighted-average interest rate under the Credit Facility was 6.2% and 4.9% at January 31, 2023, and October 31 2022, respectively. Under the Credit Facility, we had $16.4 million and $1.2 million outstanding as of January 31, 2023 and October 31, 2022, and had standby letters-of-credit of $3.2 million as of January 31, 2023, and October 31, 2022.</w:t>
      </w:r>
    </w:p>
    <w:p>
      <w:pPr>
        <w:spacing w:after="0" w:line="142" w:lineRule="exact"/>
        <w:rPr>
          <w:sz w:val="20"/>
          <w:szCs w:val="20"/>
          <w:color w:val="auto"/>
        </w:rPr>
      </w:pPr>
    </w:p>
    <w:p>
      <w:pPr>
        <w:ind w:left="220" w:right="7679" w:hanging="197"/>
        <w:spacing w:after="0" w:line="629" w:lineRule="auto"/>
        <w:tabs>
          <w:tab w:leader="none" w:pos="220" w:val="left"/>
        </w:tabs>
        <w:numPr>
          <w:ilvl w:val="0"/>
          <w:numId w:val="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Subsequent Events </w:t>
      </w:r>
      <w:r>
        <w:rPr>
          <w:rFonts w:ascii="Arial" w:cs="Arial" w:eastAsia="Arial" w:hAnsi="Arial"/>
          <w:sz w:val="11"/>
          <w:szCs w:val="11"/>
          <w:i w:val="1"/>
          <w:iCs w:val="1"/>
          <w:color w:val="auto"/>
        </w:rPr>
        <w:t>Calavo Salsa Lisa</w:t>
      </w:r>
    </w:p>
    <w:p>
      <w:pPr>
        <w:ind w:left="20" w:right="159" w:firstLine="198"/>
        <w:spacing w:after="0" w:line="358" w:lineRule="auto"/>
        <w:rPr>
          <w:sz w:val="20"/>
          <w:szCs w:val="20"/>
          <w:color w:val="auto"/>
        </w:rPr>
      </w:pPr>
      <w:r>
        <w:rPr>
          <w:rFonts w:ascii="Arial" w:cs="Arial" w:eastAsia="Arial" w:hAnsi="Arial"/>
          <w:sz w:val="11"/>
          <w:szCs w:val="11"/>
          <w:color w:val="auto"/>
        </w:rPr>
        <w:t>On March 6, 2023, we announced our plans to divest our salsa business in our Prepared segment. This divestiture and the below described restructuring are part of a broader set of organizational and strategic initiatives aimed at optimizing our processes, cost structure and how we operate to ensure that we continue to balance growth with profitability in a challenging industry environment marked by cost pressure driven by inflation and other factors.</w:t>
      </w:r>
    </w:p>
    <w:p>
      <w:pPr>
        <w:spacing w:after="0" w:line="93" w:lineRule="exact"/>
        <w:rPr>
          <w:sz w:val="20"/>
          <w:szCs w:val="20"/>
          <w:color w:val="auto"/>
        </w:rPr>
      </w:pPr>
    </w:p>
    <w:p>
      <w:pPr>
        <w:ind w:left="20" w:right="199" w:firstLine="198"/>
        <w:spacing w:after="0" w:line="284" w:lineRule="auto"/>
        <w:rPr>
          <w:sz w:val="20"/>
          <w:szCs w:val="20"/>
          <w:color w:val="auto"/>
        </w:rPr>
      </w:pPr>
      <w:r>
        <w:rPr>
          <w:rFonts w:ascii="Arial" w:cs="Arial" w:eastAsia="Arial" w:hAnsi="Arial"/>
          <w:sz w:val="13"/>
          <w:szCs w:val="13"/>
          <w:color w:val="auto"/>
        </w:rPr>
        <w:t>We expect that the proposed divesture will result in (i) a reduction of our current workforce by approximately 13 employees, and (ii) approximately $0.3 million in writedowns of inventory and approximately $0.5 million in impairment of certain property plant and equipment. We estimate that approximately $0.4 million of impairment and other charges will be recorded in the second quarter of fiscal year 2023 if closing conditions are satisfied.</w:t>
      </w:r>
    </w:p>
    <w:p>
      <w:pPr>
        <w:spacing w:after="0" w:line="129" w:lineRule="exact"/>
        <w:rPr>
          <w:sz w:val="20"/>
          <w:szCs w:val="20"/>
          <w:color w:val="auto"/>
        </w:rPr>
      </w:pPr>
    </w:p>
    <w:p>
      <w:pPr>
        <w:ind w:left="20" w:right="179" w:firstLine="198"/>
        <w:spacing w:after="0" w:line="265" w:lineRule="auto"/>
        <w:rPr>
          <w:sz w:val="20"/>
          <w:szCs w:val="20"/>
          <w:color w:val="auto"/>
        </w:rPr>
      </w:pPr>
      <w:r>
        <w:rPr>
          <w:rFonts w:ascii="Arial" w:cs="Arial" w:eastAsia="Arial" w:hAnsi="Arial"/>
          <w:sz w:val="14"/>
          <w:szCs w:val="14"/>
          <w:color w:val="auto"/>
        </w:rPr>
        <w:t>We expect predominantly all of the actions associated with the divestiture to be completed, and substantially all the associated charges and cash expenditures to be incurred, in the second quarter of fiscal year 2023.</w:t>
      </w:r>
    </w:p>
    <w:p>
      <w:pPr>
        <w:spacing w:after="0" w:line="139" w:lineRule="exact"/>
        <w:rPr>
          <w:sz w:val="20"/>
          <w:szCs w:val="20"/>
          <w:color w:val="auto"/>
        </w:rPr>
      </w:pPr>
    </w:p>
    <w:p>
      <w:pPr>
        <w:ind w:left="20" w:right="139" w:firstLine="198"/>
        <w:spacing w:after="0" w:line="252" w:lineRule="auto"/>
        <w:rPr>
          <w:sz w:val="20"/>
          <w:szCs w:val="20"/>
          <w:color w:val="auto"/>
        </w:rPr>
      </w:pPr>
      <w:r>
        <w:rPr>
          <w:rFonts w:ascii="Arial" w:cs="Arial" w:eastAsia="Arial" w:hAnsi="Arial"/>
          <w:sz w:val="14"/>
          <w:szCs w:val="14"/>
          <w:color w:val="auto"/>
        </w:rPr>
        <w:t>The estimates of the charges and expenditures that we expect to incur in connection with the proposed divestiture, and the timing thereof, are subject to a number of assumptions, including local law requirements in various jurisdictions, and actual amounts may differ materially from estimates. In addition, we may incur other charges or cash expenditures not currently contemplated due to unanticipated events that may occur, including in connection with the implementation of the proposed divestiture.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Restructuring of Operations in Mexico and the United States</w:t>
      </w:r>
    </w:p>
    <w:p>
      <w:pPr>
        <w:spacing w:after="0" w:line="169" w:lineRule="exact"/>
        <w:rPr>
          <w:sz w:val="20"/>
          <w:szCs w:val="20"/>
          <w:color w:val="auto"/>
        </w:rPr>
      </w:pPr>
    </w:p>
    <w:p>
      <w:pPr>
        <w:ind w:left="20" w:right="99" w:firstLine="198"/>
        <w:spacing w:after="0" w:line="343" w:lineRule="auto"/>
        <w:rPr>
          <w:sz w:val="20"/>
          <w:szCs w:val="20"/>
          <w:color w:val="auto"/>
        </w:rPr>
      </w:pPr>
      <w:r>
        <w:rPr>
          <w:rFonts w:ascii="Arial" w:cs="Arial" w:eastAsia="Arial" w:hAnsi="Arial"/>
          <w:sz w:val="11"/>
          <w:szCs w:val="11"/>
          <w:color w:val="auto"/>
        </w:rPr>
        <w:t>On March 6, 2023, we announced our plans to restructure certain corporate and administrative functions and consolidate activities in our Grown distribution network. We estimate that the proposed restructuring will incur approximately $1.9 million in charges and future cash expenditures, consisting primarily of cash expenditures related to severance payments and implementation costs. We expect predominantly all of the actions associated with the proposed restructuring to be completed, and substantially all the associated charges and cash expenditures to be incurred, in the second quarter of fiscal year 2023.</w:t>
      </w:r>
    </w:p>
    <w:p>
      <w:pPr>
        <w:spacing w:after="0" w:line="101" w:lineRule="exact"/>
        <w:rPr>
          <w:sz w:val="20"/>
          <w:szCs w:val="20"/>
          <w:color w:val="auto"/>
        </w:rPr>
      </w:pPr>
    </w:p>
    <w:p>
      <w:pPr>
        <w:jc w:val="both"/>
        <w:ind w:left="20" w:right="139" w:firstLine="198"/>
        <w:spacing w:after="0" w:line="252" w:lineRule="auto"/>
        <w:rPr>
          <w:sz w:val="20"/>
          <w:szCs w:val="20"/>
          <w:color w:val="auto"/>
        </w:rPr>
      </w:pPr>
      <w:r>
        <w:rPr>
          <w:rFonts w:ascii="Arial" w:cs="Arial" w:eastAsia="Arial" w:hAnsi="Arial"/>
          <w:sz w:val="14"/>
          <w:szCs w:val="14"/>
          <w:color w:val="auto"/>
        </w:rPr>
        <w:t>The estimates of the charges and expenditures that we expect to incur in connection with the proposed restructuring, and the timing thereof, are subject to a number of assumptions, including local law requirements in various jurisdictions, and actual amounts may differ materially from estimates. In addition, we may incur other charges or cash expenditures not currently contemplated due to unanticipated events that may occur, including in connection with the implementation of the proposed restructuring.</w:t>
      </w:r>
    </w:p>
    <w:p>
      <w:pPr>
        <w:spacing w:after="0" w:line="148" w:lineRule="exact"/>
        <w:rPr>
          <w:sz w:val="20"/>
          <w:szCs w:val="20"/>
          <w:color w:val="auto"/>
        </w:rPr>
      </w:pPr>
    </w:p>
    <w:p>
      <w:pPr>
        <w:ind w:left="20" w:right="39" w:firstLine="198"/>
        <w:spacing w:after="0" w:line="265" w:lineRule="auto"/>
        <w:rPr>
          <w:sz w:val="20"/>
          <w:szCs w:val="20"/>
          <w:color w:val="auto"/>
        </w:rPr>
      </w:pPr>
      <w:r>
        <w:rPr>
          <w:rFonts w:ascii="Arial" w:cs="Arial" w:eastAsia="Arial" w:hAnsi="Arial"/>
          <w:sz w:val="14"/>
          <w:szCs w:val="14"/>
          <w:color w:val="auto"/>
        </w:rPr>
        <w:t>When the proposed restructuring is fully implemented, we expect to realize cash savings of approximately $1.2 million in operating expenses, primarily related to employee cash compensation and benefits,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73" w:lineRule="exact"/>
        <w:rPr>
          <w:sz w:val="20"/>
          <w:szCs w:val="20"/>
          <w:color w:val="auto"/>
        </w:rPr>
      </w:pPr>
    </w:p>
    <w:p>
      <w:pPr>
        <w:ind w:left="20" w:right="59" w:firstLine="198"/>
        <w:spacing w:after="0" w:line="252" w:lineRule="auto"/>
        <w:rPr>
          <w:sz w:val="20"/>
          <w:szCs w:val="20"/>
          <w:color w:val="auto"/>
        </w:rPr>
      </w:pPr>
      <w:r>
        <w:rPr>
          <w:rFonts w:ascii="Arial" w:cs="Arial" w:eastAsia="Arial" w:hAnsi="Arial"/>
          <w:sz w:val="14"/>
          <w:szCs w:val="14"/>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2022 of Calavo Growers, Inc. (“we”, “Calavo”, or the “Company”).</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Dividend payment</w:t>
      </w:r>
    </w:p>
    <w:p>
      <w:pPr>
        <w:spacing w:after="0" w:line="169" w:lineRule="exact"/>
        <w:rPr>
          <w:sz w:val="20"/>
          <w:szCs w:val="20"/>
          <w:color w:val="auto"/>
        </w:rPr>
      </w:pPr>
    </w:p>
    <w:p>
      <w:pPr>
        <w:ind w:left="20" w:right="59" w:firstLine="198"/>
        <w:spacing w:after="0" w:line="304" w:lineRule="auto"/>
        <w:rPr>
          <w:sz w:val="20"/>
          <w:szCs w:val="20"/>
          <w:color w:val="auto"/>
        </w:rPr>
      </w:pPr>
      <w:r>
        <w:rPr>
          <w:rFonts w:ascii="Arial" w:cs="Arial" w:eastAsia="Arial" w:hAnsi="Arial"/>
          <w:sz w:val="13"/>
          <w:szCs w:val="13"/>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Litigation</w:t>
      </w:r>
    </w:p>
    <w:p>
      <w:pPr>
        <w:spacing w:after="0" w:line="169" w:lineRule="exact"/>
        <w:rPr>
          <w:sz w:val="20"/>
          <w:szCs w:val="20"/>
          <w:color w:val="auto"/>
        </w:rPr>
      </w:pPr>
    </w:p>
    <w:p>
      <w:pPr>
        <w:ind w:left="20" w:right="59" w:firstLine="198"/>
        <w:spacing w:after="0" w:line="265" w:lineRule="auto"/>
        <w:rPr>
          <w:sz w:val="20"/>
          <w:szCs w:val="20"/>
          <w:color w:val="auto"/>
        </w:rPr>
      </w:pPr>
      <w:r>
        <w:rPr>
          <w:rFonts w:ascii="Arial" w:cs="Arial" w:eastAsia="Arial" w:hAnsi="Arial"/>
          <w:sz w:val="14"/>
          <w:szCs w:val="14"/>
          <w:color w:val="auto"/>
        </w:rPr>
        <w:t>From time to time, we are involved in litigation arising in the ordinary course of our business that we do not believe will have a material adverse impact on our financial statements.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Calavo Salsa Lisa</w:t>
      </w:r>
    </w:p>
    <w:p>
      <w:pPr>
        <w:spacing w:after="0" w:line="169" w:lineRule="exact"/>
        <w:rPr>
          <w:sz w:val="20"/>
          <w:szCs w:val="20"/>
          <w:color w:val="auto"/>
        </w:rPr>
      </w:pPr>
    </w:p>
    <w:p>
      <w:pPr>
        <w:ind w:left="20" w:right="159" w:firstLine="198"/>
        <w:spacing w:after="0" w:line="358" w:lineRule="auto"/>
        <w:rPr>
          <w:sz w:val="20"/>
          <w:szCs w:val="20"/>
          <w:color w:val="auto"/>
        </w:rPr>
      </w:pPr>
      <w:r>
        <w:rPr>
          <w:rFonts w:ascii="Arial" w:cs="Arial" w:eastAsia="Arial" w:hAnsi="Arial"/>
          <w:sz w:val="11"/>
          <w:szCs w:val="11"/>
          <w:color w:val="auto"/>
        </w:rPr>
        <w:t>On March 6, 2023, we announced our plans to divest our salsa business in our Prepared segment. This divestiture and the below described restructuring are part of a broader set of organizational and strategic initiatives aimed at optimizing our processes, cost structure and how we operate to ensure that we continue to balance growth with profitability in a challenging industry environment marked by cost pressure driven by inflation and other factors.</w:t>
      </w:r>
    </w:p>
    <w:p>
      <w:pPr>
        <w:spacing w:after="0" w:line="93" w:lineRule="exact"/>
        <w:rPr>
          <w:sz w:val="20"/>
          <w:szCs w:val="20"/>
          <w:color w:val="auto"/>
        </w:rPr>
      </w:pPr>
    </w:p>
    <w:p>
      <w:pPr>
        <w:ind w:left="20" w:right="199" w:firstLine="198"/>
        <w:spacing w:after="0" w:line="284" w:lineRule="auto"/>
        <w:rPr>
          <w:sz w:val="20"/>
          <w:szCs w:val="20"/>
          <w:color w:val="auto"/>
        </w:rPr>
      </w:pPr>
      <w:r>
        <w:rPr>
          <w:rFonts w:ascii="Arial" w:cs="Arial" w:eastAsia="Arial" w:hAnsi="Arial"/>
          <w:sz w:val="13"/>
          <w:szCs w:val="13"/>
          <w:color w:val="auto"/>
        </w:rPr>
        <w:t>We expect that the proposed divesture will result in (i) a reduction of our current workforce by approximately 13 employees, and (ii) approximately $0.3 million in writedowns of inventory and approximately $0.5 million in impairment of certain property plant and equipment. We estimate that approximately $0.4 million of impairment and other charges will be recorded in the second quarter of fiscal year 2023 if closing conditions are satisfied.</w:t>
      </w:r>
    </w:p>
    <w:p>
      <w:pPr>
        <w:spacing w:after="0" w:line="129" w:lineRule="exact"/>
        <w:rPr>
          <w:sz w:val="20"/>
          <w:szCs w:val="20"/>
          <w:color w:val="auto"/>
        </w:rPr>
      </w:pPr>
    </w:p>
    <w:p>
      <w:pPr>
        <w:ind w:left="20" w:right="179" w:firstLine="198"/>
        <w:spacing w:after="0" w:line="265" w:lineRule="auto"/>
        <w:rPr>
          <w:sz w:val="20"/>
          <w:szCs w:val="20"/>
          <w:color w:val="auto"/>
        </w:rPr>
      </w:pPr>
      <w:r>
        <w:rPr>
          <w:rFonts w:ascii="Arial" w:cs="Arial" w:eastAsia="Arial" w:hAnsi="Arial"/>
          <w:sz w:val="14"/>
          <w:szCs w:val="14"/>
          <w:color w:val="auto"/>
        </w:rPr>
        <w:t>We expect predominantly all of the actions associated with the divestiture to be completed, and substantially all the associated charges and cash expenditures to be incurred, in the second quarter of fiscal year 2023.</w:t>
      </w:r>
    </w:p>
    <w:p>
      <w:pPr>
        <w:spacing w:after="0" w:line="139" w:lineRule="exact"/>
        <w:rPr>
          <w:sz w:val="20"/>
          <w:szCs w:val="20"/>
          <w:color w:val="auto"/>
        </w:rPr>
      </w:pPr>
    </w:p>
    <w:p>
      <w:pPr>
        <w:ind w:left="20" w:right="139" w:firstLine="198"/>
        <w:spacing w:after="0" w:line="252" w:lineRule="auto"/>
        <w:rPr>
          <w:sz w:val="20"/>
          <w:szCs w:val="20"/>
          <w:color w:val="auto"/>
        </w:rPr>
      </w:pPr>
      <w:r>
        <w:rPr>
          <w:rFonts w:ascii="Arial" w:cs="Arial" w:eastAsia="Arial" w:hAnsi="Arial"/>
          <w:sz w:val="14"/>
          <w:szCs w:val="14"/>
          <w:color w:val="auto"/>
        </w:rPr>
        <w:t>The estimates of the charges and expenditures that we expect to incur in connection with the proposed divestiture, and the timing thereof, are subject to a number of assumptions, including local law requirements in various jurisdictions, and actual amounts may differ materially from estimates. In addition, we may incur other charges or cash expenditures not currently contemplated due to unanticipated events that may occur, including in connection with the implementation of the proposed divestiture.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Restructuring of Operations in Mexico and the United States</w:t>
      </w:r>
    </w:p>
    <w:p>
      <w:pPr>
        <w:spacing w:after="0" w:line="169" w:lineRule="exact"/>
        <w:rPr>
          <w:sz w:val="20"/>
          <w:szCs w:val="20"/>
          <w:color w:val="auto"/>
        </w:rPr>
      </w:pPr>
    </w:p>
    <w:p>
      <w:pPr>
        <w:ind w:left="20" w:right="99" w:firstLine="198"/>
        <w:spacing w:after="0" w:line="343" w:lineRule="auto"/>
        <w:rPr>
          <w:sz w:val="20"/>
          <w:szCs w:val="20"/>
          <w:color w:val="auto"/>
        </w:rPr>
      </w:pPr>
      <w:r>
        <w:rPr>
          <w:rFonts w:ascii="Arial" w:cs="Arial" w:eastAsia="Arial" w:hAnsi="Arial"/>
          <w:sz w:val="11"/>
          <w:szCs w:val="11"/>
          <w:color w:val="auto"/>
        </w:rPr>
        <w:t>On March 6, 2023, we announced our plans to restructure certain corporate and administrative functions and consolidate activities in our Grown distribution network. We estimate that the proposed restructuring will incur approximately $1.9 million in charges and future cash expenditures, consisting primarily of cash expenditures related to severance payments and implementation costs. We expect predominantly all of the actions associated with the proposed restructuring to be completed, and substantially all the associated charges and cash expenditures to be incurred, in the second quarter of fiscal year 2023.</w:t>
      </w:r>
    </w:p>
    <w:p>
      <w:pPr>
        <w:spacing w:after="0" w:line="101" w:lineRule="exact"/>
        <w:rPr>
          <w:sz w:val="20"/>
          <w:szCs w:val="20"/>
          <w:color w:val="auto"/>
        </w:rPr>
      </w:pPr>
    </w:p>
    <w:p>
      <w:pPr>
        <w:ind w:left="20" w:right="279" w:firstLine="198"/>
        <w:spacing w:after="0" w:line="265" w:lineRule="auto"/>
        <w:rPr>
          <w:sz w:val="20"/>
          <w:szCs w:val="20"/>
          <w:color w:val="auto"/>
        </w:rPr>
      </w:pPr>
      <w:r>
        <w:rPr>
          <w:rFonts w:ascii="Arial" w:cs="Arial" w:eastAsia="Arial" w:hAnsi="Arial"/>
          <w:sz w:val="14"/>
          <w:szCs w:val="14"/>
          <w:color w:val="auto"/>
        </w:rPr>
        <w:t>The estimates of the charges and expenditures that we expect to incur in connection with the proposed restructuring, and the timing thereof, are subject to a number of assumptions, including local law requirements in various jurisdictions,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579"/>
        <w:spacing w:after="0" w:line="265" w:lineRule="auto"/>
        <w:rPr>
          <w:sz w:val="20"/>
          <w:szCs w:val="20"/>
          <w:color w:val="auto"/>
        </w:rPr>
      </w:pPr>
      <w:r>
        <w:rPr>
          <w:rFonts w:ascii="Arial" w:cs="Arial" w:eastAsia="Arial" w:hAnsi="Arial"/>
          <w:sz w:val="14"/>
          <w:szCs w:val="14"/>
          <w:color w:val="auto"/>
        </w:rPr>
        <w:t>and actual amounts may differ materially from estimates. In addition, we may incur other charges or cash expenditures not currently contemplated due to unanticipated events that may occur, including in connection with the implementation of the proposed restructuring.</w:t>
      </w:r>
    </w:p>
    <w:p>
      <w:pPr>
        <w:spacing w:after="0" w:line="139" w:lineRule="exact"/>
        <w:rPr>
          <w:sz w:val="20"/>
          <w:szCs w:val="20"/>
          <w:color w:val="auto"/>
        </w:rPr>
      </w:pPr>
    </w:p>
    <w:p>
      <w:pPr>
        <w:ind w:left="20" w:right="39" w:firstLine="198"/>
        <w:spacing w:after="0" w:line="265" w:lineRule="auto"/>
        <w:rPr>
          <w:sz w:val="20"/>
          <w:szCs w:val="20"/>
          <w:color w:val="auto"/>
        </w:rPr>
      </w:pPr>
      <w:r>
        <w:rPr>
          <w:rFonts w:ascii="Arial" w:cs="Arial" w:eastAsia="Arial" w:hAnsi="Arial"/>
          <w:sz w:val="14"/>
          <w:szCs w:val="14"/>
          <w:color w:val="auto"/>
        </w:rPr>
        <w:t>When the proposed restructuring is fully implemented, we expect to realize cash savings of approximately $1.2 million in operating expenses, primarily related to employee cash compensation and benefits, over the next 12 months.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Mexican IVA taxes receivable</w:t>
      </w:r>
    </w:p>
    <w:p>
      <w:pPr>
        <w:spacing w:after="0" w:line="169" w:lineRule="exact"/>
        <w:rPr>
          <w:sz w:val="20"/>
          <w:szCs w:val="20"/>
          <w:color w:val="auto"/>
        </w:rPr>
      </w:pPr>
    </w:p>
    <w:p>
      <w:pPr>
        <w:ind w:left="20" w:right="59" w:firstLine="198"/>
        <w:spacing w:after="0" w:line="249" w:lineRule="auto"/>
        <w:rPr>
          <w:sz w:val="20"/>
          <w:szCs w:val="20"/>
          <w:color w:val="auto"/>
        </w:rPr>
      </w:pPr>
      <w:r>
        <w:rPr>
          <w:rFonts w:ascii="Arial" w:cs="Arial" w:eastAsia="Arial" w:hAnsi="Arial"/>
          <w:sz w:val="14"/>
          <w:szCs w:val="14"/>
          <w:color w:val="auto"/>
        </w:rPr>
        <w:t>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52" w:lineRule="exact"/>
        <w:rPr>
          <w:sz w:val="20"/>
          <w:szCs w:val="20"/>
          <w:color w:val="auto"/>
        </w:rPr>
      </w:pPr>
    </w:p>
    <w:p>
      <w:pPr>
        <w:ind w:left="20" w:right="79" w:firstLine="172"/>
        <w:spacing w:after="0" w:line="274" w:lineRule="auto"/>
        <w:rPr>
          <w:sz w:val="20"/>
          <w:szCs w:val="20"/>
          <w:color w:val="auto"/>
        </w:rPr>
      </w:pPr>
      <w:r>
        <w:rPr>
          <w:rFonts w:ascii="Arial" w:cs="Arial" w:eastAsia="Arial" w:hAnsi="Arial"/>
          <w:sz w:val="13"/>
          <w:szCs w:val="13"/>
          <w:color w:val="auto"/>
        </w:rPr>
        <w:t>In January 2023 the Federal Tax Court issued a definitive resolution confirming the ruling from April 2022, ordering SAT to refund approximately $18 million pesos (approx. $1.0 million USD at January 31, 2023) and confirming that the $6.9 million pesos (approx. $0.4 million USD at January 31, 2023) related to packing materials will not be recoverable. For the three months ended January 31, 2023, we recognized a reserve of $1.4 million for Mexican IVA tax receivables related to certain packing material vendors corresponding to the years 2013 and 2015. This reserve includes the amounts included in the January 2023 ruling as well as other similar receivables that are subject to proceedings in this same Federal Tax Court.</w:t>
      </w:r>
    </w:p>
    <w:p>
      <w:pPr>
        <w:spacing w:after="0" w:line="136" w:lineRule="exact"/>
        <w:rPr>
          <w:sz w:val="20"/>
          <w:szCs w:val="20"/>
          <w:color w:val="auto"/>
        </w:rPr>
      </w:pPr>
    </w:p>
    <w:p>
      <w:pPr>
        <w:ind w:left="20" w:right="39" w:firstLine="103"/>
        <w:spacing w:after="0" w:line="277" w:lineRule="auto"/>
        <w:rPr>
          <w:sz w:val="20"/>
          <w:szCs w:val="20"/>
          <w:color w:val="auto"/>
        </w:rPr>
      </w:pPr>
      <w:r>
        <w:rPr>
          <w:rFonts w:ascii="Arial" w:cs="Arial" w:eastAsia="Arial" w:hAnsi="Arial"/>
          <w:sz w:val="13"/>
          <w:szCs w:val="13"/>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January 31, 2023,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Critical Accounting Estimates</w:t>
      </w:r>
    </w:p>
    <w:p>
      <w:pPr>
        <w:spacing w:after="0" w:line="173" w:lineRule="exact"/>
        <w:rPr>
          <w:sz w:val="20"/>
          <w:szCs w:val="20"/>
          <w:color w:val="auto"/>
        </w:rPr>
      </w:pPr>
    </w:p>
    <w:p>
      <w:pPr>
        <w:ind w:left="20" w:right="39" w:firstLine="198"/>
        <w:spacing w:after="0" w:line="274" w:lineRule="auto"/>
        <w:rPr>
          <w:sz w:val="20"/>
          <w:szCs w:val="20"/>
          <w:color w:val="auto"/>
        </w:rPr>
      </w:pPr>
      <w:r>
        <w:rPr>
          <w:rFonts w:ascii="Arial" w:cs="Arial" w:eastAsia="Arial" w:hAnsi="Arial"/>
          <w:sz w:val="13"/>
          <w:szCs w:val="13"/>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87" w:lineRule="exact"/>
        <w:rPr>
          <w:sz w:val="20"/>
          <w:szCs w:val="20"/>
          <w:color w:val="auto"/>
        </w:rPr>
      </w:pPr>
    </w:p>
    <w:p>
      <w:pPr>
        <w:jc w:val="both"/>
        <w:ind w:left="20" w:right="219" w:firstLine="198"/>
        <w:spacing w:after="0" w:line="255" w:lineRule="auto"/>
        <w:rPr>
          <w:sz w:val="20"/>
          <w:szCs w:val="20"/>
          <w:color w:val="auto"/>
        </w:rPr>
      </w:pPr>
      <w:r>
        <w:rPr>
          <w:rFonts w:ascii="Arial" w:cs="Arial" w:eastAsia="Arial" w:hAnsi="Arial"/>
          <w:sz w:val="14"/>
          <w:szCs w:val="14"/>
          <w:color w:val="auto"/>
        </w:rPr>
        <w:t>There have been no material changes in our critical accounting estimates during the three months ended January 31, 2023, as compared to those disclosed in the “Management’s Discussion and Analysis of Financial Condition and Results of Operations—Critical Accounting Estimates” in our Annual Report on Form 10-K for our fiscal year ended October 31, 2022.</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173" w:lineRule="exact"/>
        <w:rPr>
          <w:sz w:val="20"/>
          <w:szCs w:val="20"/>
          <w:color w:val="auto"/>
        </w:rPr>
      </w:pPr>
    </w:p>
    <w:p>
      <w:pPr>
        <w:ind w:left="20" w:right="39" w:firstLine="198"/>
        <w:spacing w:after="0" w:line="265" w:lineRule="auto"/>
        <w:rPr>
          <w:sz w:val="20"/>
          <w:szCs w:val="20"/>
          <w:color w:val="auto"/>
        </w:rPr>
      </w:pPr>
      <w:r>
        <w:rPr>
          <w:rFonts w:ascii="Arial" w:cs="Arial" w:eastAsia="Arial" w:hAnsi="Arial"/>
          <w:sz w:val="14"/>
          <w:szCs w:val="14"/>
          <w:color w:val="auto"/>
        </w:rPr>
        <w:t>The below tables include non-GAAP measures EBITDA, adjusted EBITDA, adjusted net income (loss) and adjusted net income (loss) per diluted share, which are not prepared in accordance with U.S. generally accepted accounting principles, or “GAAP.”</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EBITDA is defined as net income (loss) attributable to Calavo Growers, Inc. excluding (1) interest income and expense, (2) income taxes (benefit) provision,</w:t>
      </w:r>
    </w:p>
    <w:p>
      <w:pPr>
        <w:spacing w:after="0" w:line="48" w:lineRule="exact"/>
        <w:rPr>
          <w:sz w:val="20"/>
          <w:szCs w:val="20"/>
          <w:color w:val="auto"/>
        </w:rPr>
      </w:pPr>
    </w:p>
    <w:p>
      <w:pPr>
        <w:ind w:left="20" w:right="39" w:firstLine="3"/>
        <w:spacing w:after="0" w:line="246" w:lineRule="auto"/>
        <w:tabs>
          <w:tab w:leader="none" w:pos="215"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54" w:lineRule="exact"/>
        <w:rPr>
          <w:sz w:val="20"/>
          <w:szCs w:val="20"/>
          <w:color w:val="auto"/>
        </w:rPr>
      </w:pPr>
    </w:p>
    <w:p>
      <w:pPr>
        <w:ind w:left="20" w:right="39" w:firstLine="198"/>
        <w:spacing w:after="0" w:line="249" w:lineRule="auto"/>
        <w:rPr>
          <w:sz w:val="20"/>
          <w:szCs w:val="20"/>
          <w:color w:val="auto"/>
        </w:rPr>
      </w:pPr>
      <w:r>
        <w:rPr>
          <w:rFonts w:ascii="Arial" w:cs="Arial" w:eastAsia="Arial" w:hAnsi="Arial"/>
          <w:sz w:val="14"/>
          <w:szCs w:val="14"/>
          <w:color w:val="auto"/>
        </w:rPr>
        <w:t>Adjusted net income (loss)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Reconciliations of non-GAAP financial measures to the most directly comparable GAAP financial measures are provided in the financial tables below.</w:t>
      </w:r>
    </w:p>
    <w:p>
      <w:pPr>
        <w:spacing w:after="0" w:line="180" w:lineRule="exact"/>
        <w:rPr>
          <w:sz w:val="20"/>
          <w:szCs w:val="20"/>
          <w:color w:val="auto"/>
        </w:rPr>
      </w:pPr>
    </w:p>
    <w:p>
      <w:pPr>
        <w:ind w:left="20" w:right="39" w:firstLine="198"/>
        <w:spacing w:after="0" w:line="304" w:lineRule="auto"/>
        <w:rPr>
          <w:sz w:val="20"/>
          <w:szCs w:val="20"/>
          <w:color w:val="auto"/>
        </w:rPr>
      </w:pPr>
      <w:r>
        <w:rPr>
          <w:rFonts w:ascii="Arial" w:cs="Arial" w:eastAsia="Arial" w:hAnsi="Arial"/>
          <w:sz w:val="13"/>
          <w:szCs w:val="13"/>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16" w:lineRule="exact"/>
        <w:rPr>
          <w:sz w:val="20"/>
          <w:szCs w:val="20"/>
          <w:color w:val="auto"/>
        </w:rPr>
      </w:pPr>
    </w:p>
    <w:p>
      <w:pPr>
        <w:ind w:left="20" w:right="119" w:firstLine="198"/>
        <w:spacing w:after="0" w:line="252" w:lineRule="auto"/>
        <w:rPr>
          <w:sz w:val="20"/>
          <w:szCs w:val="20"/>
          <w:color w:val="auto"/>
        </w:rPr>
      </w:pPr>
      <w:r>
        <w:rPr>
          <w:rFonts w:ascii="Arial" w:cs="Arial" w:eastAsia="Arial" w:hAnsi="Arial"/>
          <w:sz w:val="14"/>
          <w:szCs w:val="14"/>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(loss) and adjusted net income (loss) per diluted share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Adjusted Net Income (Non-GAAP, Unaudited)</w:t>
      </w:r>
    </w:p>
    <w:p>
      <w:pPr>
        <w:spacing w:after="0" w:line="169" w:lineRule="exact"/>
        <w:rPr>
          <w:sz w:val="20"/>
          <w:szCs w:val="20"/>
          <w:color w:val="auto"/>
        </w:rPr>
      </w:pPr>
    </w:p>
    <w:p>
      <w:pPr>
        <w:ind w:left="20" w:right="219" w:firstLine="198"/>
        <w:spacing w:after="0" w:line="255" w:lineRule="auto"/>
        <w:rPr>
          <w:sz w:val="20"/>
          <w:szCs w:val="20"/>
          <w:color w:val="auto"/>
        </w:rPr>
      </w:pPr>
      <w:r>
        <w:rPr>
          <w:rFonts w:ascii="Arial" w:cs="Arial" w:eastAsia="Arial" w:hAnsi="Arial"/>
          <w:sz w:val="14"/>
          <w:szCs w:val="14"/>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160"/>
              <w:spacing w:after="0"/>
              <w:rPr>
                <w:sz w:val="20"/>
                <w:szCs w:val="20"/>
                <w:color w:val="auto"/>
              </w:rPr>
            </w:pPr>
            <w:r>
              <w:rPr>
                <w:rFonts w:ascii="Arial" w:cs="Arial" w:eastAsia="Arial" w:hAnsi="Arial"/>
                <w:sz w:val="11"/>
                <w:szCs w:val="11"/>
                <w:b w:val="1"/>
                <w:bCs w:val="1"/>
                <w:color w:val="auto"/>
              </w:rPr>
              <w:t>Three months ended January 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60" w:type="dxa"/>
            <w:vAlign w:val="bottom"/>
            <w:tcBorders>
              <w:bottom w:val="single" w:sz="8" w:color="CCEEFF"/>
            </w:tcBorders>
          </w:tcPr>
          <w:p>
            <w:pPr>
              <w:spacing w:after="0"/>
              <w:rPr>
                <w:sz w:val="9"/>
                <w:szCs w:val="9"/>
                <w:color w:val="auto"/>
              </w:rPr>
            </w:pPr>
          </w:p>
        </w:tc>
        <w:tc>
          <w:tcPr>
            <w:tcW w:w="232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53"/>
              <w:spacing w:after="0" w:line="104" w:lineRule="exact"/>
              <w:rPr>
                <w:sz w:val="20"/>
                <w:szCs w:val="20"/>
                <w:color w:val="auto"/>
              </w:rPr>
            </w:pPr>
            <w:r>
              <w:rPr>
                <w:rFonts w:ascii="Arial" w:cs="Arial" w:eastAsia="Arial" w:hAnsi="Arial"/>
                <w:sz w:val="11"/>
                <w:szCs w:val="11"/>
                <w:b w:val="1"/>
                <w:bCs w:val="1"/>
                <w:color w:val="auto"/>
              </w:rPr>
              <w:t>2023</w:t>
            </w:r>
          </w:p>
        </w:tc>
        <w:tc>
          <w:tcPr>
            <w:tcW w:w="14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312"/>
              <w:spacing w:after="0" w:line="104" w:lineRule="exact"/>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loss attributable to Calavo Growers, Inc.</w:t>
            </w: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(3,068)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Non-GAAP adjustments: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Non-cash losses (income) recognized from unconsolidated entities (a)</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Net loss on Limoneira shares (b)</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Rent expense add back (c)</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Restructure costs - consulting, management recruiting and severance (d)</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 related to Mexican tax matters (e)</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Impairment, losses and charges related to property, plant and equipment (f)</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 impact of adjustments (g)</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Adjusted net loss attributed to Calavo Growers, Inc.</w:t>
            </w:r>
          </w:p>
        </w:tc>
        <w:tc>
          <w:tcPr>
            <w:tcW w:w="1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(1,416)</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Calavo Growers, Inc.’s net loss per share:</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EPS (GAAP)</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Adjusted net loss per diluted share</w:t>
            </w:r>
          </w:p>
        </w:tc>
        <w:tc>
          <w:tcPr>
            <w:tcW w:w="12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80" w:type="dxa"/>
            <w:vAlign w:val="bottom"/>
            <w:tcBorders>
              <w:bottom w:val="single" w:sz="8" w:color="CCEEFF"/>
            </w:tcBorders>
            <w:gridSpan w:val="2"/>
            <w:vMerge w:val="continue"/>
          </w:tcPr>
          <w:p>
            <w:pPr>
              <w:spacing w:after="0"/>
              <w:rPr>
                <w:sz w:val="15"/>
                <w:szCs w:val="15"/>
                <w:color w:val="auto"/>
              </w:rPr>
            </w:pPr>
          </w:p>
        </w:tc>
        <w:tc>
          <w:tcPr>
            <w:tcW w:w="12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(0.08)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jc w:val="right"/>
              <w:ind w:right="91"/>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color w:val="auto"/>
              </w:rPr>
              <w:t>Number of shares used in per share computation:</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12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2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20" w:hanging="25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three months ended January 31, 2023 and 2022, we realized income of $0.2 million and losses of $0.5 million from Agricola Don Memo.</w:t>
      </w:r>
    </w:p>
    <w:p>
      <w:pPr>
        <w:spacing w:after="0" w:line="99" w:lineRule="exact"/>
        <w:rPr>
          <w:rFonts w:ascii="Arial" w:cs="Arial" w:eastAsia="Arial" w:hAnsi="Arial"/>
          <w:sz w:val="12"/>
          <w:szCs w:val="12"/>
          <w:color w:val="auto"/>
        </w:rPr>
      </w:pPr>
    </w:p>
    <w:p>
      <w:pPr>
        <w:ind w:left="420" w:right="159" w:hanging="252"/>
        <w:spacing w:after="0" w:line="30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three months ended January 31, 2022, we recorded $2.1 million in unrealized losses related to these mark-to-market adjustments. At October 27, 2022, we sold our entire investment in Limoneira.</w:t>
      </w:r>
    </w:p>
    <w:p>
      <w:pPr>
        <w:spacing w:after="0" w:line="46" w:lineRule="exact"/>
        <w:rPr>
          <w:rFonts w:ascii="Arial" w:cs="Arial" w:eastAsia="Arial" w:hAnsi="Arial"/>
          <w:sz w:val="12"/>
          <w:szCs w:val="12"/>
          <w:color w:val="auto"/>
        </w:rPr>
      </w:pPr>
    </w:p>
    <w:p>
      <w:pPr>
        <w:ind w:left="420" w:right="159" w:hanging="252"/>
        <w:spacing w:after="0" w:line="30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three months ended January 31, 2023 and 2022, we incurred $0.1 million related to rent paid for Prepared’s former corporate office space that we have vacated and plan to sublease.</w:t>
      </w:r>
    </w:p>
    <w:p>
      <w:pPr>
        <w:spacing w:after="0" w:line="46" w:lineRule="exact"/>
        <w:rPr>
          <w:rFonts w:ascii="Arial" w:cs="Arial" w:eastAsia="Arial" w:hAnsi="Arial"/>
          <w:sz w:val="12"/>
          <w:szCs w:val="12"/>
          <w:color w:val="auto"/>
        </w:rPr>
      </w:pPr>
    </w:p>
    <w:p>
      <w:pPr>
        <w:ind w:left="420" w:right="119" w:hanging="252"/>
        <w:spacing w:after="0" w:line="30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three months ended January 31, 2023 and 2022, we recorded $0.2 million and $1.1 million of expenses related to an enterprise-wide strategic business restructuring to improve the profitability of the organization and efficiency of our operations.</w:t>
      </w:r>
    </w:p>
    <w:p>
      <w:pPr>
        <w:spacing w:after="0" w:line="46" w:lineRule="exact"/>
        <w:rPr>
          <w:rFonts w:ascii="Arial" w:cs="Arial" w:eastAsia="Arial" w:hAnsi="Arial"/>
          <w:sz w:val="12"/>
          <w:szCs w:val="12"/>
          <w:color w:val="auto"/>
        </w:rPr>
      </w:pPr>
    </w:p>
    <w:p>
      <w:pPr>
        <w:ind w:left="420" w:right="319" w:hanging="252"/>
        <w:spacing w:after="0" w:line="349" w:lineRule="auto"/>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the three months ended January 31, 2023 and 2022, we incurred $0.6 million and $0.4 million of professional fees related to the Mexican tax matters. For the three months ended January 31, 2023, we recognized a reserve of $1.4 million related to the collectability of IVA receivables. See Note 10 for mor information.</w:t>
      </w:r>
    </w:p>
    <w:p>
      <w:pPr>
        <w:spacing w:after="0" w:line="23" w:lineRule="exact"/>
        <w:rPr>
          <w:rFonts w:ascii="Arial" w:cs="Arial" w:eastAsia="Arial" w:hAnsi="Arial"/>
          <w:sz w:val="11"/>
          <w:szCs w:val="11"/>
          <w:color w:val="auto"/>
        </w:rPr>
      </w:pPr>
    </w:p>
    <w:p>
      <w:pPr>
        <w:ind w:left="420" w:right="59" w:hanging="252"/>
        <w:spacing w:after="0" w:line="284"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October 18, 2021, we announced the closure of RFG’s food processing operations at our Green Cove Springs (near Jacksonville), Florida facility, as part of our Project Uno profit improvement program. As of November 15, 2021, the Green Cove facility of RFG ceased operations. We incurred $0.7 million of expenses in the first quarter of fiscal 2022, related to the closure of this facility.</w:t>
      </w:r>
    </w:p>
    <w:p>
      <w:pPr>
        <w:spacing w:after="0" w:line="66" w:lineRule="exact"/>
        <w:rPr>
          <w:rFonts w:ascii="Arial" w:cs="Arial" w:eastAsia="Arial" w:hAnsi="Arial"/>
          <w:sz w:val="12"/>
          <w:szCs w:val="12"/>
          <w:color w:val="auto"/>
        </w:rPr>
      </w:pPr>
    </w:p>
    <w:p>
      <w:pPr>
        <w:ind w:left="420" w:hanging="25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Tax impact of non-GAAP adjustments are based on effective year-to-date tax rates.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Reconciliation of EBITDA and Adjusted EBITDA (Non-GAAP, Unaudited)</w:t>
      </w:r>
    </w:p>
    <w:p>
      <w:pPr>
        <w:spacing w:after="0" w:line="169" w:lineRule="exact"/>
        <w:rPr>
          <w:sz w:val="20"/>
          <w:szCs w:val="20"/>
          <w:color w:val="auto"/>
        </w:rPr>
      </w:pPr>
    </w:p>
    <w:p>
      <w:pPr>
        <w:jc w:val="both"/>
        <w:ind w:left="20" w:right="319" w:firstLine="198"/>
        <w:spacing w:after="0" w:line="403" w:lineRule="auto"/>
        <w:rPr>
          <w:sz w:val="20"/>
          <w:szCs w:val="20"/>
          <w:color w:val="auto"/>
        </w:rPr>
      </w:pPr>
      <w:r>
        <w:rPr>
          <w:rFonts w:ascii="Arial" w:cs="Arial" w:eastAsia="Arial" w:hAnsi="Arial"/>
          <w:sz w:val="11"/>
          <w:szCs w:val="11"/>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160" w:type="dxa"/>
            <w:vAlign w:val="bottom"/>
            <w:tcBorders>
              <w:bottom w:val="single" w:sz="8" w:color="auto"/>
            </w:tcBorders>
            <w:gridSpan w:val="6"/>
          </w:tcPr>
          <w:p>
            <w:pPr>
              <w:jc w:val="right"/>
              <w:ind w:right="232"/>
              <w:spacing w:after="0"/>
              <w:rPr>
                <w:sz w:val="20"/>
                <w:szCs w:val="20"/>
                <w:color w:val="auto"/>
              </w:rPr>
            </w:pPr>
            <w:r>
              <w:rPr>
                <w:rFonts w:ascii="Arial" w:cs="Arial" w:eastAsia="Arial" w:hAnsi="Arial"/>
                <w:sz w:val="11"/>
                <w:szCs w:val="11"/>
                <w:b w:val="1"/>
                <w:bCs w:val="1"/>
                <w:color w:val="auto"/>
              </w:rPr>
              <w:t>Three months ended January 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Borders>
              <w:bottom w:val="single" w:sz="8" w:color="CCEEFF"/>
            </w:tcBorders>
          </w:tcPr>
          <w:p>
            <w:pPr>
              <w:spacing w:after="0"/>
              <w:rPr>
                <w:sz w:val="9"/>
                <w:szCs w:val="9"/>
                <w:color w:val="auto"/>
              </w:rPr>
            </w:pPr>
          </w:p>
        </w:tc>
        <w:tc>
          <w:tcPr>
            <w:tcW w:w="2500" w:type="dxa"/>
            <w:vAlign w:val="bottom"/>
            <w:tcBorders>
              <w:bottom w:val="single" w:sz="8" w:color="CCEEFF"/>
            </w:tcBorders>
          </w:tcPr>
          <w:p>
            <w:pPr>
              <w:spacing w:after="0"/>
              <w:rPr>
                <w:sz w:val="9"/>
                <w:szCs w:val="9"/>
                <w:color w:val="auto"/>
              </w:rPr>
            </w:pPr>
          </w:p>
        </w:tc>
        <w:tc>
          <w:tcPr>
            <w:tcW w:w="132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72"/>
              <w:spacing w:after="0" w:line="104"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loss attributable to Calavo Growers, Inc.</w:t>
            </w:r>
          </w:p>
        </w:tc>
        <w:tc>
          <w:tcPr>
            <w:tcW w:w="1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77"/>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(3,068)</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(4,043)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5"/>
              </w:rPr>
              <w:t>(1,080)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&amp; Amortization</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4,166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Stock-Based Compensation</w:t>
            </w:r>
          </w:p>
        </w:tc>
        <w:tc>
          <w:tcPr>
            <w:tcW w:w="1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1,253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EBITDA</w:t>
            </w:r>
          </w:p>
        </w:tc>
        <w:tc>
          <w:tcPr>
            <w:tcW w:w="132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77"/>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1,414</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Non-cash losses recognized from unconsolidated entities (a)</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on Limoneira shares (b)</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Rent expense add back (c)</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Restructure costs - consulting and management recruiting and severance (d)</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Expenses related to Mexican tax matters (e)</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2,048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Impairment, losses and charges related to property, plant and equipment (f)</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55"/>
        </w:trPr>
        <w:tc>
          <w:tcPr>
            <w:tcW w:w="5480" w:type="dxa"/>
            <w:vAlign w:val="bottom"/>
            <w:gridSpan w:val="3"/>
          </w:tcPr>
          <w:p>
            <w:pPr>
              <w:spacing w:after="0" w:line="155" w:lineRule="exact"/>
              <w:rPr>
                <w:sz w:val="20"/>
                <w:szCs w:val="20"/>
                <w:color w:val="auto"/>
              </w:rPr>
            </w:pPr>
            <w:r>
              <w:rPr>
                <w:rFonts w:ascii="Arial" w:cs="Arial" w:eastAsia="Arial" w:hAnsi="Arial"/>
                <w:sz w:val="14"/>
                <w:szCs w:val="14"/>
                <w:color w:val="auto"/>
              </w:rPr>
              <w:t>Adjusted EBITDA</w:t>
            </w:r>
          </w:p>
        </w:tc>
        <w:tc>
          <w:tcPr>
            <w:tcW w:w="13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3,617</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prior page for footnote references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Net Sales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following table summarizes our net sales by business segment for each of the three months ended January 31, 2023 and 2022:</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9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Three months ended January 31,</w:t>
            </w: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r>
      <w:tr>
        <w:trPr>
          <w:trHeight w:val="104"/>
        </w:trPr>
        <w:tc>
          <w:tcPr>
            <w:tcW w:w="39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234"/>
              <w:spacing w:after="0" w:line="104" w:lineRule="exact"/>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9"/>
                <w:szCs w:val="9"/>
                <w:color w:val="auto"/>
              </w:rPr>
            </w:pPr>
          </w:p>
        </w:tc>
        <w:tc>
          <w:tcPr>
            <w:tcW w:w="680" w:type="dxa"/>
            <w:vAlign w:val="bottom"/>
            <w:gridSpan w:val="2"/>
          </w:tcPr>
          <w:p>
            <w:pPr>
              <w:jc w:val="right"/>
              <w:ind w:right="240"/>
              <w:spacing w:after="0" w:line="104" w:lineRule="exact"/>
              <w:rPr>
                <w:sz w:val="20"/>
                <w:szCs w:val="20"/>
                <w:color w:val="auto"/>
              </w:rPr>
            </w:pPr>
            <w:r>
              <w:rPr>
                <w:rFonts w:ascii="Arial" w:cs="Arial" w:eastAsia="Arial" w:hAnsi="Arial"/>
                <w:sz w:val="11"/>
                <w:szCs w:val="11"/>
                <w:b w:val="1"/>
                <w:bCs w:val="1"/>
                <w:color w:val="auto"/>
              </w:rPr>
              <w:t>Change</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jc w:val="right"/>
              <w:ind w:right="253"/>
              <w:spacing w:after="0" w:line="104" w:lineRule="exact"/>
              <w:rPr>
                <w:sz w:val="20"/>
                <w:szCs w:val="20"/>
                <w:color w:val="auto"/>
              </w:rPr>
            </w:pPr>
            <w:r>
              <w:rPr>
                <w:rFonts w:ascii="Arial" w:cs="Arial" w:eastAsia="Arial" w:hAnsi="Arial"/>
                <w:sz w:val="11"/>
                <w:szCs w:val="11"/>
                <w:b w:val="1"/>
                <w:bCs w:val="1"/>
                <w:color w:val="auto"/>
                <w:w w:val="81"/>
              </w:rPr>
              <w:t>2022</w:t>
            </w:r>
          </w:p>
        </w:tc>
        <w:tc>
          <w:tcPr>
            <w:tcW w:w="360" w:type="dxa"/>
            <w:vAlign w:val="bottom"/>
          </w:tcPr>
          <w:p>
            <w:pPr>
              <w:spacing w:after="0"/>
              <w:rPr>
                <w:sz w:val="9"/>
                <w:szCs w:val="9"/>
                <w:color w:val="auto"/>
              </w:rPr>
            </w:pPr>
          </w:p>
        </w:tc>
      </w:tr>
      <w:tr>
        <w:trPr>
          <w:trHeight w:val="155"/>
        </w:trPr>
        <w:tc>
          <w:tcPr>
            <w:tcW w:w="39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Gross sales:</w:t>
            </w:r>
          </w:p>
        </w:tc>
        <w:tc>
          <w:tcPr>
            <w:tcW w:w="20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r>
      <w:tr>
        <w:trPr>
          <w:trHeight w:val="165"/>
        </w:trPr>
        <w:tc>
          <w:tcPr>
            <w:tcW w:w="3940" w:type="dxa"/>
            <w:vAlign w:val="bottom"/>
          </w:tcPr>
          <w:p>
            <w:pPr>
              <w:ind w:left="180"/>
              <w:spacing w:after="0"/>
              <w:rPr>
                <w:sz w:val="20"/>
                <w:szCs w:val="20"/>
                <w:color w:val="auto"/>
              </w:rPr>
            </w:pPr>
            <w:r>
              <w:rPr>
                <w:rFonts w:ascii="Arial" w:cs="Arial" w:eastAsia="Arial" w:hAnsi="Arial"/>
                <w:sz w:val="14"/>
                <w:szCs w:val="14"/>
                <w:color w:val="auto"/>
              </w:rPr>
              <w:t>Grown</w:t>
            </w:r>
          </w:p>
        </w:tc>
        <w:tc>
          <w:tcPr>
            <w:tcW w:w="22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118,069</w:t>
            </w:r>
          </w:p>
        </w:tc>
        <w:tc>
          <w:tcPr>
            <w:tcW w:w="2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360" w:type="dxa"/>
            <w:vAlign w:val="bottom"/>
            <w:gridSpan w:val="2"/>
          </w:tcPr>
          <w:p>
            <w:pPr>
              <w:jc w:val="right"/>
              <w:ind w:right="15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162,585</w:t>
            </w:r>
          </w:p>
        </w:tc>
        <w:tc>
          <w:tcPr>
            <w:tcW w:w="360" w:type="dxa"/>
            <w:vAlign w:val="bottom"/>
          </w:tcPr>
          <w:p>
            <w:pPr>
              <w:spacing w:after="0"/>
              <w:rPr>
                <w:sz w:val="14"/>
                <w:szCs w:val="14"/>
                <w:color w:val="auto"/>
              </w:rPr>
            </w:pPr>
          </w:p>
        </w:tc>
      </w:tr>
      <w:tr>
        <w:trPr>
          <w:trHeight w:val="165"/>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Prepared</w:t>
            </w:r>
          </w:p>
        </w:tc>
        <w:tc>
          <w:tcPr>
            <w:tcW w:w="2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108,455</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112,110</w:t>
            </w:r>
          </w:p>
        </w:tc>
        <w:tc>
          <w:tcPr>
            <w:tcW w:w="360" w:type="dxa"/>
            <w:vAlign w:val="bottom"/>
            <w:shd w:val="clear" w:color="auto" w:fill="CCEEFF"/>
          </w:tcPr>
          <w:p>
            <w:pPr>
              <w:spacing w:after="0"/>
              <w:rPr>
                <w:sz w:val="14"/>
                <w:szCs w:val="14"/>
                <w:color w:val="auto"/>
              </w:rPr>
            </w:pPr>
          </w:p>
        </w:tc>
      </w:tr>
      <w:tr>
        <w:trPr>
          <w:trHeight w:val="165"/>
        </w:trPr>
        <w:tc>
          <w:tcPr>
            <w:tcW w:w="3940" w:type="dxa"/>
            <w:vAlign w:val="bottom"/>
          </w:tcPr>
          <w:p>
            <w:pPr>
              <w:ind w:left="180"/>
              <w:spacing w:after="0"/>
              <w:rPr>
                <w:sz w:val="20"/>
                <w:szCs w:val="20"/>
                <w:color w:val="auto"/>
              </w:rPr>
            </w:pPr>
            <w:r>
              <w:rPr>
                <w:rFonts w:ascii="Arial" w:cs="Arial" w:eastAsia="Arial" w:hAnsi="Arial"/>
                <w:sz w:val="14"/>
                <w:szCs w:val="14"/>
                <w:color w:val="auto"/>
              </w:rPr>
              <w:t>Less intercompany eliminations</w:t>
            </w: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71"/>
              <w:spacing w:after="0"/>
              <w:rPr>
                <w:sz w:val="20"/>
                <w:szCs w:val="20"/>
                <w:color w:val="auto"/>
              </w:rPr>
            </w:pPr>
            <w:r>
              <w:rPr>
                <w:rFonts w:ascii="Arial" w:cs="Arial" w:eastAsia="Arial" w:hAnsi="Arial"/>
                <w:sz w:val="14"/>
                <w:szCs w:val="14"/>
                <w:color w:val="auto"/>
              </w:rPr>
              <w:t>(320)</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right"/>
              <w:ind w:right="303"/>
              <w:spacing w:after="0"/>
              <w:rPr>
                <w:sz w:val="20"/>
                <w:szCs w:val="20"/>
                <w:color w:val="auto"/>
              </w:rPr>
            </w:pPr>
            <w:r>
              <w:rPr>
                <w:rFonts w:ascii="Arial" w:cs="Arial" w:eastAsia="Arial" w:hAnsi="Arial"/>
                <w:sz w:val="14"/>
                <w:szCs w:val="14"/>
                <w:color w:val="auto"/>
              </w:rPr>
              <w:t>(603)</w:t>
            </w:r>
          </w:p>
        </w:tc>
      </w:tr>
      <w:tr>
        <w:trPr>
          <w:trHeight w:val="155"/>
        </w:trPr>
        <w:tc>
          <w:tcPr>
            <w:tcW w:w="3940" w:type="dxa"/>
            <w:vAlign w:val="bottom"/>
            <w:tcBorders>
              <w:top w:val="single" w:sz="8" w:color="CCEEFF"/>
              <w:bottom w:val="single" w:sz="8" w:color="CCEEFF"/>
            </w:tcBorders>
            <w:shd w:val="clear" w:color="auto" w:fill="CCEEFF"/>
          </w:tcPr>
          <w:p>
            <w:pPr>
              <w:ind w:left="260"/>
              <w:spacing w:after="0" w:line="155" w:lineRule="exact"/>
              <w:rPr>
                <w:sz w:val="20"/>
                <w:szCs w:val="20"/>
                <w:color w:val="auto"/>
              </w:rPr>
            </w:pPr>
            <w:r>
              <w:rPr>
                <w:rFonts w:ascii="Arial" w:cs="Arial" w:eastAsia="Arial" w:hAnsi="Arial"/>
                <w:sz w:val="14"/>
                <w:szCs w:val="14"/>
                <w:color w:val="auto"/>
              </w:rPr>
              <w:t>Total net sales</w:t>
            </w:r>
          </w:p>
        </w:tc>
        <w:tc>
          <w:tcPr>
            <w:tcW w:w="20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226,204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51"/>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274,092</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6"/>
        </w:trPr>
        <w:tc>
          <w:tcPr>
            <w:tcW w:w="39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65"/>
        </w:trPr>
        <w:tc>
          <w:tcPr>
            <w:tcW w:w="3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As a percentage of sales:</w:t>
            </w:r>
          </w:p>
        </w:tc>
        <w:tc>
          <w:tcPr>
            <w:tcW w:w="2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65"/>
        </w:trPr>
        <w:tc>
          <w:tcPr>
            <w:tcW w:w="3940" w:type="dxa"/>
            <w:vAlign w:val="bottom"/>
          </w:tcPr>
          <w:p>
            <w:pPr>
              <w:ind w:left="180"/>
              <w:spacing w:after="0"/>
              <w:rPr>
                <w:sz w:val="20"/>
                <w:szCs w:val="20"/>
                <w:color w:val="auto"/>
              </w:rPr>
            </w:pPr>
            <w:r>
              <w:rPr>
                <w:rFonts w:ascii="Arial" w:cs="Arial" w:eastAsia="Arial" w:hAnsi="Arial"/>
                <w:sz w:val="14"/>
                <w:szCs w:val="14"/>
                <w:color w:val="auto"/>
              </w:rPr>
              <w:t>Grown</w:t>
            </w: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51"/>
              <w:spacing w:after="0"/>
              <w:rPr>
                <w:sz w:val="20"/>
                <w:szCs w:val="20"/>
                <w:color w:val="auto"/>
              </w:rPr>
            </w:pPr>
            <w:r>
              <w:rPr>
                <w:rFonts w:ascii="Arial" w:cs="Arial" w:eastAsia="Arial" w:hAnsi="Arial"/>
                <w:sz w:val="14"/>
                <w:szCs w:val="14"/>
                <w:color w:val="auto"/>
              </w:rPr>
              <w:t>52.1 %</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right"/>
              <w:ind w:right="203"/>
              <w:spacing w:after="0"/>
              <w:rPr>
                <w:sz w:val="20"/>
                <w:szCs w:val="20"/>
                <w:color w:val="auto"/>
              </w:rPr>
            </w:pPr>
            <w:r>
              <w:rPr>
                <w:rFonts w:ascii="Arial" w:cs="Arial" w:eastAsia="Arial" w:hAnsi="Arial"/>
                <w:sz w:val="14"/>
                <w:szCs w:val="14"/>
                <w:color w:val="auto"/>
              </w:rPr>
              <w:t>59.2 %</w:t>
            </w:r>
          </w:p>
        </w:tc>
      </w:tr>
      <w:tr>
        <w:trPr>
          <w:trHeight w:val="165"/>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Prepared</w:t>
            </w:r>
          </w:p>
        </w:tc>
        <w:tc>
          <w:tcPr>
            <w:tcW w:w="2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47.9 %</w:t>
            </w: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3"/>
              <w:spacing w:after="0"/>
              <w:rPr>
                <w:sz w:val="20"/>
                <w:szCs w:val="20"/>
                <w:color w:val="auto"/>
              </w:rPr>
            </w:pPr>
            <w:r>
              <w:rPr>
                <w:rFonts w:ascii="Arial" w:cs="Arial" w:eastAsia="Arial" w:hAnsi="Arial"/>
                <w:sz w:val="14"/>
                <w:szCs w:val="14"/>
                <w:color w:val="auto"/>
              </w:rPr>
              <w:t>40.8 %</w:t>
            </w:r>
          </w:p>
        </w:tc>
      </w:tr>
      <w:tr>
        <w:trPr>
          <w:trHeight w:val="155"/>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40" w:type="dxa"/>
            <w:vAlign w:val="bottom"/>
          </w:tcPr>
          <w:p>
            <w:pPr>
              <w:jc w:val="right"/>
              <w:ind w:right="51"/>
              <w:spacing w:after="0" w:line="155" w:lineRule="exact"/>
              <w:rPr>
                <w:sz w:val="20"/>
                <w:szCs w:val="20"/>
                <w:color w:val="auto"/>
              </w:rPr>
            </w:pPr>
            <w:r>
              <w:rPr>
                <w:rFonts w:ascii="Arial" w:cs="Arial" w:eastAsia="Arial" w:hAnsi="Arial"/>
                <w:sz w:val="14"/>
                <w:szCs w:val="14"/>
                <w:color w:val="auto"/>
                <w:w w:val="79"/>
              </w:rPr>
              <w: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60" w:type="dxa"/>
            <w:vAlign w:val="bottom"/>
          </w:tcPr>
          <w:p>
            <w:pPr>
              <w:jc w:val="right"/>
              <w:ind w:right="203"/>
              <w:spacing w:after="0"/>
              <w:rPr>
                <w:sz w:val="20"/>
                <w:szCs w:val="20"/>
                <w:color w:val="auto"/>
              </w:rPr>
            </w:pPr>
            <w:r>
              <w:rPr>
                <w:rFonts w:ascii="Arial" w:cs="Arial" w:eastAsia="Arial" w:hAnsi="Arial"/>
                <w:sz w:val="11"/>
                <w:szCs w:val="11"/>
                <w:color w:val="auto"/>
                <w:w w:val="81"/>
              </w:rPr>
              <w:t>%</w:t>
            </w: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Results of Operations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Summary</w:t>
      </w:r>
    </w:p>
    <w:p>
      <w:pPr>
        <w:spacing w:after="0" w:line="169" w:lineRule="exact"/>
        <w:rPr>
          <w:sz w:val="20"/>
          <w:szCs w:val="20"/>
          <w:color w:val="auto"/>
        </w:rPr>
      </w:pPr>
    </w:p>
    <w:p>
      <w:pPr>
        <w:jc w:val="both"/>
        <w:ind w:left="20" w:right="299" w:firstLine="198"/>
        <w:spacing w:after="0" w:line="265" w:lineRule="auto"/>
        <w:rPr>
          <w:sz w:val="20"/>
          <w:szCs w:val="20"/>
          <w:color w:val="auto"/>
        </w:rPr>
      </w:pPr>
      <w:r>
        <w:rPr>
          <w:rFonts w:ascii="Arial" w:cs="Arial" w:eastAsia="Arial" w:hAnsi="Arial"/>
          <w:sz w:val="14"/>
          <w:szCs w:val="14"/>
          <w:color w:val="auto"/>
        </w:rPr>
        <w:t>Net sales for the three months ended January 31, 2023, compared to the corresponding period in fiscal 2022, decreased by $47.9 million, or approximately 17%. This decrease was across both segments.</w:t>
      </w:r>
    </w:p>
    <w:p>
      <w:pPr>
        <w:spacing w:after="0" w:line="139" w:lineRule="exact"/>
        <w:rPr>
          <w:sz w:val="20"/>
          <w:szCs w:val="20"/>
          <w:color w:val="auto"/>
        </w:rPr>
      </w:pPr>
    </w:p>
    <w:p>
      <w:pPr>
        <w:ind w:left="20" w:right="379" w:firstLine="198"/>
        <w:spacing w:after="0" w:line="265" w:lineRule="auto"/>
        <w:rPr>
          <w:sz w:val="20"/>
          <w:szCs w:val="20"/>
          <w:color w:val="auto"/>
        </w:rPr>
      </w:pPr>
      <w:r>
        <w:rPr>
          <w:rFonts w:ascii="Arial" w:cs="Arial" w:eastAsia="Arial" w:hAnsi="Arial"/>
          <w:sz w:val="14"/>
          <w:szCs w:val="14"/>
          <w:color w:val="auto"/>
        </w:rPr>
        <w:t>For the three months ended January 31, 2023, the decrease in Grown product sales was primarily due to a decrease in price per unit of avocados offset by higher sales volume due to higher volumes of available fruit. For the three months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3" w:name="page24"/>
    <w:bookmarkEnd w:id="23"/>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579"/>
        <w:spacing w:after="0" w:line="265" w:lineRule="auto"/>
        <w:rPr>
          <w:sz w:val="20"/>
          <w:szCs w:val="20"/>
          <w:color w:val="auto"/>
        </w:rPr>
      </w:pPr>
      <w:r>
        <w:rPr>
          <w:rFonts w:ascii="Arial" w:cs="Arial" w:eastAsia="Arial" w:hAnsi="Arial"/>
          <w:sz w:val="14"/>
          <w:szCs w:val="14"/>
          <w:color w:val="auto"/>
        </w:rPr>
        <w:t>ended January 31, 2023, the decrease in Prepared product sales was due primarily to decreased sales volume from fresh-cut fruit products and guacamole products.</w:t>
      </w:r>
    </w:p>
    <w:p>
      <w:pPr>
        <w:spacing w:after="0" w:line="139" w:lineRule="exact"/>
        <w:rPr>
          <w:sz w:val="20"/>
          <w:szCs w:val="20"/>
          <w:color w:val="auto"/>
        </w:rPr>
      </w:pPr>
    </w:p>
    <w:p>
      <w:pPr>
        <w:ind w:left="20" w:right="159" w:firstLine="198"/>
        <w:spacing w:after="0" w:line="265" w:lineRule="auto"/>
        <w:rPr>
          <w:sz w:val="20"/>
          <w:szCs w:val="20"/>
          <w:color w:val="auto"/>
        </w:rPr>
      </w:pPr>
      <w:r>
        <w:rPr>
          <w:rFonts w:ascii="Arial" w:cs="Arial" w:eastAsia="Arial" w:hAnsi="Arial"/>
          <w:sz w:val="14"/>
          <w:szCs w:val="14"/>
          <w:color w:val="auto"/>
        </w:rPr>
        <w:t>Our Grown and Prepared segments of our business are subject to seasonal trends which can impact the volume and/or quality of raw materials sourced in any particular quarter.</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Grown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First Quarter 2023 vs. First Quarter 2022</w:t>
      </w:r>
    </w:p>
    <w:p>
      <w:pPr>
        <w:spacing w:after="0" w:line="169" w:lineRule="exact"/>
        <w:rPr>
          <w:sz w:val="20"/>
          <w:szCs w:val="20"/>
          <w:color w:val="auto"/>
        </w:rPr>
      </w:pPr>
    </w:p>
    <w:p>
      <w:pPr>
        <w:ind w:left="20" w:right="179" w:firstLine="198"/>
        <w:spacing w:after="0" w:line="252" w:lineRule="auto"/>
        <w:rPr>
          <w:sz w:val="20"/>
          <w:szCs w:val="20"/>
          <w:color w:val="auto"/>
        </w:rPr>
      </w:pPr>
      <w:r>
        <w:rPr>
          <w:rFonts w:ascii="Arial" w:cs="Arial" w:eastAsia="Arial" w:hAnsi="Arial"/>
          <w:sz w:val="14"/>
          <w:szCs w:val="14"/>
          <w:color w:val="auto"/>
        </w:rPr>
        <w:t>Net sales for the Grown products business decreased by approximately $44.5 million, or 27%, for the first quarter of fiscal 2023 compared to the corresponding period in fiscal 2022. The decrease in Grown product sales during the first quarter of fiscal 2023 was primarily related to lower sales prices of avocados due to higher overall supply of avocados in the marketplace. Partially offsetting this decrease, tomato sales increased due to an increase in sales prices per carton, due to lower supply of tomatoes in the marketplace.</w:t>
      </w:r>
    </w:p>
    <w:p>
      <w:pPr>
        <w:spacing w:after="0" w:line="148" w:lineRule="exact"/>
        <w:rPr>
          <w:sz w:val="20"/>
          <w:szCs w:val="20"/>
          <w:color w:val="auto"/>
        </w:rPr>
      </w:pPr>
    </w:p>
    <w:p>
      <w:pPr>
        <w:jc w:val="both"/>
        <w:ind w:left="20" w:right="59" w:firstLine="198"/>
        <w:spacing w:after="0" w:line="284" w:lineRule="auto"/>
        <w:rPr>
          <w:sz w:val="20"/>
          <w:szCs w:val="20"/>
          <w:color w:val="auto"/>
        </w:rPr>
      </w:pPr>
      <w:r>
        <w:rPr>
          <w:rFonts w:ascii="Arial" w:cs="Arial" w:eastAsia="Arial" w:hAnsi="Arial"/>
          <w:sz w:val="13"/>
          <w:szCs w:val="13"/>
          <w:color w:val="auto"/>
        </w:rPr>
        <w:t>Sales of avocados decreased $48.4 million, or 32%, for the first quarter of 2023 compared to the prior year period. The average avocado sales price per carton decreased 35% compared to the prior year period. The decrease in the sales price per carton was mainly due to an industry-wide increase in supply of avocados in the marketplace. The volume of avocados sold in the first quarter of 2023 increased 3% compared to the prior year period.</w:t>
      </w:r>
    </w:p>
    <w:p>
      <w:pPr>
        <w:spacing w:after="0" w:line="129" w:lineRule="exact"/>
        <w:rPr>
          <w:sz w:val="20"/>
          <w:szCs w:val="20"/>
          <w:color w:val="auto"/>
        </w:rPr>
      </w:pPr>
    </w:p>
    <w:p>
      <w:pPr>
        <w:ind w:left="20" w:right="379" w:firstLine="198"/>
        <w:spacing w:after="0" w:line="265" w:lineRule="auto"/>
        <w:rPr>
          <w:sz w:val="20"/>
          <w:szCs w:val="20"/>
          <w:color w:val="auto"/>
        </w:rPr>
      </w:pPr>
      <w:r>
        <w:rPr>
          <w:rFonts w:ascii="Arial" w:cs="Arial" w:eastAsia="Arial" w:hAnsi="Arial"/>
          <w:sz w:val="14"/>
          <w:szCs w:val="14"/>
          <w:color w:val="auto"/>
        </w:rPr>
        <w:t>Sales of tomatoes increased $3.6 million, or 36%, for the first quarter of 2023, when compared to the prior year period. The increase in tomato sales was primarily due to a 33% increase in the sales price per carton, due to lower supply of tomatoes in the marketplace.</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Prepared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First Quarter 2023 vs. First Quarter 2022</w:t>
      </w:r>
    </w:p>
    <w:p>
      <w:pPr>
        <w:spacing w:after="0" w:line="169" w:lineRule="exact"/>
        <w:rPr>
          <w:sz w:val="20"/>
          <w:szCs w:val="20"/>
          <w:color w:val="auto"/>
        </w:rPr>
      </w:pPr>
    </w:p>
    <w:p>
      <w:pPr>
        <w:ind w:left="20" w:right="99" w:firstLine="198"/>
        <w:spacing w:after="0" w:line="255" w:lineRule="auto"/>
        <w:rPr>
          <w:sz w:val="20"/>
          <w:szCs w:val="20"/>
          <w:color w:val="auto"/>
        </w:rPr>
      </w:pPr>
      <w:r>
        <w:rPr>
          <w:rFonts w:ascii="Arial" w:cs="Arial" w:eastAsia="Arial" w:hAnsi="Arial"/>
          <w:sz w:val="14"/>
          <w:szCs w:val="14"/>
          <w:color w:val="auto"/>
        </w:rPr>
        <w:t>Net sales for the Prepared products business decreased by approximately $3.7 million, or 3%, for the three months ended January 31, 2023 compared to the corresponding period in fiscal 2022. This decrease in Prepared product sales during the three months ended January 31, 2023 was primarily related to lower sales volume of fresh-cut fruit &amp; vegetables, prepared foods and guacamole products.</w:t>
      </w:r>
    </w:p>
    <w:p>
      <w:pPr>
        <w:spacing w:after="0" w:line="146" w:lineRule="exact"/>
        <w:rPr>
          <w:sz w:val="20"/>
          <w:szCs w:val="20"/>
          <w:color w:val="auto"/>
        </w:rPr>
      </w:pPr>
    </w:p>
    <w:p>
      <w:pPr>
        <w:ind w:left="20" w:right="259" w:firstLine="198"/>
        <w:spacing w:after="0" w:line="252" w:lineRule="auto"/>
        <w:rPr>
          <w:sz w:val="20"/>
          <w:szCs w:val="20"/>
          <w:color w:val="auto"/>
        </w:rPr>
      </w:pPr>
      <w:r>
        <w:rPr>
          <w:rFonts w:ascii="Arial" w:cs="Arial" w:eastAsia="Arial" w:hAnsi="Arial"/>
          <w:sz w:val="14"/>
          <w:szCs w:val="14"/>
          <w:color w:val="auto"/>
        </w:rPr>
        <w:t>Net sales for fresh-cut products decreased $1.8 million, or 2%, for the quarter ended January 31, 2022 compared to the corresponding period in fiscal 2022. This decrease was primarily driven by lower sales volume of 12%, partially offset by an increase of 11% of sales prices. Net sales for guacamole products decreased $2.0 million, or 12%, for the quarter ended January 31, 2023 compared to the corresponding period in fiscal 2022, primarily due to a decrease in the total volume of pounds sold.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4" w:name="page25"/>
    <w:bookmarkEnd w:id="24"/>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Gross Profit</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following table summarizes our gross profit and gross profit percentages by business segment for the three months ended January 31, 2023 and 2022:</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7"/>
          </w:tcPr>
          <w:p>
            <w:pPr>
              <w:ind w:left="280"/>
              <w:spacing w:after="0"/>
              <w:rPr>
                <w:sz w:val="20"/>
                <w:szCs w:val="20"/>
                <w:color w:val="auto"/>
              </w:rPr>
            </w:pPr>
            <w:r>
              <w:rPr>
                <w:rFonts w:ascii="Arial" w:cs="Arial" w:eastAsia="Arial" w:hAnsi="Arial"/>
                <w:sz w:val="11"/>
                <w:szCs w:val="11"/>
                <w:b w:val="1"/>
                <w:bCs w:val="1"/>
                <w:color w:val="auto"/>
              </w:rPr>
              <w:t>Three months ended January 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77"/>
              <w:spacing w:after="0" w:line="104" w:lineRule="exact"/>
              <w:rPr>
                <w:sz w:val="20"/>
                <w:szCs w:val="20"/>
                <w:color w:val="auto"/>
              </w:rPr>
            </w:pPr>
            <w:r>
              <w:rPr>
                <w:rFonts w:ascii="Arial" w:cs="Arial" w:eastAsia="Arial" w:hAnsi="Arial"/>
                <w:sz w:val="11"/>
                <w:szCs w:val="11"/>
                <w:b w:val="1"/>
                <w:bCs w:val="1"/>
                <w:color w:val="auto"/>
              </w:rPr>
              <w:t>2023</w:t>
            </w:r>
          </w:p>
        </w:tc>
        <w:tc>
          <w:tcPr>
            <w:tcW w:w="2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right"/>
              <w:ind w:right="300"/>
              <w:spacing w:after="0" w:line="104" w:lineRule="exact"/>
              <w:rPr>
                <w:sz w:val="20"/>
                <w:szCs w:val="20"/>
                <w:color w:val="auto"/>
              </w:rPr>
            </w:pPr>
            <w:r>
              <w:rPr>
                <w:rFonts w:ascii="Arial" w:cs="Arial" w:eastAsia="Arial" w:hAnsi="Arial"/>
                <w:sz w:val="11"/>
                <w:szCs w:val="11"/>
                <w:b w:val="1"/>
                <w:bCs w:val="1"/>
                <w:color w:val="auto"/>
              </w:rPr>
              <w:t>Change</w:t>
            </w: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75"/>
              <w:spacing w:after="0" w:line="104" w:lineRule="exact"/>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Gross profit (loss):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00" w:type="dxa"/>
            <w:vAlign w:val="bottom"/>
          </w:tcPr>
          <w:p>
            <w:pPr>
              <w:ind w:left="160"/>
              <w:spacing w:after="0"/>
              <w:rPr>
                <w:sz w:val="20"/>
                <w:szCs w:val="20"/>
                <w:color w:val="auto"/>
              </w:rPr>
            </w:pPr>
            <w:r>
              <w:rPr>
                <w:rFonts w:ascii="Arial" w:cs="Arial" w:eastAsia="Arial" w:hAnsi="Arial"/>
                <w:sz w:val="14"/>
                <w:szCs w:val="14"/>
                <w:color w:val="auto"/>
              </w:rPr>
              <w:t>Grown</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9,481</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(19)%</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11,666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Prepared</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217 %</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00" w:type="dxa"/>
            <w:vAlign w:val="bottom"/>
            <w:tcBorders>
              <w:bottom w:val="single" w:sz="8" w:color="CCEEFF"/>
            </w:tcBorders>
          </w:tcPr>
          <w:p>
            <w:pPr>
              <w:ind w:left="240"/>
              <w:spacing w:after="0" w:line="155" w:lineRule="exact"/>
              <w:rPr>
                <w:sz w:val="20"/>
                <w:szCs w:val="20"/>
                <w:color w:val="auto"/>
              </w:rPr>
            </w:pPr>
            <w:r>
              <w:rPr>
                <w:rFonts w:ascii="Arial" w:cs="Arial" w:eastAsia="Arial" w:hAnsi="Arial"/>
                <w:sz w:val="14"/>
                <w:szCs w:val="14"/>
                <w:color w:val="auto"/>
              </w:rPr>
              <w:t>Total gross profit</w:t>
            </w:r>
          </w:p>
        </w:tc>
        <w:tc>
          <w:tcPr>
            <w:tcW w:w="1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14,432</w:t>
            </w:r>
          </w:p>
        </w:tc>
        <w:tc>
          <w:tcPr>
            <w:tcW w:w="980" w:type="dxa"/>
            <w:vAlign w:val="bottom"/>
            <w:tcBorders>
              <w:bottom w:val="single" w:sz="8" w:color="CCEEFF"/>
            </w:tcBorders>
            <w:gridSpan w:val="3"/>
          </w:tcPr>
          <w:p>
            <w:pPr>
              <w:jc w:val="right"/>
              <w:ind w:right="120"/>
              <w:spacing w:after="0" w:line="155" w:lineRule="exact"/>
              <w:rPr>
                <w:sz w:val="20"/>
                <w:szCs w:val="20"/>
                <w:color w:val="auto"/>
              </w:rPr>
            </w:pPr>
            <w:r>
              <w:rPr>
                <w:rFonts w:ascii="Arial" w:cs="Arial" w:eastAsia="Arial" w:hAnsi="Arial"/>
                <w:sz w:val="14"/>
                <w:szCs w:val="14"/>
                <w:color w:val="auto"/>
              </w:rPr>
              <w:t>9 %</w:t>
            </w:r>
          </w:p>
        </w:tc>
        <w:tc>
          <w:tcPr>
            <w:tcW w:w="1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13,228</w:t>
            </w:r>
          </w:p>
        </w:tc>
        <w:tc>
          <w:tcPr>
            <w:tcW w:w="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4220" w:type="dxa"/>
            <w:vAlign w:val="bottom"/>
          </w:tcPr>
          <w:p>
            <w:pPr>
              <w:ind w:left="80"/>
              <w:spacing w:after="0"/>
              <w:rPr>
                <w:sz w:val="20"/>
                <w:szCs w:val="20"/>
                <w:color w:val="auto"/>
              </w:rPr>
            </w:pPr>
            <w:r>
              <w:rPr>
                <w:rFonts w:ascii="Arial" w:cs="Arial" w:eastAsia="Arial" w:hAnsi="Arial"/>
                <w:sz w:val="14"/>
                <w:szCs w:val="14"/>
                <w:color w:val="auto"/>
              </w:rPr>
              <w:t>Gross profit (loss) percentages:</w:t>
            </w:r>
          </w:p>
        </w:tc>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5"/>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Grown</w:t>
            </w:r>
          </w:p>
        </w:tc>
        <w:tc>
          <w:tcPr>
            <w:tcW w:w="342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8.0 %</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7.2 %</w:t>
            </w:r>
          </w:p>
        </w:tc>
      </w:tr>
      <w:tr>
        <w:trPr>
          <w:trHeight w:val="165"/>
        </w:trPr>
        <w:tc>
          <w:tcPr>
            <w:tcW w:w="4220" w:type="dxa"/>
            <w:vAlign w:val="bottom"/>
          </w:tcPr>
          <w:p>
            <w:pPr>
              <w:ind w:left="180"/>
              <w:spacing w:after="0"/>
              <w:rPr>
                <w:sz w:val="20"/>
                <w:szCs w:val="20"/>
                <w:color w:val="auto"/>
              </w:rPr>
            </w:pPr>
            <w:r>
              <w:rPr>
                <w:rFonts w:ascii="Arial" w:cs="Arial" w:eastAsia="Arial" w:hAnsi="Arial"/>
                <w:sz w:val="14"/>
                <w:szCs w:val="14"/>
                <w:color w:val="auto"/>
              </w:rPr>
              <w:t>Prepared</w:t>
            </w:r>
          </w:p>
        </w:tc>
        <w:tc>
          <w:tcPr>
            <w:tcW w:w="3420" w:type="dxa"/>
            <w:vAlign w:val="bottom"/>
          </w:tcPr>
          <w:p>
            <w:pPr>
              <w:jc w:val="right"/>
              <w:ind w:right="611"/>
              <w:spacing w:after="0"/>
              <w:rPr>
                <w:sz w:val="20"/>
                <w:szCs w:val="20"/>
                <w:color w:val="auto"/>
              </w:rPr>
            </w:pPr>
            <w:r>
              <w:rPr>
                <w:rFonts w:ascii="Arial" w:cs="Arial" w:eastAsia="Arial" w:hAnsi="Arial"/>
                <w:sz w:val="14"/>
                <w:szCs w:val="14"/>
                <w:color w:val="auto"/>
              </w:rPr>
              <w:t>4.6 %</w:t>
            </w:r>
          </w:p>
        </w:tc>
        <w:tc>
          <w:tcPr>
            <w:tcW w:w="1320" w:type="dxa"/>
            <w:vAlign w:val="bottom"/>
          </w:tcPr>
          <w:p>
            <w:pPr>
              <w:jc w:val="right"/>
              <w:ind w:right="231"/>
              <w:spacing w:after="0"/>
              <w:rPr>
                <w:sz w:val="20"/>
                <w:szCs w:val="20"/>
                <w:color w:val="auto"/>
              </w:rPr>
            </w:pPr>
            <w:r>
              <w:rPr>
                <w:rFonts w:ascii="Arial" w:cs="Arial" w:eastAsia="Arial" w:hAnsi="Arial"/>
                <w:sz w:val="14"/>
                <w:szCs w:val="14"/>
                <w:color w:val="auto"/>
              </w:rPr>
              <w:t>1.4 %</w:t>
            </w:r>
          </w:p>
        </w:tc>
      </w:tr>
      <w:tr>
        <w:trPr>
          <w:trHeight w:val="165"/>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Consolidated</w:t>
            </w:r>
          </w:p>
        </w:tc>
        <w:tc>
          <w:tcPr>
            <w:tcW w:w="342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6.4 %</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4.8 %</w:t>
            </w: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Summary</w:t>
      </w:r>
    </w:p>
    <w:p>
      <w:pPr>
        <w:spacing w:after="0" w:line="169" w:lineRule="exact"/>
        <w:rPr>
          <w:sz w:val="20"/>
          <w:szCs w:val="20"/>
          <w:color w:val="auto"/>
        </w:rPr>
      </w:pPr>
    </w:p>
    <w:p>
      <w:pPr>
        <w:jc w:val="both"/>
        <w:ind w:left="20" w:right="39" w:firstLine="198"/>
        <w:spacing w:after="0" w:line="403" w:lineRule="auto"/>
        <w:rPr>
          <w:sz w:val="20"/>
          <w:szCs w:val="20"/>
          <w:color w:val="auto"/>
        </w:rPr>
      </w:pPr>
      <w:r>
        <w:rPr>
          <w:rFonts w:ascii="Arial" w:cs="Arial" w:eastAsia="Arial" w:hAnsi="Arial"/>
          <w:sz w:val="11"/>
          <w:szCs w:val="11"/>
          <w:color w:val="auto"/>
        </w:rPr>
        <w:t>Our cost of goods sold consists predominantly of ingredient costs (fruit, vegetables and other food products), packing materials, freight and handling, labor and overhead (including depreciation) associated with packing, distributing and/or preparing food products, and other direct expenses pertaining to products sold.</w:t>
      </w:r>
    </w:p>
    <w:p>
      <w:pPr>
        <w:spacing w:after="0" w:line="70" w:lineRule="exact"/>
        <w:rPr>
          <w:sz w:val="20"/>
          <w:szCs w:val="20"/>
          <w:color w:val="auto"/>
        </w:rPr>
      </w:pPr>
    </w:p>
    <w:p>
      <w:pPr>
        <w:ind w:left="20" w:right="399" w:firstLine="198"/>
        <w:spacing w:after="0" w:line="403" w:lineRule="auto"/>
        <w:rPr>
          <w:sz w:val="20"/>
          <w:szCs w:val="20"/>
          <w:color w:val="auto"/>
        </w:rPr>
      </w:pPr>
      <w:r>
        <w:rPr>
          <w:rFonts w:ascii="Arial" w:cs="Arial" w:eastAsia="Arial" w:hAnsi="Arial"/>
          <w:sz w:val="11"/>
          <w:szCs w:val="11"/>
          <w:color w:val="auto"/>
        </w:rPr>
        <w:t>Gross profit increased by approximately $1.2 million, or 9%, for the first quarter of fiscal 2023 compared to the corresponding period in fiscal 2022. The increase was primarily attributable to a gross profit increase in the Prepared segment, partially offset, by a gross profit decrease in the Grown segment.</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Grown products</w:t>
      </w:r>
    </w:p>
    <w:p>
      <w:pPr>
        <w:spacing w:after="0" w:line="169" w:lineRule="exact"/>
        <w:rPr>
          <w:sz w:val="20"/>
          <w:szCs w:val="20"/>
          <w:color w:val="auto"/>
        </w:rPr>
      </w:pPr>
    </w:p>
    <w:p>
      <w:pPr>
        <w:ind w:left="20" w:right="139" w:firstLine="198"/>
        <w:spacing w:after="0" w:line="250" w:lineRule="auto"/>
        <w:rPr>
          <w:sz w:val="20"/>
          <w:szCs w:val="20"/>
          <w:color w:val="auto"/>
        </w:rPr>
      </w:pPr>
      <w:r>
        <w:rPr>
          <w:rFonts w:ascii="Arial" w:cs="Arial" w:eastAsia="Arial" w:hAnsi="Arial"/>
          <w:sz w:val="14"/>
          <w:szCs w:val="14"/>
          <w:color w:val="auto"/>
        </w:rPr>
        <w:t>The decrease in our Grown products gross profit for the quarter ended January 31, 2023 was the result of decreased gross profit for avocados, partially offset, by a gross profit increase in tomatoes. Overall gross profit decreased for avocados as did gross profit per carton, while the overall gross profit percentage increased. For the first quarter of fiscal 2023, the gross profit percentage for avocados was 7.9% compared to 7.1% for the first quarter of 2022. The increase in gross profit percentage was largely a formulaic result as the decrease in sales prices for avocados was proportionately greater than the decrease in gross profit per case.</w:t>
      </w:r>
    </w:p>
    <w:p>
      <w:pPr>
        <w:spacing w:after="0" w:line="151" w:lineRule="exact"/>
        <w:rPr>
          <w:sz w:val="20"/>
          <w:szCs w:val="20"/>
          <w:color w:val="auto"/>
        </w:rPr>
      </w:pPr>
    </w:p>
    <w:p>
      <w:pPr>
        <w:jc w:val="both"/>
        <w:ind w:left="20" w:right="379" w:firstLine="198"/>
        <w:spacing w:after="0" w:line="255" w:lineRule="auto"/>
        <w:rPr>
          <w:sz w:val="20"/>
          <w:szCs w:val="20"/>
          <w:color w:val="auto"/>
        </w:rPr>
      </w:pPr>
      <w:r>
        <w:rPr>
          <w:rFonts w:ascii="Arial" w:cs="Arial" w:eastAsia="Arial" w:hAnsi="Arial"/>
          <w:sz w:val="14"/>
          <w:szCs w:val="14"/>
          <w:color w:val="auto"/>
        </w:rPr>
        <w:t>Gross profit for the quarter was also affected by the strengthening of the U.S. dollar in relation to the Mexican peso during the quarter, resulting in a $1.3 million net gain related the remeasurement of peso-dominated net assets at our Mexican subsidiaries. This is in comparison to a remeasurement loss of $0.6 million for the same period last year.</w:t>
      </w:r>
    </w:p>
    <w:p>
      <w:pPr>
        <w:spacing w:after="0" w:line="146" w:lineRule="exact"/>
        <w:rPr>
          <w:sz w:val="20"/>
          <w:szCs w:val="20"/>
          <w:color w:val="auto"/>
        </w:rPr>
      </w:pPr>
    </w:p>
    <w:p>
      <w:pPr>
        <w:ind w:left="20" w:right="59" w:firstLine="198"/>
        <w:spacing w:after="0" w:line="265" w:lineRule="auto"/>
        <w:rPr>
          <w:sz w:val="20"/>
          <w:szCs w:val="20"/>
          <w:color w:val="auto"/>
        </w:rPr>
      </w:pPr>
      <w:r>
        <w:rPr>
          <w:rFonts w:ascii="Arial" w:cs="Arial" w:eastAsia="Arial" w:hAnsi="Arial"/>
          <w:sz w:val="14"/>
          <w:szCs w:val="14"/>
          <w:color w:val="auto"/>
        </w:rPr>
        <w:t>Note that any additional significant fluctuations in the exchange rate between the U.S. dollar and the Mexican peso may have a material impact on future gross profits for our Grown products segment.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Prepared products</w:t>
      </w:r>
    </w:p>
    <w:p>
      <w:pPr>
        <w:spacing w:after="0" w:line="169" w:lineRule="exact"/>
        <w:rPr>
          <w:sz w:val="20"/>
          <w:szCs w:val="20"/>
          <w:color w:val="auto"/>
        </w:rPr>
      </w:pPr>
    </w:p>
    <w:p>
      <w:pPr>
        <w:ind w:left="20" w:right="279" w:firstLine="198"/>
        <w:spacing w:after="0" w:line="265" w:lineRule="auto"/>
        <w:rPr>
          <w:sz w:val="20"/>
          <w:szCs w:val="20"/>
          <w:color w:val="auto"/>
        </w:rPr>
      </w:pPr>
      <w:r>
        <w:rPr>
          <w:rFonts w:ascii="Arial" w:cs="Arial" w:eastAsia="Arial" w:hAnsi="Arial"/>
          <w:sz w:val="14"/>
          <w:szCs w:val="14"/>
          <w:color w:val="auto"/>
        </w:rPr>
        <w:t>The increase in our Prepared products gross profit for the three months ended January 31, 2023 was the result of increased gross profit for fresh-cut fruit &amp; vegetables, prepared foods and guacamole products.</w:t>
      </w:r>
    </w:p>
    <w:p>
      <w:pPr>
        <w:spacing w:after="0" w:line="139" w:lineRule="exact"/>
        <w:rPr>
          <w:sz w:val="20"/>
          <w:szCs w:val="20"/>
          <w:color w:val="auto"/>
        </w:rPr>
      </w:pPr>
    </w:p>
    <w:p>
      <w:pPr>
        <w:ind w:left="20" w:right="79" w:firstLine="198"/>
        <w:spacing w:after="0" w:line="255" w:lineRule="auto"/>
        <w:rPr>
          <w:sz w:val="20"/>
          <w:szCs w:val="20"/>
          <w:color w:val="auto"/>
        </w:rPr>
      </w:pPr>
      <w:r>
        <w:rPr>
          <w:rFonts w:ascii="Arial" w:cs="Arial" w:eastAsia="Arial" w:hAnsi="Arial"/>
          <w:sz w:val="14"/>
          <w:szCs w:val="14"/>
          <w:color w:val="auto"/>
        </w:rPr>
        <w:t>Fresh-cut fruit &amp; vegetables and prepared foods products gross profit percentage for the three months ended January 31, 2023 was 1.4%, compared to a loss of (0.7)% for the same prior year period. The increases in gross profit for the three months ended January 31, 2023 were mainly due to increased sales prices, a reduction in distribution expenses, and labor productivity.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239" w:firstLine="198"/>
        <w:spacing w:after="0" w:line="252" w:lineRule="auto"/>
        <w:rPr>
          <w:sz w:val="20"/>
          <w:szCs w:val="20"/>
          <w:color w:val="auto"/>
        </w:rPr>
      </w:pPr>
      <w:r>
        <w:rPr>
          <w:rFonts w:ascii="Arial" w:cs="Arial" w:eastAsia="Arial" w:hAnsi="Arial"/>
          <w:sz w:val="14"/>
          <w:szCs w:val="14"/>
          <w:color w:val="auto"/>
        </w:rPr>
        <w:t>Guacamole products gross profit percentage for the three months ended January 31, 2023 was 25.9%, compared to a gross profit of 14.4% for the prior year period. The increase in guacamole products gross profit was due primarily to lower raw product fruit costs and lower manufacturing costs. Any significant fluctuation in the cost of fruit used in the production process or the exchange rate between the U.S. dollar and the Mexican peso may have a material impact on future gross profit for our Prepared segment.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7"/>
          </w:tcPr>
          <w:p>
            <w:pPr>
              <w:jc w:val="center"/>
              <w:ind w:left="300"/>
              <w:spacing w:after="0"/>
              <w:rPr>
                <w:sz w:val="20"/>
                <w:szCs w:val="20"/>
                <w:color w:val="auto"/>
              </w:rPr>
            </w:pPr>
            <w:r>
              <w:rPr>
                <w:rFonts w:ascii="Arial" w:cs="Arial" w:eastAsia="Arial" w:hAnsi="Arial"/>
                <w:sz w:val="11"/>
                <w:szCs w:val="11"/>
                <w:b w:val="1"/>
                <w:bCs w:val="1"/>
                <w:color w:val="auto"/>
                <w:w w:val="90"/>
              </w:rPr>
              <w:t>Three months ended January 31,</w:t>
            </w: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r>
        <w:trPr>
          <w:trHeight w:val="94"/>
        </w:trPr>
        <w:tc>
          <w:tcPr>
            <w:tcW w:w="5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ind w:right="200"/>
              <w:spacing w:after="0" w:line="87" w:lineRule="exact"/>
              <w:rPr>
                <w:sz w:val="20"/>
                <w:szCs w:val="20"/>
                <w:color w:val="auto"/>
              </w:rPr>
            </w:pPr>
            <w:r>
              <w:rPr>
                <w:rFonts w:ascii="Arial" w:cs="Arial" w:eastAsia="Arial" w:hAnsi="Arial"/>
                <w:sz w:val="10"/>
                <w:szCs w:val="10"/>
                <w:b w:val="1"/>
                <w:bCs w:val="1"/>
                <w:color w:val="auto"/>
              </w:rPr>
              <w:t>2023</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202"/>
              <w:spacing w:after="0" w:line="87" w:lineRule="exact"/>
              <w:rPr>
                <w:sz w:val="20"/>
                <w:szCs w:val="20"/>
                <w:color w:val="auto"/>
              </w:rPr>
            </w:pPr>
            <w:r>
              <w:rPr>
                <w:rFonts w:ascii="Arial" w:cs="Arial" w:eastAsia="Arial" w:hAnsi="Arial"/>
                <w:sz w:val="10"/>
                <w:szCs w:val="10"/>
                <w:b w:val="1"/>
                <w:bCs w:val="1"/>
                <w:color w:val="auto"/>
                <w:w w:val="98"/>
              </w:rPr>
              <w:t>Change</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jc w:val="right"/>
              <w:ind w:right="218"/>
              <w:spacing w:after="0" w:line="87" w:lineRule="exact"/>
              <w:rPr>
                <w:sz w:val="20"/>
                <w:szCs w:val="20"/>
                <w:color w:val="auto"/>
              </w:rPr>
            </w:pPr>
            <w:r>
              <w:rPr>
                <w:rFonts w:ascii="Arial" w:cs="Arial" w:eastAsia="Arial" w:hAnsi="Arial"/>
                <w:sz w:val="10"/>
                <w:szCs w:val="10"/>
                <w:b w:val="1"/>
                <w:bCs w:val="1"/>
                <w:color w:val="auto"/>
              </w:rPr>
              <w:t>2022</w:t>
            </w:r>
          </w:p>
        </w:tc>
        <w:tc>
          <w:tcPr>
            <w:tcW w:w="580" w:type="dxa"/>
            <w:vAlign w:val="bottom"/>
          </w:tcPr>
          <w:p>
            <w:pPr>
              <w:spacing w:after="0"/>
              <w:rPr>
                <w:sz w:val="8"/>
                <w:szCs w:val="8"/>
                <w:color w:val="auto"/>
              </w:rPr>
            </w:pPr>
          </w:p>
        </w:tc>
      </w:tr>
      <w:tr>
        <w:trPr>
          <w:trHeight w:val="103"/>
        </w:trPr>
        <w:tc>
          <w:tcPr>
            <w:tcW w:w="56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(Dollars in</w:t>
            </w:r>
          </w:p>
        </w:tc>
        <w:tc>
          <w:tcPr>
            <w:tcW w:w="340" w:type="dxa"/>
            <w:vAlign w:val="bottom"/>
            <w:gridSpan w:val="2"/>
          </w:tcPr>
          <w:p>
            <w:pPr>
              <w:spacing w:after="0"/>
              <w:rPr>
                <w:sz w:val="20"/>
                <w:szCs w:val="20"/>
                <w:color w:val="auto"/>
              </w:rPr>
            </w:pPr>
            <w:r>
              <w:rPr>
                <w:rFonts w:ascii="Arial" w:cs="Arial" w:eastAsia="Arial" w:hAnsi="Arial"/>
                <w:sz w:val="8"/>
                <w:szCs w:val="8"/>
                <w:b w:val="1"/>
                <w:bCs w:val="1"/>
                <w:color w:val="auto"/>
                <w:w w:val="74"/>
              </w:rPr>
              <w:t>thousands)</w:t>
            </w: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r>
      <w:tr>
        <w:trPr>
          <w:trHeight w:val="165"/>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16,353</w:t>
            </w: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82"/>
              <w:spacing w:after="0"/>
              <w:rPr>
                <w:sz w:val="20"/>
                <w:szCs w:val="20"/>
                <w:color w:val="auto"/>
              </w:rPr>
            </w:pPr>
            <w:r>
              <w:rPr>
                <w:rFonts w:ascii="Arial" w:cs="Arial" w:eastAsia="Arial" w:hAnsi="Arial"/>
                <w:sz w:val="14"/>
                <w:szCs w:val="14"/>
                <w:color w:val="auto"/>
              </w:rPr>
              <w:t>7 %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15,283</w:t>
            </w:r>
          </w:p>
        </w:tc>
        <w:tc>
          <w:tcPr>
            <w:tcW w:w="580" w:type="dxa"/>
            <w:vAlign w:val="bottom"/>
            <w:shd w:val="clear" w:color="auto" w:fill="CCEEFF"/>
          </w:tcPr>
          <w:p>
            <w:pPr>
              <w:spacing w:after="0"/>
              <w:rPr>
                <w:sz w:val="14"/>
                <w:szCs w:val="14"/>
                <w:color w:val="auto"/>
              </w:rPr>
            </w:pPr>
          </w:p>
        </w:tc>
      </w:tr>
      <w:tr>
        <w:trPr>
          <w:trHeight w:val="174"/>
        </w:trPr>
        <w:tc>
          <w:tcPr>
            <w:tcW w:w="5620" w:type="dxa"/>
            <w:vAlign w:val="bottom"/>
          </w:tcPr>
          <w:p>
            <w:pPr>
              <w:spacing w:after="0"/>
              <w:rPr>
                <w:sz w:val="20"/>
                <w:szCs w:val="20"/>
                <w:color w:val="auto"/>
              </w:rPr>
            </w:pPr>
            <w:r>
              <w:rPr>
                <w:rFonts w:ascii="Arial" w:cs="Arial" w:eastAsia="Arial" w:hAnsi="Arial"/>
                <w:sz w:val="14"/>
                <w:szCs w:val="14"/>
                <w:color w:val="auto"/>
              </w:rPr>
              <w:t>Percentage of net sales</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7.2 %</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rPr>
              <w:t>5.6 %</w:t>
            </w:r>
          </w:p>
        </w:tc>
      </w:tr>
    </w:tbl>
    <w:p>
      <w:pPr>
        <w:spacing w:after="0" w:line="145" w:lineRule="exact"/>
        <w:rPr>
          <w:sz w:val="20"/>
          <w:szCs w:val="20"/>
          <w:color w:val="auto"/>
        </w:rPr>
      </w:pPr>
    </w:p>
    <w:p>
      <w:pPr>
        <w:ind w:left="20" w:right="199" w:firstLine="198"/>
        <w:spacing w:after="0" w:line="250" w:lineRule="auto"/>
        <w:rPr>
          <w:sz w:val="20"/>
          <w:szCs w:val="20"/>
          <w:color w:val="auto"/>
        </w:rPr>
      </w:pPr>
      <w:r>
        <w:rPr>
          <w:rFonts w:ascii="Arial" w:cs="Arial" w:eastAsia="Arial" w:hAnsi="Arial"/>
          <w:sz w:val="14"/>
          <w:szCs w:val="14"/>
          <w:color w:val="auto"/>
        </w:rPr>
        <w:t>Selling, general and administrative expenses of $16.4 million for the three months ended January 31, 2023 include costs of marketing and advertising, sales expenses (including broker commissions) and other general and administrative costs. Selling, general and administrative expenses increased by $1.1 million, or 8%, for the three months ended January 31, 2023 compared to the prior year period. This increase was primarily due to an increase in salaries and benefits primarily related to the investment in key personnel ($1.0 million), and an increase in stock-based compensation ($0.7 million), partially offset by a decrease in consulting services related to Project Uno ($0.9 million).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Loss from unconsolidated entities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20" w:type="dxa"/>
            <w:vAlign w:val="bottom"/>
            <w:gridSpan w:val="7"/>
          </w:tcPr>
          <w:p>
            <w:pPr>
              <w:jc w:val="center"/>
              <w:ind w:right="800"/>
              <w:spacing w:after="0"/>
              <w:rPr>
                <w:sz w:val="20"/>
                <w:szCs w:val="20"/>
                <w:color w:val="auto"/>
              </w:rPr>
            </w:pPr>
            <w:r>
              <w:rPr>
                <w:rFonts w:ascii="Arial" w:cs="Arial" w:eastAsia="Arial" w:hAnsi="Arial"/>
                <w:sz w:val="11"/>
                <w:szCs w:val="11"/>
                <w:b w:val="1"/>
                <w:bCs w:val="1"/>
                <w:color w:val="auto"/>
                <w:w w:val="89"/>
              </w:rPr>
              <w:t>Three months ended January 31,</w:t>
            </w:r>
          </w:p>
        </w:tc>
      </w:tr>
      <w:tr>
        <w:trPr>
          <w:trHeight w:val="104"/>
        </w:trPr>
        <w:tc>
          <w:tcPr>
            <w:tcW w:w="4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1"/>
                <w:szCs w:val="11"/>
                <w:b w:val="1"/>
                <w:bCs w:val="1"/>
                <w:color w:val="auto"/>
              </w:rPr>
              <w:t>2023</w:t>
            </w:r>
          </w:p>
        </w:tc>
        <w:tc>
          <w:tcPr>
            <w:tcW w:w="24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w w:val="89"/>
              </w:rPr>
              <w:t>Change</w:t>
            </w: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25"/>
              <w:spacing w:after="0" w:line="104" w:lineRule="exact"/>
              <w:rPr>
                <w:sz w:val="20"/>
                <w:szCs w:val="20"/>
                <w:color w:val="auto"/>
              </w:rPr>
            </w:pPr>
            <w:r>
              <w:rPr>
                <w:rFonts w:ascii="Arial" w:cs="Arial" w:eastAsia="Arial" w:hAnsi="Arial"/>
                <w:sz w:val="11"/>
                <w:szCs w:val="11"/>
                <w:b w:val="1"/>
                <w:bCs w:val="1"/>
                <w:color w:val="auto"/>
              </w:rPr>
              <w:t>2022</w:t>
            </w:r>
          </w:p>
        </w:tc>
        <w:tc>
          <w:tcPr>
            <w:tcW w:w="240" w:type="dxa"/>
            <w:vAlign w:val="bottom"/>
          </w:tcPr>
          <w:p>
            <w:pPr>
              <w:spacing w:after="0"/>
              <w:rPr>
                <w:sz w:val="9"/>
                <w:szCs w:val="9"/>
                <w:color w:val="auto"/>
              </w:rPr>
            </w:pPr>
          </w:p>
        </w:tc>
      </w:tr>
      <w:tr>
        <w:trPr>
          <w:trHeight w:val="93"/>
        </w:trPr>
        <w:tc>
          <w:tcPr>
            <w:tcW w:w="4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gridSpan w:val="3"/>
          </w:tcPr>
          <w:p>
            <w:pPr>
              <w:jc w:val="center"/>
              <w:spacing w:after="0" w:line="93" w:lineRule="exact"/>
              <w:rPr>
                <w:sz w:val="20"/>
                <w:szCs w:val="20"/>
                <w:color w:val="auto"/>
              </w:rPr>
            </w:pPr>
            <w:r>
              <w:rPr>
                <w:rFonts w:ascii="Arial" w:cs="Arial" w:eastAsia="Arial" w:hAnsi="Arial"/>
                <w:sz w:val="10"/>
                <w:szCs w:val="10"/>
                <w:b w:val="1"/>
                <w:bCs w:val="1"/>
                <w:color w:val="auto"/>
                <w:w w:val="96"/>
              </w:rPr>
              <w:t>(Dollars in thousands)</w:t>
            </w: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65"/>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unconsolidated entities</w:t>
            </w:r>
          </w:p>
        </w:tc>
        <w:tc>
          <w:tcPr>
            <w:tcW w:w="2340" w:type="dxa"/>
            <w:vAlign w:val="bottom"/>
            <w:gridSpan w:val="2"/>
            <w:shd w:val="clear" w:color="auto" w:fill="CCEEFF"/>
          </w:tcPr>
          <w:p>
            <w:pPr>
              <w:jc w:val="right"/>
              <w:ind w:right="105"/>
              <w:spacing w:after="0"/>
              <w:rPr>
                <w:sz w:val="20"/>
                <w:szCs w:val="20"/>
                <w:color w:val="auto"/>
              </w:rPr>
            </w:pPr>
            <w:r>
              <w:rPr>
                <w:rFonts w:ascii="Arial" w:cs="Arial" w:eastAsia="Arial" w:hAnsi="Arial"/>
                <w:sz w:val="14"/>
                <w:szCs w:val="14"/>
                <w:color w:val="auto"/>
              </w:rPr>
              <w:t>$ 156</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(129)%</w:t>
            </w:r>
          </w:p>
        </w:tc>
        <w:tc>
          <w:tcPr>
            <w:tcW w:w="800" w:type="dxa"/>
            <w:vAlign w:val="bottom"/>
            <w:gridSpan w:val="2"/>
            <w:shd w:val="clear" w:color="auto" w:fill="CCEEFF"/>
          </w:tcPr>
          <w:p>
            <w:pPr>
              <w:jc w:val="right"/>
              <w:ind w:right="285"/>
              <w:spacing w:after="0"/>
              <w:rPr>
                <w:sz w:val="20"/>
                <w:szCs w:val="20"/>
                <w:color w:val="auto"/>
              </w:rPr>
            </w:pPr>
            <w:r>
              <w:rPr>
                <w:rFonts w:ascii="Arial" w:cs="Arial" w:eastAsia="Arial" w:hAnsi="Arial"/>
                <w:sz w:val="14"/>
                <w:szCs w:val="14"/>
                <w:color w:val="auto"/>
                <w:w w:val="99"/>
              </w:rPr>
              <w:t>$ (535)</w:t>
            </w:r>
          </w:p>
        </w:tc>
        <w:tc>
          <w:tcPr>
            <w:tcW w:w="240" w:type="dxa"/>
            <w:vAlign w:val="bottom"/>
            <w:shd w:val="clear" w:color="auto" w:fill="CCEEFF"/>
          </w:tcPr>
          <w:p>
            <w:pPr>
              <w:spacing w:after="0"/>
              <w:rPr>
                <w:sz w:val="14"/>
                <w:szCs w:val="14"/>
                <w:color w:val="auto"/>
              </w:rPr>
            </w:pPr>
          </w:p>
        </w:tc>
      </w:tr>
    </w:tbl>
    <w:p>
      <w:pPr>
        <w:spacing w:after="0" w:line="154" w:lineRule="exact"/>
        <w:rPr>
          <w:sz w:val="20"/>
          <w:szCs w:val="20"/>
          <w:color w:val="auto"/>
        </w:rPr>
      </w:pPr>
    </w:p>
    <w:p>
      <w:pPr>
        <w:ind w:left="20" w:right="339" w:firstLine="137"/>
        <w:spacing w:after="0" w:line="304" w:lineRule="auto"/>
        <w:rPr>
          <w:sz w:val="20"/>
          <w:szCs w:val="20"/>
          <w:color w:val="auto"/>
        </w:rPr>
      </w:pPr>
      <w:r>
        <w:rPr>
          <w:rFonts w:ascii="Arial" w:cs="Arial" w:eastAsia="Arial" w:hAnsi="Arial"/>
          <w:sz w:val="13"/>
          <w:szCs w:val="13"/>
          <w:color w:val="auto"/>
        </w:rPr>
        <w:t>Income (loss) from unconsolidated entities includes our participation in earnings or losses from our investments in Don Memo. For the three months ended January 31, 2023 and 2022 we realized income of $0.2 million and losses of $0.5 million from Agricola Don Memo, respectively.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Income Taxes Benefit</w:t>
      </w:r>
    </w:p>
    <w:p>
      <w:pPr>
        <w:spacing w:after="0" w:line="173" w:lineRule="exact"/>
        <w:rPr>
          <w:sz w:val="20"/>
          <w:szCs w:val="20"/>
          <w:color w:val="auto"/>
        </w:rPr>
      </w:pPr>
    </w:p>
    <w:p>
      <w:pPr>
        <w:jc w:val="center"/>
        <w:ind w:left="5560"/>
        <w:spacing w:after="0"/>
        <w:rPr>
          <w:sz w:val="20"/>
          <w:szCs w:val="20"/>
          <w:color w:val="auto"/>
        </w:rPr>
      </w:pPr>
      <w:r>
        <w:rPr>
          <w:rFonts w:ascii="Arial" w:cs="Arial" w:eastAsia="Arial" w:hAnsi="Arial"/>
          <w:sz w:val="11"/>
          <w:szCs w:val="11"/>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2540</wp:posOffset>
            </wp:positionV>
            <wp:extent cx="14655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5580" cy="6350"/>
                    </a:xfrm>
                    <a:prstGeom prst="rect">
                      <a:avLst/>
                    </a:prstGeom>
                    <a:noFill/>
                  </pic:spPr>
                </pic:pic>
              </a:graphicData>
            </a:graphic>
          </wp:anchor>
        </w:drawing>
      </w:r>
    </w:p>
    <w:p>
      <w:pPr>
        <w:ind w:left="6340"/>
        <w:spacing w:after="0"/>
        <w:tabs>
          <w:tab w:leader="none" w:pos="7100" w:val="left"/>
          <w:tab w:leader="none" w:pos="8000" w:val="left"/>
        </w:tabs>
        <w:rPr>
          <w:sz w:val="20"/>
          <w:szCs w:val="20"/>
          <w:color w:val="auto"/>
        </w:rPr>
      </w:pPr>
      <w:r>
        <w:rPr>
          <w:rFonts w:ascii="Arial" w:cs="Arial" w:eastAsia="Arial" w:hAnsi="Arial"/>
          <w:sz w:val="11"/>
          <w:szCs w:val="11"/>
          <w:b w:val="1"/>
          <w:bCs w:val="1"/>
          <w:color w:val="auto"/>
        </w:rPr>
        <w:t>2023</w:t>
      </w:r>
      <w:r>
        <w:rPr>
          <w:sz w:val="20"/>
          <w:szCs w:val="20"/>
          <w:color w:val="auto"/>
        </w:rPr>
        <w:tab/>
      </w:r>
      <w:r>
        <w:rPr>
          <w:rFonts w:ascii="Arial" w:cs="Arial" w:eastAsia="Arial" w:hAnsi="Arial"/>
          <w:sz w:val="11"/>
          <w:szCs w:val="11"/>
          <w:b w:val="1"/>
          <w:bCs w:val="1"/>
          <w:color w:val="auto"/>
        </w:rPr>
        <w:t>Change</w:t>
      </w:r>
      <w:r>
        <w:rPr>
          <w:sz w:val="20"/>
          <w:szCs w:val="20"/>
          <w:color w:val="auto"/>
        </w:rPr>
        <w:tab/>
      </w:r>
      <w:r>
        <w:rPr>
          <w:rFonts w:ascii="Arial" w:cs="Arial" w:eastAsia="Arial" w:hAnsi="Arial"/>
          <w:sz w:val="9"/>
          <w:szCs w:val="9"/>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-4445</wp:posOffset>
            </wp:positionV>
            <wp:extent cx="14655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5580" cy="6350"/>
                    </a:xfrm>
                    <a:prstGeom prst="rect">
                      <a:avLst/>
                    </a:prstGeom>
                    <a:noFill/>
                  </pic:spPr>
                </pic:pic>
              </a:graphicData>
            </a:graphic>
          </wp:anchor>
        </w:drawing>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w:t>
            </w:r>
          </w:p>
        </w:tc>
        <w:tc>
          <w:tcPr>
            <w:tcW w:w="3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   1,080</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   $</w:t>
            </w:r>
          </w:p>
        </w:tc>
        <w:tc>
          <w:tcPr>
            <w:tcW w:w="98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rPr>
              <w:t>1,160</w:t>
            </w:r>
          </w:p>
        </w:tc>
      </w:tr>
      <w:tr>
        <w:trPr>
          <w:trHeight w:val="174"/>
        </w:trPr>
        <w:tc>
          <w:tcPr>
            <w:tcW w:w="3620" w:type="dxa"/>
            <w:vAlign w:val="bottom"/>
          </w:tcPr>
          <w:p>
            <w:pPr>
              <w:ind w:left="180"/>
              <w:spacing w:after="0"/>
              <w:rPr>
                <w:sz w:val="20"/>
                <w:szCs w:val="20"/>
                <w:color w:val="auto"/>
              </w:rPr>
            </w:pPr>
            <w:r>
              <w:rPr>
                <w:rFonts w:ascii="Arial" w:cs="Arial" w:eastAsia="Arial" w:hAnsi="Arial"/>
                <w:sz w:val="14"/>
                <w:szCs w:val="14"/>
                <w:color w:val="auto"/>
              </w:rPr>
              <w:t>Effective tax rate</w:t>
            </w:r>
          </w:p>
        </w:tc>
        <w:tc>
          <w:tcPr>
            <w:tcW w:w="3480" w:type="dxa"/>
            <w:vAlign w:val="bottom"/>
          </w:tcPr>
          <w:p>
            <w:pPr>
              <w:jc w:val="right"/>
              <w:ind w:right="171"/>
              <w:spacing w:after="0"/>
              <w:rPr>
                <w:sz w:val="20"/>
                <w:szCs w:val="20"/>
                <w:color w:val="auto"/>
              </w:rPr>
            </w:pPr>
            <w:r>
              <w:rPr>
                <w:rFonts w:ascii="Arial" w:cs="Arial" w:eastAsia="Arial" w:hAnsi="Arial"/>
                <w:sz w:val="14"/>
                <w:szCs w:val="14"/>
                <w:color w:val="auto"/>
              </w:rPr>
              <w:t>27.9 %</w:t>
            </w:r>
          </w:p>
        </w:tc>
        <w:tc>
          <w:tcPr>
            <w:tcW w:w="880" w:type="dxa"/>
            <w:vAlign w:val="bottom"/>
          </w:tcPr>
          <w:p>
            <w:pPr>
              <w:spacing w:after="0"/>
              <w:rPr>
                <w:sz w:val="15"/>
                <w:szCs w:val="15"/>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color w:val="auto"/>
              </w:rPr>
              <w:t>21.8 %</w:t>
            </w:r>
          </w:p>
        </w:tc>
      </w:tr>
    </w:tbl>
    <w:p>
      <w:pPr>
        <w:spacing w:after="0" w:line="1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Our tax provision is determined using an estimated annual effective tax rate and is adjusted for discrete taxable events that may occur during the quarter.</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Liquidity and Capital Resources</w:t>
      </w:r>
    </w:p>
    <w:p>
      <w:pPr>
        <w:spacing w:after="0" w:line="173" w:lineRule="exact"/>
        <w:rPr>
          <w:sz w:val="20"/>
          <w:szCs w:val="20"/>
          <w:color w:val="auto"/>
        </w:rPr>
      </w:pPr>
    </w:p>
    <w:p>
      <w:pPr>
        <w:ind w:left="20" w:right="219" w:firstLine="198"/>
        <w:spacing w:after="0" w:line="274" w:lineRule="auto"/>
        <w:rPr>
          <w:sz w:val="20"/>
          <w:szCs w:val="20"/>
          <w:color w:val="auto"/>
        </w:rPr>
      </w:pPr>
      <w:r>
        <w:rPr>
          <w:rFonts w:ascii="Arial" w:cs="Arial" w:eastAsia="Arial" w:hAnsi="Arial"/>
          <w:sz w:val="13"/>
          <w:szCs w:val="13"/>
          <w:color w:val="auto"/>
        </w:rPr>
        <w:t>Cash used in operating activities was $5.9 million for the three months ended January 31, 2023, compared to cash provided by operating activities of $2.4 million for the corresponding period in fiscal 2022. Cash provided by operating activities for the three months ended January 31, 2023 reflect primarily our net loss of $2.8 million, plus add-backs for non-cash activities (depreciation and amortization, stock-based compensation expense, provision for losses on accounts receivable, losses from unconsolidated entities, loss on disposal of property, plant and equipment, and gain on the sale of the Temecula packinghouse) of $6.7 million and net cash used in the components of our working capital of approximately $9.7 million.</w:t>
      </w:r>
    </w:p>
    <w:p>
      <w:pPr>
        <w:spacing w:after="0" w:line="136" w:lineRule="exact"/>
        <w:rPr>
          <w:sz w:val="20"/>
          <w:szCs w:val="20"/>
          <w:color w:val="auto"/>
        </w:rPr>
      </w:pPr>
    </w:p>
    <w:p>
      <w:pPr>
        <w:ind w:left="20" w:right="319" w:firstLine="198"/>
        <w:spacing w:after="0" w:line="255" w:lineRule="auto"/>
        <w:rPr>
          <w:sz w:val="20"/>
          <w:szCs w:val="20"/>
          <w:color w:val="auto"/>
        </w:rPr>
      </w:pPr>
      <w:r>
        <w:rPr>
          <w:rFonts w:ascii="Arial" w:cs="Arial" w:eastAsia="Arial" w:hAnsi="Arial"/>
          <w:sz w:val="14"/>
          <w:szCs w:val="14"/>
          <w:color w:val="auto"/>
        </w:rPr>
        <w:t>Decreases in operating cash flows caused by working capital changes include an increase in inventory of $5.3 million, an increase in other assets of $4.1 million, a decrease in payable to growers of $4.1 million, an increase in accounts receivable of $3.2 million, an increase in prepaid expenses and other current assets of $2.1 million, and an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39"/>
        <w:spacing w:after="0" w:line="265" w:lineRule="auto"/>
        <w:rPr>
          <w:sz w:val="20"/>
          <w:szCs w:val="20"/>
          <w:color w:val="auto"/>
        </w:rPr>
      </w:pPr>
      <w:r>
        <w:rPr>
          <w:rFonts w:ascii="Arial" w:cs="Arial" w:eastAsia="Arial" w:hAnsi="Arial"/>
          <w:sz w:val="14"/>
          <w:szCs w:val="14"/>
          <w:color w:val="auto"/>
        </w:rPr>
        <w:t>increase in income taxes receivable of $0.7 million, partially offset by a net increase in accounts payable, accrued expenses and other liabilities of $7.0 million and a decrease in advances to suppliers of $2.7 million.</w:t>
      </w:r>
    </w:p>
    <w:p>
      <w:pPr>
        <w:spacing w:after="0" w:line="139" w:lineRule="exact"/>
        <w:rPr>
          <w:sz w:val="20"/>
          <w:szCs w:val="20"/>
          <w:color w:val="auto"/>
        </w:rPr>
      </w:pPr>
    </w:p>
    <w:p>
      <w:pPr>
        <w:ind w:left="20" w:right="59" w:firstLine="198"/>
        <w:spacing w:after="0" w:line="330" w:lineRule="auto"/>
        <w:rPr>
          <w:sz w:val="20"/>
          <w:szCs w:val="20"/>
          <w:color w:val="auto"/>
        </w:rPr>
      </w:pPr>
      <w:r>
        <w:rPr>
          <w:rFonts w:ascii="Arial" w:cs="Arial" w:eastAsia="Arial" w:hAnsi="Arial"/>
          <w:sz w:val="11"/>
          <w:szCs w:val="11"/>
          <w:color w:val="auto"/>
        </w:rPr>
        <w:t>The increase in our inventory as of January 31, 2023, when compared to October 31, 2022, is primarily due to higher inventory of Mexican Avocados. The decrease in payable to growers is mostly due to decreased cost per unit, resulting from increased supply for Mexican avocados in the month of January 2023 compared to October 2022. The increase in our accounts receivable is due to an increase in sales for the month of January 2023 compared to October 2022. The increase in other assets as of January 31, 2023, when compared to October 31, 2022, is primarily due to an increase in Mexican IVA taxes receivable. The increase in income taxes receivable is due to the tax impact of the first quarter of fiscal 2023 results. The increase in accounts payable, accrued expenses and other liabilities is primarily related to an increase in payables related to an increase in sales volume in January 2023 compared to October 2022. The decrease in advances to suppliers is mainly due to the offsetting liabilities incurred on the sales of tomatoes to our consignment growers.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Cash used in investing activities was $5.2 million for the three months ended January 31, 2023, which related to purchases of property, plant, and equipment.</w:t>
      </w:r>
    </w:p>
    <w:p>
      <w:pPr>
        <w:spacing w:after="0" w:line="203" w:lineRule="exact"/>
        <w:rPr>
          <w:sz w:val="20"/>
          <w:szCs w:val="20"/>
          <w:color w:val="auto"/>
        </w:rPr>
      </w:pPr>
    </w:p>
    <w:p>
      <w:pPr>
        <w:ind w:left="20" w:right="319" w:firstLine="198"/>
        <w:spacing w:after="0" w:line="304" w:lineRule="auto"/>
        <w:rPr>
          <w:sz w:val="20"/>
          <w:szCs w:val="20"/>
          <w:color w:val="auto"/>
        </w:rPr>
      </w:pPr>
      <w:r>
        <w:rPr>
          <w:rFonts w:ascii="Arial" w:cs="Arial" w:eastAsia="Arial" w:hAnsi="Arial"/>
          <w:sz w:val="13"/>
          <w:szCs w:val="13"/>
          <w:color w:val="auto"/>
        </w:rPr>
        <w:t>Cash provided by financing activities was $9.7 million for the three months ended January 31, 2023, which related principally to net receipts on our credit facilities totaling $15.2 million, partially offset by the payment of a $5.1 million dividend and payments on long-term obligations of $0.4 million.</w:t>
      </w:r>
    </w:p>
    <w:p>
      <w:pPr>
        <w:spacing w:after="0" w:line="116" w:lineRule="exact"/>
        <w:rPr>
          <w:sz w:val="20"/>
          <w:szCs w:val="20"/>
          <w:color w:val="auto"/>
        </w:rPr>
      </w:pPr>
    </w:p>
    <w:p>
      <w:pPr>
        <w:ind w:left="20" w:right="79" w:firstLine="198"/>
        <w:spacing w:after="0" w:line="255" w:lineRule="auto"/>
        <w:rPr>
          <w:sz w:val="20"/>
          <w:szCs w:val="20"/>
          <w:color w:val="auto"/>
        </w:rPr>
      </w:pPr>
      <w:r>
        <w:rPr>
          <w:rFonts w:ascii="Arial" w:cs="Arial" w:eastAsia="Arial" w:hAnsi="Arial"/>
          <w:sz w:val="14"/>
          <w:szCs w:val="14"/>
          <w:color w:val="auto"/>
        </w:rPr>
        <w:t>Our principal sources of liquidity are our existing cash reserves, cash generated from operations and amounts available for borrowing under our existing credit facilities. Cash and cash equivalents as of January 31, 2023 and October 31, 2022 totaled $1.8 million and $3.1 million. Our working capital at January 31, 2023 was $27.8 million, compared to $23.7 million at October 31, 2022.</w:t>
      </w:r>
    </w:p>
    <w:p>
      <w:pPr>
        <w:spacing w:after="0" w:line="146" w:lineRule="exact"/>
        <w:rPr>
          <w:sz w:val="20"/>
          <w:szCs w:val="20"/>
          <w:color w:val="auto"/>
        </w:rPr>
      </w:pPr>
    </w:p>
    <w:p>
      <w:pPr>
        <w:ind w:left="20" w:right="39" w:firstLine="198"/>
        <w:spacing w:after="0" w:line="271" w:lineRule="auto"/>
        <w:rPr>
          <w:sz w:val="20"/>
          <w:szCs w:val="20"/>
          <w:color w:val="auto"/>
        </w:rPr>
      </w:pPr>
      <w:r>
        <w:rPr>
          <w:rFonts w:ascii="Arial" w:cs="Arial" w:eastAsia="Arial" w:hAnsi="Arial"/>
          <w:sz w:val="13"/>
          <w:szCs w:val="13"/>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subject to borrowing base calculations, is $80 million, and it expires in January 2026. For our Credit Facility the weighted-average interest rate was 6.2% and 4.9% at January 31, 2023 and October 31, 2022. Under the Credit Facility we had $16.4 million and $1.2 million outstanding as January 31, 2023 and October 31, 2022.</w:t>
      </w:r>
    </w:p>
    <w:p>
      <w:pPr>
        <w:spacing w:after="0" w:line="137" w:lineRule="exact"/>
        <w:rPr>
          <w:sz w:val="20"/>
          <w:szCs w:val="20"/>
          <w:color w:val="auto"/>
        </w:rPr>
      </w:pPr>
    </w:p>
    <w:p>
      <w:pPr>
        <w:ind w:left="20" w:right="119" w:firstLine="198"/>
        <w:spacing w:after="0" w:line="252" w:lineRule="auto"/>
        <w:rPr>
          <w:sz w:val="20"/>
          <w:szCs w:val="20"/>
          <w:color w:val="auto"/>
        </w:rPr>
      </w:pPr>
      <w:r>
        <w:rPr>
          <w:rFonts w:ascii="Arial" w:cs="Arial" w:eastAsia="Arial" w:hAnsi="Arial"/>
          <w:sz w:val="14"/>
          <w:szCs w:val="14"/>
          <w:color w:val="auto"/>
        </w:rPr>
        <w:t>On November 1, 2022, we entered into a Seventh Amendment to our Credit Facility, which permitted us to declare cash dividends so long as (i) after giving effect to any such dividend a new Consolidated Dividend Adjusted Fixed Charge Coverage Ratio is not less than 1.20 to 1.00 and (ii) any such cash dividends are paid in the same fiscal quarter in which they are declared. Notwithstanding the foregoing restriction, we may declare and make a dividend payment in an amount not to exceed $5,200,000 on or before January 31, 2023.</w:t>
      </w:r>
    </w:p>
    <w:p>
      <w:pPr>
        <w:spacing w:after="0" w:line="148" w:lineRule="exact"/>
        <w:rPr>
          <w:sz w:val="20"/>
          <w:szCs w:val="20"/>
          <w:color w:val="auto"/>
        </w:rPr>
      </w:pPr>
    </w:p>
    <w:p>
      <w:pPr>
        <w:ind w:left="20" w:right="39" w:firstLine="198"/>
        <w:spacing w:after="0" w:line="265" w:lineRule="auto"/>
        <w:rPr>
          <w:sz w:val="20"/>
          <w:szCs w:val="20"/>
          <w:color w:val="auto"/>
        </w:rPr>
      </w:pPr>
      <w:r>
        <w:rPr>
          <w:rFonts w:ascii="Arial" w:cs="Arial" w:eastAsia="Arial" w:hAnsi="Arial"/>
          <w:sz w:val="14"/>
          <w:szCs w:val="14"/>
          <w:color w:val="auto"/>
        </w:rPr>
        <w:t>As of January 31, 2023, we were in compliance with the financial covenants as in effect on that date, and we expect to remain in compliance. As of January 31, 2023, approximately $26.0 million was available for borrowing based on our borrowing base calculation discussed above.</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Contractual Commitments</w:t>
      </w:r>
    </w:p>
    <w:p>
      <w:pPr>
        <w:spacing w:after="0" w:line="173" w:lineRule="exact"/>
        <w:rPr>
          <w:sz w:val="20"/>
          <w:szCs w:val="20"/>
          <w:color w:val="auto"/>
        </w:rPr>
      </w:pPr>
    </w:p>
    <w:p>
      <w:pPr>
        <w:ind w:left="20" w:right="99" w:firstLine="198"/>
        <w:spacing w:after="0" w:line="403" w:lineRule="auto"/>
        <w:rPr>
          <w:sz w:val="20"/>
          <w:szCs w:val="20"/>
          <w:color w:val="auto"/>
        </w:rPr>
      </w:pPr>
      <w:r>
        <w:rPr>
          <w:rFonts w:ascii="Arial" w:cs="Arial" w:eastAsia="Arial" w:hAnsi="Arial"/>
          <w:sz w:val="11"/>
          <w:szCs w:val="11"/>
          <w:color w:val="auto"/>
        </w:rPr>
        <w:t>There have been no other material changes to our contractual commitments from those previously disclosed in our Annual Report on Form 10-K for our fiscal year ended October 31, 2022. For a summary of the contractual commitments at October 31, 2022, see Part II, Item 7,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3" w:lineRule="exact"/>
        <w:rPr>
          <w:sz w:val="20"/>
          <w:szCs w:val="20"/>
          <w:color w:val="auto"/>
        </w:rPr>
      </w:pPr>
    </w:p>
    <w:p>
      <w:pPr>
        <w:ind w:left="20" w:right="139" w:firstLine="198"/>
        <w:spacing w:after="0" w:line="343" w:lineRule="auto"/>
        <w:rPr>
          <w:sz w:val="20"/>
          <w:szCs w:val="20"/>
          <w:color w:val="auto"/>
        </w:rPr>
      </w:pPr>
      <w:r>
        <w:rPr>
          <w:rFonts w:ascii="Arial" w:cs="Arial" w:eastAsia="Arial" w:hAnsi="Arial"/>
          <w:sz w:val="11"/>
          <w:szCs w:val="11"/>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2023.</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220" w:type="dxa"/>
            <w:vAlign w:val="bottom"/>
            <w:gridSpan w:val="3"/>
          </w:tcPr>
          <w:p>
            <w:pPr>
              <w:spacing w:after="0"/>
              <w:rPr>
                <w:sz w:val="20"/>
                <w:szCs w:val="20"/>
                <w:color w:val="auto"/>
              </w:rPr>
            </w:pPr>
            <w:r>
              <w:rPr>
                <w:rFonts w:ascii="Arial" w:cs="Arial" w:eastAsia="Arial" w:hAnsi="Arial"/>
                <w:sz w:val="11"/>
                <w:szCs w:val="11"/>
                <w:color w:val="auto"/>
              </w:rPr>
              <w:t>(All amounts in thousands)</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10"/>
          </w:tcPr>
          <w:p>
            <w:pPr>
              <w:ind w:left="420"/>
              <w:spacing w:after="0"/>
              <w:rPr>
                <w:sz w:val="20"/>
                <w:szCs w:val="20"/>
                <w:color w:val="auto"/>
              </w:rPr>
            </w:pPr>
            <w:r>
              <w:rPr>
                <w:rFonts w:ascii="Arial" w:cs="Arial" w:eastAsia="Arial" w:hAnsi="Arial"/>
                <w:sz w:val="11"/>
                <w:szCs w:val="11"/>
                <w:color w:val="auto"/>
              </w:rPr>
              <w:t>Expected maturity date January 31,</w:t>
            </w: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3"/>
              <w:spacing w:after="0" w:line="104" w:lineRule="exact"/>
              <w:rPr>
                <w:sz w:val="20"/>
                <w:szCs w:val="20"/>
                <w:color w:val="auto"/>
              </w:rPr>
            </w:pPr>
            <w:r>
              <w:rPr>
                <w:rFonts w:ascii="Arial" w:cs="Arial" w:eastAsia="Arial" w:hAnsi="Arial"/>
                <w:sz w:val="11"/>
                <w:szCs w:val="11"/>
                <w:color w:val="auto"/>
              </w:rPr>
              <w:t>2024</w:t>
            </w: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40"/>
              <w:spacing w:after="0" w:line="104" w:lineRule="exact"/>
              <w:rPr>
                <w:sz w:val="20"/>
                <w:szCs w:val="20"/>
                <w:color w:val="auto"/>
              </w:rPr>
            </w:pPr>
            <w:r>
              <w:rPr>
                <w:rFonts w:ascii="Arial" w:cs="Arial" w:eastAsia="Arial" w:hAnsi="Arial"/>
                <w:sz w:val="11"/>
                <w:szCs w:val="11"/>
                <w:color w:val="auto"/>
              </w:rPr>
              <w:t>2025</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line="104" w:lineRule="exact"/>
              <w:rPr>
                <w:sz w:val="20"/>
                <w:szCs w:val="20"/>
                <w:color w:val="auto"/>
              </w:rPr>
            </w:pPr>
            <w:r>
              <w:rPr>
                <w:rFonts w:ascii="Arial" w:cs="Arial" w:eastAsia="Arial" w:hAnsi="Arial"/>
                <w:sz w:val="11"/>
                <w:szCs w:val="11"/>
                <w:color w:val="auto"/>
              </w:rPr>
              <w:t>2026</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line="104" w:lineRule="exact"/>
              <w:rPr>
                <w:sz w:val="20"/>
                <w:szCs w:val="20"/>
                <w:color w:val="auto"/>
              </w:rPr>
            </w:pPr>
            <w:r>
              <w:rPr>
                <w:rFonts w:ascii="Arial" w:cs="Arial" w:eastAsia="Arial" w:hAnsi="Arial"/>
                <w:sz w:val="11"/>
                <w:szCs w:val="11"/>
                <w:color w:val="auto"/>
              </w:rPr>
              <w:t>2027</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line="104" w:lineRule="exact"/>
              <w:rPr>
                <w:sz w:val="20"/>
                <w:szCs w:val="20"/>
                <w:color w:val="auto"/>
              </w:rPr>
            </w:pPr>
            <w:r>
              <w:rPr>
                <w:rFonts w:ascii="Arial" w:cs="Arial" w:eastAsia="Arial" w:hAnsi="Arial"/>
                <w:sz w:val="11"/>
                <w:szCs w:val="11"/>
                <w:color w:val="auto"/>
              </w:rPr>
              <w:t>2028</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line="104" w:lineRule="exact"/>
              <w:rPr>
                <w:sz w:val="20"/>
                <w:szCs w:val="20"/>
                <w:color w:val="auto"/>
              </w:rPr>
            </w:pPr>
            <w:r>
              <w:rPr>
                <w:rFonts w:ascii="Arial" w:cs="Arial" w:eastAsia="Arial" w:hAnsi="Arial"/>
                <w:sz w:val="11"/>
                <w:szCs w:val="11"/>
                <w:color w:val="auto"/>
              </w:rPr>
              <w:t>Thereafter</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3"/>
              <w:spacing w:after="0" w:line="104" w:lineRule="exact"/>
              <w:rPr>
                <w:sz w:val="20"/>
                <w:szCs w:val="20"/>
                <w:color w:val="auto"/>
              </w:rPr>
            </w:pPr>
            <w:r>
              <w:rPr>
                <w:rFonts w:ascii="Arial" w:cs="Arial" w:eastAsia="Arial" w:hAnsi="Arial"/>
                <w:sz w:val="11"/>
                <w:szCs w:val="11"/>
                <w:color w:val="auto"/>
              </w:rPr>
              <w:t>Total</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73"/>
              <w:spacing w:after="0" w:line="104" w:lineRule="exact"/>
              <w:rPr>
                <w:sz w:val="20"/>
                <w:szCs w:val="20"/>
                <w:color w:val="auto"/>
              </w:rPr>
            </w:pPr>
            <w:r>
              <w:rPr>
                <w:rFonts w:ascii="Arial" w:cs="Arial" w:eastAsia="Arial" w:hAnsi="Arial"/>
                <w:sz w:val="11"/>
                <w:szCs w:val="11"/>
                <w:color w:val="auto"/>
                <w:w w:val="95"/>
              </w:rPr>
              <w:t>Fair Value</w:t>
            </w:r>
          </w:p>
        </w:tc>
        <w:tc>
          <w:tcPr>
            <w:tcW w:w="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auto"/>
              </w:rPr>
              <w:t>Restricted cash, cash and cash equivalents (1)</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1,797</w:t>
            </w:r>
          </w:p>
        </w:tc>
        <w:tc>
          <w:tcPr>
            <w:tcW w:w="14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1,797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62,233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62,233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auto"/>
              </w:rPr>
              <w:t>Advances to suppliers (1)</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9,754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9,754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 to growers (1)</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4"/>
                <w:szCs w:val="14"/>
                <w:color w:val="auto"/>
              </w:rPr>
              <w:t>Accounts payable (1)</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17,421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17,421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Borrowings pursuant to credit facilities (1)</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0" w:right="279" w:hanging="257"/>
        <w:spacing w:after="0" w:line="284" w:lineRule="auto"/>
        <w:tabs>
          <w:tab w:leader="none" w:pos="280" w:val="left"/>
        </w:tabs>
        <w:numPr>
          <w:ilvl w:val="0"/>
          <w:numId w:val="11"/>
        </w:numPr>
        <w:rPr>
          <w:rFonts w:ascii="Arial" w:cs="Arial" w:eastAsia="Arial" w:hAnsi="Arial"/>
          <w:sz w:val="10"/>
          <w:szCs w:val="10"/>
          <w:color w:val="auto"/>
        </w:rPr>
      </w:pPr>
      <w:r>
        <w:rPr>
          <w:rFonts w:ascii="Arial" w:cs="Arial" w:eastAsia="Arial" w:hAnsi="Arial"/>
          <w:sz w:val="10"/>
          <w:szCs w:val="10"/>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22" w:lineRule="exact"/>
        <w:rPr>
          <w:sz w:val="20"/>
          <w:szCs w:val="20"/>
          <w:color w:val="auto"/>
        </w:rPr>
      </w:pPr>
    </w:p>
    <w:p>
      <w:pPr>
        <w:ind w:left="20" w:right="99" w:firstLine="198"/>
        <w:spacing w:after="0" w:line="265" w:lineRule="auto"/>
        <w:rPr>
          <w:sz w:val="20"/>
          <w:szCs w:val="20"/>
          <w:color w:val="auto"/>
        </w:rPr>
      </w:pPr>
      <w:r>
        <w:rPr>
          <w:rFonts w:ascii="Arial" w:cs="Arial" w:eastAsia="Arial" w:hAnsi="Arial"/>
          <w:sz w:val="14"/>
          <w:szCs w:val="14"/>
          <w:color w:val="auto"/>
        </w:rPr>
        <w:t>We were not a party to any derivative instruments during the fiscal year. It is currently our practice not to use derivative instruments for speculative or trading purposes. Additionally, we do not use any hedging or forward contracts to offset market volatility.</w:t>
      </w:r>
    </w:p>
    <w:p>
      <w:pPr>
        <w:spacing w:after="0" w:line="139" w:lineRule="exact"/>
        <w:rPr>
          <w:sz w:val="20"/>
          <w:szCs w:val="20"/>
          <w:color w:val="auto"/>
        </w:rPr>
      </w:pPr>
    </w:p>
    <w:p>
      <w:pPr>
        <w:ind w:left="20" w:right="39" w:firstLine="198"/>
        <w:spacing w:after="0" w:line="343" w:lineRule="auto"/>
        <w:rPr>
          <w:sz w:val="20"/>
          <w:szCs w:val="20"/>
          <w:color w:val="auto"/>
        </w:rPr>
      </w:pPr>
      <w:r>
        <w:rPr>
          <w:rFonts w:ascii="Arial" w:cs="Arial" w:eastAsia="Arial" w:hAnsi="Arial"/>
          <w:sz w:val="11"/>
          <w:szCs w:val="11"/>
          <w:color w:val="auto"/>
        </w:rPr>
        <w:t>Our Mexican-based operations transact a significant portion of business in Mexican pesos. Funds are transferred by our corporate office to Mexico on a weekly basis to satisfy Mexican cash needs. We do not currently use derivative instruments to hedge fluctuations in the Mexican peso to U.S. dollar exchange rates. Management does, however, evaluate this opportunity from time to time. Total foreign currency remeasurement gains for the three months ended January 31, 2023, net of losses, was $1.3 million. Total foreign currency remeasurement losses for the three months ended January 31, 2022, net of gains, was $0.6 million.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4. CONTROLS AND PROCEDURES</w:t>
      </w:r>
    </w:p>
    <w:p>
      <w:pPr>
        <w:spacing w:after="0" w:line="173" w:lineRule="exact"/>
        <w:rPr>
          <w:sz w:val="20"/>
          <w:szCs w:val="20"/>
          <w:color w:val="auto"/>
        </w:rPr>
      </w:pPr>
    </w:p>
    <w:p>
      <w:pPr>
        <w:ind w:left="20" w:right="99" w:firstLine="198"/>
        <w:spacing w:after="0" w:line="252" w:lineRule="auto"/>
        <w:rPr>
          <w:sz w:val="20"/>
          <w:szCs w:val="20"/>
          <w:color w:val="auto"/>
        </w:rPr>
      </w:pPr>
      <w:r>
        <w:rPr>
          <w:rFonts w:ascii="Arial" w:cs="Arial" w:eastAsia="Arial" w:hAnsi="Arial"/>
          <w:sz w:val="14"/>
          <w:szCs w:val="14"/>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48" w:lineRule="exact"/>
        <w:rPr>
          <w:sz w:val="20"/>
          <w:szCs w:val="20"/>
          <w:color w:val="auto"/>
        </w:rPr>
      </w:pPr>
    </w:p>
    <w:p>
      <w:pPr>
        <w:ind w:left="20" w:right="179" w:firstLine="198"/>
        <w:spacing w:after="0" w:line="265" w:lineRule="auto"/>
        <w:rPr>
          <w:sz w:val="20"/>
          <w:szCs w:val="20"/>
          <w:color w:val="auto"/>
        </w:rPr>
      </w:pPr>
      <w:r>
        <w:rPr>
          <w:rFonts w:ascii="Arial" w:cs="Arial" w:eastAsia="Arial" w:hAnsi="Arial"/>
          <w:sz w:val="14"/>
          <w:szCs w:val="14"/>
          <w:color w:val="auto"/>
        </w:rPr>
        <w:t>There were no changes in the Company’s internal control over financial reporting during the quarter ended January 31, 2023 that have materially affected, or are reasonably likely to materially affect, the Company’s internal control over financial reporting.</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PART II. OTHER INFORMATION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1. LEGAL PROCEEDINGS</w:t>
      </w:r>
    </w:p>
    <w:p>
      <w:pPr>
        <w:spacing w:after="0" w:line="173" w:lineRule="exact"/>
        <w:rPr>
          <w:sz w:val="20"/>
          <w:szCs w:val="20"/>
          <w:color w:val="auto"/>
        </w:rPr>
      </w:pPr>
    </w:p>
    <w:p>
      <w:pPr>
        <w:ind w:left="20" w:right="319" w:firstLine="198"/>
        <w:spacing w:after="0" w:line="403" w:lineRule="auto"/>
        <w:rPr>
          <w:sz w:val="20"/>
          <w:szCs w:val="20"/>
          <w:color w:val="auto"/>
        </w:rPr>
      </w:pPr>
      <w:r>
        <w:rPr>
          <w:rFonts w:ascii="Arial" w:cs="Arial" w:eastAsia="Arial" w:hAnsi="Arial"/>
          <w:sz w:val="11"/>
          <w:szCs w:val="11"/>
          <w:color w:val="auto"/>
        </w:rPr>
        <w:t>From time to time, we may become involved in litigation arising in the ordinary course of our business. We have provided information about certain legal proceedings in which we are involved in Note 7 to the consolidated condensed financial statements included in this Quarterly Report for further information.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1A. RISK FACTORS</w:t>
      </w:r>
    </w:p>
    <w:p>
      <w:pPr>
        <w:spacing w:after="0" w:line="173" w:lineRule="exact"/>
        <w:rPr>
          <w:sz w:val="20"/>
          <w:szCs w:val="20"/>
          <w:color w:val="auto"/>
        </w:rPr>
      </w:pPr>
    </w:p>
    <w:p>
      <w:pPr>
        <w:ind w:left="20" w:right="39" w:firstLine="198"/>
        <w:spacing w:after="0" w:line="278" w:lineRule="auto"/>
        <w:rPr>
          <w:sz w:val="20"/>
          <w:szCs w:val="20"/>
          <w:color w:val="auto"/>
        </w:rPr>
      </w:pPr>
      <w:r>
        <w:rPr>
          <w:rFonts w:ascii="Arial" w:cs="Arial" w:eastAsia="Arial" w:hAnsi="Arial"/>
          <w:sz w:val="13"/>
          <w:szCs w:val="13"/>
          <w:color w:val="auto"/>
        </w:rPr>
        <w:t>For a discussion of our risk factors, see Part I, Item 1A “Risk Factors” of our Annual Report on Form 10-K for the year ended October 31, 2022. Except as set forth below, there have been no material changes from the risk factors set forth in such Annual Report on Form 10-K. However, the risks and uncertainties that we face are not limited to those set forth in the 2022 Form 10-K. Additional risks and uncertainties not presently known to us or that we currently believe to be immaterial may also adversely affect our business and the trading price of our common stock.</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6. EXHIBITS</w:t>
      </w:r>
    </w:p>
    <w:p>
      <w:pPr>
        <w:spacing w:after="0" w:line="173"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1"/>
          <w:szCs w:val="11"/>
          <w:u w:val="single" w:color="auto"/>
          <w:color w:val="0000EE"/>
        </w:rPr>
        <w:t>Certification of Chief Executive Officer Pursuant to 15 U.S.C. § 7241, as Adopted Pursuant to Section 302 of the Sarbanes-Oxley Act of</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2002.</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159"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1"/>
          <w:szCs w:val="11"/>
          <w:u w:val="single" w:color="auto"/>
          <w:color w:val="0000EE"/>
        </w:rPr>
        <w:t>Certification of Chief Financial Officer Pursuant to 15 U.S.C. § 7241, as Adopted Pursuant to Section 302 of the Sarbanes-Oxley Act of</w:t>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u w:val="single" w:color="auto"/>
          <w:color w:val="0000EE"/>
        </w:rPr>
        <w:t>2002. *</w:t>
      </w:r>
    </w:p>
    <w:p>
      <w:pPr>
        <w:spacing w:after="0" w:line="159"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1"/>
          <w:szCs w:val="11"/>
          <w:u w:val="single" w:color="auto"/>
          <w:color w:val="0000EE"/>
        </w:rPr>
        <w:t xml:space="preserve">Certification by Chief Executive Officer and Chief Financial Officer of Periodic Report Pursuant to 18 U.S.C. Section 1350. </w:t>
      </w:r>
      <w:r>
        <w:rPr>
          <w:rFonts w:ascii="Arial" w:cs="Arial" w:eastAsia="Arial" w:hAnsi="Arial"/>
          <w:sz w:val="11"/>
          <w:szCs w:val="11"/>
          <w:color w:val="000000"/>
        </w:rPr>
        <w:t>*</w:t>
      </w:r>
    </w:p>
    <w:p>
      <w:pPr>
        <w:spacing w:after="0" w:line="169" w:lineRule="exact"/>
        <w:rPr>
          <w:sz w:val="20"/>
          <w:szCs w:val="20"/>
          <w:color w:val="auto"/>
        </w:rPr>
      </w:pPr>
    </w:p>
    <w:p>
      <w:pPr>
        <w:ind w:left="1360" w:right="179" w:hanging="447"/>
        <w:spacing w:after="0" w:line="249" w:lineRule="auto"/>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following financial information from the Quarterly Report on Form 10-Q of Calavo Growers, Inc. for the quarter ended January 31, 2023, formatted in Inline XBRL (Extensible Business Reporting Language): (1) Consolidated Condensed Balance Sheets as of January 31, 2023 and October 31, 2022; (2) Consolidated Condensed Statements of Operations for the three months ended January 31, 2023 and 2022; (3) Consolidated Condensed Statements of Cash Flows for the three months ended January 31, 2023 and 2022; (4) Consolidated Statements of Shareholders’ Equity for the three months ended January 31, 2023 and 2022; and (5) Notes to Consolidated Condensed Financial Statements.</w:t>
      </w:r>
    </w:p>
    <w:p>
      <w:pPr>
        <w:spacing w:after="0" w:line="152" w:lineRule="exact"/>
        <w:rPr>
          <w:sz w:val="20"/>
          <w:szCs w:val="20"/>
          <w:color w:val="auto"/>
        </w:rPr>
      </w:pPr>
    </w:p>
    <w:p>
      <w:pPr>
        <w:ind w:left="20" w:right="4259" w:firstLine="893"/>
        <w:spacing w:after="0" w:line="511" w:lineRule="auto"/>
        <w:tabs>
          <w:tab w:leader="none" w:pos="1353" w:val="left"/>
        </w:tabs>
        <w:numPr>
          <w:ilvl w:val="1"/>
          <w:numId w:val="13"/>
        </w:numPr>
        <w:rPr>
          <w:rFonts w:ascii="Arial" w:cs="Arial" w:eastAsia="Arial" w:hAnsi="Arial"/>
          <w:sz w:val="14"/>
          <w:szCs w:val="14"/>
          <w:color w:val="auto"/>
        </w:rPr>
      </w:pPr>
      <w:r>
        <w:rPr>
          <w:rFonts w:ascii="Arial" w:cs="Arial" w:eastAsia="Arial" w:hAnsi="Arial"/>
          <w:sz w:val="14"/>
          <w:szCs w:val="14"/>
          <w:color w:val="auto"/>
        </w:rPr>
        <w:t xml:space="preserve">Cover Page Interactive Data File (formatted as Inline XBRL). * </w:t>
      </w:r>
      <w:r>
        <w:rPr>
          <w:rFonts w:ascii="Arial" w:cs="Arial" w:eastAsia="Arial" w:hAnsi="Arial"/>
          <w:sz w:val="12"/>
          <w:szCs w:val="12"/>
          <w:color w:val="auto"/>
        </w:rPr>
        <w:t>Filed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271145</wp:posOffset>
            </wp:positionV>
            <wp:extent cx="568579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73" w:lineRule="exact"/>
        <w:rPr>
          <w:sz w:val="20"/>
          <w:szCs w:val="20"/>
          <w:color w:val="auto"/>
        </w:rPr>
      </w:pPr>
    </w:p>
    <w:p>
      <w:pPr>
        <w:ind w:left="20" w:right="219" w:firstLine="198"/>
        <w:spacing w:after="0" w:line="26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960" w:type="dxa"/>
            <w:vAlign w:val="bottom"/>
            <w:gridSpan w:val="2"/>
          </w:tcPr>
          <w:p>
            <w:pPr>
              <w:ind w:left="4400"/>
              <w:spacing w:after="0"/>
              <w:rPr>
                <w:sz w:val="20"/>
                <w:szCs w:val="20"/>
                <w:color w:val="auto"/>
              </w:rPr>
            </w:pPr>
            <w:r>
              <w:rPr>
                <w:rFonts w:ascii="Arial" w:cs="Arial" w:eastAsia="Arial" w:hAnsi="Arial"/>
                <w:sz w:val="14"/>
                <w:szCs w:val="14"/>
                <w:color w:val="auto"/>
              </w:rPr>
              <w:t>Calavo Growers, Inc.</w:t>
            </w:r>
          </w:p>
        </w:tc>
      </w:tr>
      <w:tr>
        <w:trPr>
          <w:trHeight w:val="174"/>
        </w:trPr>
        <w:tc>
          <w:tcPr>
            <w:tcW w:w="8960" w:type="dxa"/>
            <w:vAlign w:val="bottom"/>
            <w:gridSpan w:val="2"/>
          </w:tcPr>
          <w:p>
            <w:pPr>
              <w:ind w:left="4400"/>
              <w:spacing w:after="0"/>
              <w:rPr>
                <w:sz w:val="20"/>
                <w:szCs w:val="20"/>
                <w:color w:val="auto"/>
              </w:rPr>
            </w:pPr>
            <w:r>
              <w:rPr>
                <w:rFonts w:ascii="Arial" w:cs="Arial" w:eastAsia="Arial" w:hAnsi="Arial"/>
                <w:sz w:val="14"/>
                <w:szCs w:val="14"/>
                <w:color w:val="auto"/>
              </w:rPr>
              <w:t>(Registrant)</w:t>
            </w:r>
          </w:p>
        </w:tc>
      </w:tr>
      <w:tr>
        <w:trPr>
          <w:trHeight w:val="485"/>
        </w:trPr>
        <w:tc>
          <w:tcPr>
            <w:tcW w:w="4800" w:type="dxa"/>
            <w:vAlign w:val="bottom"/>
          </w:tcPr>
          <w:p>
            <w:pPr>
              <w:spacing w:after="0"/>
              <w:rPr>
                <w:sz w:val="20"/>
                <w:szCs w:val="20"/>
                <w:color w:val="auto"/>
              </w:rPr>
            </w:pPr>
            <w:r>
              <w:rPr>
                <w:rFonts w:ascii="Arial" w:cs="Arial" w:eastAsia="Arial" w:hAnsi="Arial"/>
                <w:sz w:val="14"/>
                <w:szCs w:val="14"/>
                <w:color w:val="auto"/>
              </w:rPr>
              <w:t>Date: March 6, 2023</w:t>
            </w:r>
          </w:p>
        </w:tc>
        <w:tc>
          <w:tcPr>
            <w:tcW w:w="4160" w:type="dxa"/>
            <w:vAlign w:val="bottom"/>
          </w:tcPr>
          <w:p>
            <w:pPr>
              <w:spacing w:after="0"/>
              <w:rPr>
                <w:sz w:val="24"/>
                <w:szCs w:val="24"/>
                <w:color w:val="auto"/>
              </w:rPr>
            </w:pPr>
          </w:p>
        </w:tc>
      </w:tr>
      <w:tr>
        <w:trPr>
          <w:trHeight w:val="175"/>
        </w:trPr>
        <w:tc>
          <w:tcPr>
            <w:tcW w:w="4800" w:type="dxa"/>
            <w:vAlign w:val="bottom"/>
          </w:tcPr>
          <w:p>
            <w:pPr>
              <w:ind w:left="4400"/>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Brian Kocher</w:t>
            </w:r>
          </w:p>
        </w:tc>
      </w:tr>
      <w:tr>
        <w:trPr>
          <w:trHeight w:val="145"/>
        </w:trPr>
        <w:tc>
          <w:tcPr>
            <w:tcW w:w="4800" w:type="dxa"/>
            <w:vAlign w:val="bottom"/>
          </w:tcPr>
          <w:p>
            <w:pPr>
              <w:spacing w:after="0"/>
              <w:rPr>
                <w:sz w:val="12"/>
                <w:szCs w:val="12"/>
                <w:color w:val="auto"/>
              </w:rPr>
            </w:pPr>
          </w:p>
        </w:tc>
        <w:tc>
          <w:tcPr>
            <w:tcW w:w="4160" w:type="dxa"/>
            <w:vAlign w:val="bottom"/>
          </w:tcPr>
          <w:p>
            <w:pPr>
              <w:spacing w:after="0" w:line="145" w:lineRule="exact"/>
              <w:rPr>
                <w:sz w:val="20"/>
                <w:szCs w:val="20"/>
                <w:color w:val="auto"/>
              </w:rPr>
            </w:pPr>
            <w:r>
              <w:rPr>
                <w:rFonts w:ascii="Arial" w:cs="Arial" w:eastAsia="Arial" w:hAnsi="Arial"/>
                <w:sz w:val="14"/>
                <w:szCs w:val="14"/>
                <w:color w:val="auto"/>
              </w:rPr>
              <w:t>Brian Kocher</w:t>
            </w:r>
          </w:p>
        </w:tc>
      </w:tr>
      <w:tr>
        <w:trPr>
          <w:trHeight w:val="165"/>
        </w:trPr>
        <w:tc>
          <w:tcPr>
            <w:tcW w:w="480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r>
        <w:trPr>
          <w:trHeight w:val="174"/>
        </w:trPr>
        <w:tc>
          <w:tcPr>
            <w:tcW w:w="4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650"/>
        </w:trPr>
        <w:tc>
          <w:tcPr>
            <w:tcW w:w="4800" w:type="dxa"/>
            <w:vAlign w:val="bottom"/>
          </w:tcPr>
          <w:p>
            <w:pPr>
              <w:spacing w:after="0"/>
              <w:rPr>
                <w:sz w:val="20"/>
                <w:szCs w:val="20"/>
                <w:color w:val="auto"/>
              </w:rPr>
            </w:pPr>
            <w:r>
              <w:rPr>
                <w:rFonts w:ascii="Arial" w:cs="Arial" w:eastAsia="Arial" w:hAnsi="Arial"/>
                <w:sz w:val="14"/>
                <w:szCs w:val="14"/>
                <w:color w:val="auto"/>
              </w:rPr>
              <w:t>Date: March 6, 2023</w:t>
            </w:r>
          </w:p>
        </w:tc>
        <w:tc>
          <w:tcPr>
            <w:tcW w:w="4160" w:type="dxa"/>
            <w:vAlign w:val="bottom"/>
          </w:tcPr>
          <w:p>
            <w:pPr>
              <w:spacing w:after="0"/>
              <w:rPr>
                <w:sz w:val="24"/>
                <w:szCs w:val="24"/>
                <w:color w:val="auto"/>
              </w:rPr>
            </w:pPr>
          </w:p>
        </w:tc>
      </w:tr>
      <w:tr>
        <w:trPr>
          <w:trHeight w:val="175"/>
        </w:trPr>
        <w:tc>
          <w:tcPr>
            <w:tcW w:w="4800" w:type="dxa"/>
            <w:vAlign w:val="bottom"/>
          </w:tcPr>
          <w:p>
            <w:pPr>
              <w:ind w:left="4400"/>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Shawn Munsell</w:t>
            </w:r>
          </w:p>
        </w:tc>
      </w:tr>
      <w:tr>
        <w:trPr>
          <w:trHeight w:val="145"/>
        </w:trPr>
        <w:tc>
          <w:tcPr>
            <w:tcW w:w="4800" w:type="dxa"/>
            <w:vAlign w:val="bottom"/>
          </w:tcPr>
          <w:p>
            <w:pPr>
              <w:spacing w:after="0"/>
              <w:rPr>
                <w:sz w:val="12"/>
                <w:szCs w:val="12"/>
                <w:color w:val="auto"/>
              </w:rPr>
            </w:pPr>
          </w:p>
        </w:tc>
        <w:tc>
          <w:tcPr>
            <w:tcW w:w="4160" w:type="dxa"/>
            <w:vAlign w:val="bottom"/>
          </w:tcPr>
          <w:p>
            <w:pPr>
              <w:spacing w:after="0" w:line="145" w:lineRule="exact"/>
              <w:rPr>
                <w:sz w:val="20"/>
                <w:szCs w:val="20"/>
                <w:color w:val="auto"/>
              </w:rPr>
            </w:pPr>
            <w:r>
              <w:rPr>
                <w:rFonts w:ascii="Arial" w:cs="Arial" w:eastAsia="Arial" w:hAnsi="Arial"/>
                <w:sz w:val="14"/>
                <w:szCs w:val="14"/>
                <w:color w:val="auto"/>
              </w:rPr>
              <w:t>Shawn Munsell</w:t>
            </w:r>
          </w:p>
        </w:tc>
      </w:tr>
      <w:tr>
        <w:trPr>
          <w:trHeight w:val="165"/>
        </w:trPr>
        <w:tc>
          <w:tcPr>
            <w:tcW w:w="480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74"/>
        </w:trPr>
        <w:tc>
          <w:tcPr>
            <w:tcW w:w="480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(Principal Financial Officer)</w:t>
            </w:r>
          </w:p>
        </w:tc>
      </w:tr>
      <w:tr>
        <w:trPr>
          <w:trHeight w:val="835"/>
        </w:trPr>
        <w:tc>
          <w:tcPr>
            <w:tcW w:w="4800" w:type="dxa"/>
            <w:vAlign w:val="bottom"/>
          </w:tcPr>
          <w:p>
            <w:pPr>
              <w:ind w:left="4420"/>
              <w:spacing w:after="0"/>
              <w:rPr>
                <w:sz w:val="20"/>
                <w:szCs w:val="20"/>
                <w:color w:val="auto"/>
              </w:rPr>
            </w:pPr>
            <w:r>
              <w:rPr>
                <w:rFonts w:ascii="Arial" w:cs="Arial" w:eastAsia="Arial" w:hAnsi="Arial"/>
                <w:sz w:val="14"/>
                <w:szCs w:val="14"/>
                <w:color w:val="auto"/>
              </w:rPr>
              <w:t>30</w:t>
            </w:r>
          </w:p>
        </w:tc>
        <w:tc>
          <w:tcPr>
            <w:tcW w:w="4160" w:type="dxa"/>
            <w:vAlign w:val="bottom"/>
          </w:tcPr>
          <w:p>
            <w:pPr>
              <w:spacing w:after="0"/>
              <w:rPr>
                <w:sz w:val="24"/>
                <w:szCs w:val="24"/>
                <w:color w:val="auto"/>
              </w:rPr>
            </w:pPr>
          </w:p>
        </w:tc>
      </w:tr>
      <w:tr>
        <w:trPr>
          <w:trHeight w:val="424"/>
        </w:trPr>
        <w:tc>
          <w:tcPr>
            <w:tcW w:w="4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28" w:right="1440" w:bottom="1440" w:gutter="0" w:footer="0" w:header="0"/>
        </w:sectPr>
      </w:pPr>
    </w:p>
    <w:bookmarkStart w:id="30" w:name="page31"/>
    <w:bookmarkEnd w:id="30"/>
    <w:p>
      <w:pPr>
        <w:jc w:val="right"/>
        <w:ind w:right="39"/>
        <w:spacing w:after="0"/>
        <w:rPr>
          <w:sz w:val="20"/>
          <w:szCs w:val="20"/>
          <w:color w:val="auto"/>
        </w:rPr>
      </w:pPr>
      <w:r>
        <w:rPr>
          <w:rFonts w:ascii="Arial" w:cs="Arial" w:eastAsia="Arial" w:hAnsi="Arial"/>
          <w:sz w:val="14"/>
          <w:szCs w:val="14"/>
          <w:b w:val="1"/>
          <w:bCs w:val="1"/>
          <w:color w:val="auto"/>
        </w:rPr>
        <w:t>Exhibit 31.1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CERTIFICATION PURSUANT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 U.S.C. § 7241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ADOPTED PURSUANT TO</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SECTION 302 OF THE SARBANES-OXLEY ACT OF 2002</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Brian Kocher, certify that:</w:t>
      </w:r>
    </w:p>
    <w:p>
      <w:pPr>
        <w:spacing w:after="0" w:line="181" w:lineRule="exact"/>
        <w:rPr>
          <w:sz w:val="20"/>
          <w:szCs w:val="20"/>
          <w:color w:val="auto"/>
        </w:rPr>
      </w:pPr>
    </w:p>
    <w:p>
      <w:pPr>
        <w:ind w:left="520" w:hanging="497"/>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Calavo Growers, Inc.;</w:t>
      </w:r>
    </w:p>
    <w:p>
      <w:pPr>
        <w:spacing w:after="0" w:line="181" w:lineRule="exact"/>
        <w:rPr>
          <w:rFonts w:ascii="Arial" w:cs="Arial" w:eastAsia="Arial" w:hAnsi="Arial"/>
          <w:sz w:val="12"/>
          <w:szCs w:val="12"/>
          <w:color w:val="auto"/>
        </w:rPr>
      </w:pPr>
    </w:p>
    <w:p>
      <w:pPr>
        <w:ind w:left="520" w:right="299" w:hanging="497"/>
        <w:spacing w:after="0" w:line="300"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2"/>
          <w:szCs w:val="12"/>
          <w:color w:val="auto"/>
        </w:rPr>
      </w:pPr>
    </w:p>
    <w:p>
      <w:pPr>
        <w:ind w:left="520" w:right="259" w:hanging="497"/>
        <w:spacing w:after="0" w:line="300"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2"/>
          <w:szCs w:val="12"/>
          <w:color w:val="auto"/>
        </w:rPr>
      </w:pPr>
    </w:p>
    <w:p>
      <w:pPr>
        <w:ind w:left="520" w:right="139" w:hanging="497"/>
        <w:spacing w:after="0" w:line="349" w:lineRule="auto"/>
        <w:tabs>
          <w:tab w:leader="none" w:pos="5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1"/>
          <w:szCs w:val="11"/>
          <w:color w:val="auto"/>
        </w:rPr>
      </w:pPr>
    </w:p>
    <w:p>
      <w:pPr>
        <w:ind w:left="1020" w:right="59" w:hanging="502"/>
        <w:spacing w:after="0" w:line="284" w:lineRule="auto"/>
        <w:tabs>
          <w:tab w:leader="none" w:pos="10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2"/>
          <w:szCs w:val="12"/>
          <w:color w:val="auto"/>
        </w:rPr>
      </w:pPr>
    </w:p>
    <w:p>
      <w:pPr>
        <w:ind w:left="1020" w:right="99" w:hanging="502"/>
        <w:spacing w:after="0" w:line="284" w:lineRule="auto"/>
        <w:tabs>
          <w:tab w:leader="none" w:pos="10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38" w:lineRule="exact"/>
        <w:rPr>
          <w:rFonts w:ascii="Arial" w:cs="Arial" w:eastAsia="Arial" w:hAnsi="Arial"/>
          <w:sz w:val="12"/>
          <w:szCs w:val="12"/>
          <w:color w:val="auto"/>
        </w:rPr>
      </w:pPr>
    </w:p>
    <w:p>
      <w:pPr>
        <w:ind w:left="1020" w:right="359" w:hanging="502"/>
        <w:spacing w:after="0" w:line="300" w:lineRule="auto"/>
        <w:tabs>
          <w:tab w:leader="none" w:pos="10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2"/>
          <w:szCs w:val="12"/>
          <w:color w:val="auto"/>
        </w:rPr>
      </w:pPr>
    </w:p>
    <w:p>
      <w:pPr>
        <w:ind w:left="1020" w:right="99" w:hanging="502"/>
        <w:spacing w:after="0" w:line="300" w:lineRule="auto"/>
        <w:tabs>
          <w:tab w:leader="none" w:pos="10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2"/>
          <w:szCs w:val="12"/>
          <w:color w:val="auto"/>
        </w:rPr>
      </w:pPr>
    </w:p>
    <w:p>
      <w:pPr>
        <w:ind w:left="520" w:right="219" w:hanging="497"/>
        <w:spacing w:after="0" w:line="300"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2"/>
          <w:szCs w:val="12"/>
          <w:color w:val="auto"/>
        </w:rPr>
      </w:pPr>
    </w:p>
    <w:p>
      <w:pPr>
        <w:ind w:left="1020" w:right="479" w:hanging="502"/>
        <w:spacing w:after="0" w:line="300" w:lineRule="auto"/>
        <w:tabs>
          <w:tab w:leader="none" w:pos="10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2"/>
          <w:szCs w:val="12"/>
          <w:color w:val="auto"/>
        </w:rPr>
      </w:pPr>
    </w:p>
    <w:p>
      <w:pPr>
        <w:ind w:left="1020" w:right="179" w:hanging="502"/>
        <w:spacing w:after="0" w:line="300" w:lineRule="auto"/>
        <w:tabs>
          <w:tab w:leader="none" w:pos="1020" w:val="left"/>
        </w:tabs>
        <w:numPr>
          <w:ilvl w:val="1"/>
          <w:numId w:val="1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4480" w:val="left"/>
        </w:tabs>
        <w:rPr>
          <w:sz w:val="20"/>
          <w:szCs w:val="20"/>
          <w:color w:val="auto"/>
        </w:rPr>
      </w:pPr>
      <w:r>
        <w:rPr>
          <w:rFonts w:ascii="Arial" w:cs="Arial" w:eastAsia="Arial" w:hAnsi="Arial"/>
          <w:sz w:val="12"/>
          <w:szCs w:val="12"/>
          <w:color w:val="auto"/>
        </w:rPr>
        <w:t>Date: March 6</w:t>
      </w:r>
      <w:r>
        <w:rPr>
          <w:rFonts w:ascii="Arial" w:cs="Arial" w:eastAsia="Arial" w:hAnsi="Arial"/>
          <w:sz w:val="13"/>
          <w:szCs w:val="13"/>
          <w:color w:val="auto"/>
        </w:rPr>
        <w:t>, 2023</w:t>
      </w:r>
      <w:r>
        <w:rPr>
          <w:sz w:val="20"/>
          <w:szCs w:val="20"/>
          <w:color w:val="auto"/>
        </w:rPr>
        <w:tab/>
      </w:r>
      <w:r>
        <w:rPr>
          <w:rFonts w:ascii="Arial" w:cs="Arial" w:eastAsia="Arial" w:hAnsi="Arial"/>
          <w:sz w:val="12"/>
          <w:szCs w:val="12"/>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16510</wp:posOffset>
            </wp:positionV>
            <wp:extent cx="283972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39720" cy="6350"/>
                    </a:xfrm>
                    <a:prstGeom prst="rect">
                      <a:avLst/>
                    </a:prstGeom>
                    <a:noFill/>
                  </pic:spPr>
                </pic:pic>
              </a:graphicData>
            </a:graphic>
          </wp:anchor>
        </w:drawing>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Brian Kocher</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471805</wp:posOffset>
            </wp:positionV>
            <wp:extent cx="568579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5790" cy="1333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31" w:name="page32"/>
    <w:bookmarkEnd w:id="31"/>
    <w:p>
      <w:pPr>
        <w:jc w:val="right"/>
        <w:ind w:right="39"/>
        <w:spacing w:after="0"/>
        <w:rPr>
          <w:sz w:val="20"/>
          <w:szCs w:val="20"/>
          <w:color w:val="auto"/>
        </w:rPr>
      </w:pPr>
      <w:r>
        <w:rPr>
          <w:rFonts w:ascii="Arial" w:cs="Arial" w:eastAsia="Arial" w:hAnsi="Arial"/>
          <w:sz w:val="14"/>
          <w:szCs w:val="14"/>
          <w:b w:val="1"/>
          <w:bCs w:val="1"/>
          <w:color w:val="auto"/>
        </w:rPr>
        <w:t>Exhibit 31.2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CERTIFICATION PURSUANT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 U.S.C. § 7241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ADOPTED PURSUANT TO</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SECTION 302 OF THE SARBANES-OXLEY ACT OF 2002</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Shawn Munsell, certify that:</w:t>
      </w:r>
    </w:p>
    <w:p>
      <w:pPr>
        <w:spacing w:after="0" w:line="181" w:lineRule="exact"/>
        <w:rPr>
          <w:sz w:val="20"/>
          <w:szCs w:val="20"/>
          <w:color w:val="auto"/>
        </w:rPr>
      </w:pPr>
    </w:p>
    <w:p>
      <w:pPr>
        <w:ind w:left="520" w:hanging="497"/>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Calavo Growers, Inc.;</w:t>
      </w:r>
    </w:p>
    <w:p>
      <w:pPr>
        <w:spacing w:after="0" w:line="181" w:lineRule="exact"/>
        <w:rPr>
          <w:rFonts w:ascii="Arial" w:cs="Arial" w:eastAsia="Arial" w:hAnsi="Arial"/>
          <w:sz w:val="12"/>
          <w:szCs w:val="12"/>
          <w:color w:val="auto"/>
        </w:rPr>
      </w:pPr>
    </w:p>
    <w:p>
      <w:pPr>
        <w:ind w:left="520" w:right="299" w:hanging="497"/>
        <w:spacing w:after="0" w:line="300" w:lineRule="auto"/>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2"/>
          <w:szCs w:val="12"/>
          <w:color w:val="auto"/>
        </w:rPr>
      </w:pPr>
    </w:p>
    <w:p>
      <w:pPr>
        <w:ind w:left="520" w:right="259" w:hanging="497"/>
        <w:spacing w:after="0" w:line="300" w:lineRule="auto"/>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2"/>
          <w:szCs w:val="12"/>
          <w:color w:val="auto"/>
        </w:rPr>
      </w:pPr>
    </w:p>
    <w:p>
      <w:pPr>
        <w:ind w:left="520" w:right="139" w:hanging="497"/>
        <w:spacing w:after="0" w:line="349" w:lineRule="auto"/>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1"/>
          <w:szCs w:val="11"/>
          <w:color w:val="auto"/>
        </w:rPr>
      </w:pPr>
    </w:p>
    <w:p>
      <w:pPr>
        <w:ind w:left="1020" w:right="59" w:hanging="502"/>
        <w:spacing w:after="0" w:line="284" w:lineRule="auto"/>
        <w:tabs>
          <w:tab w:leader="none" w:pos="10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2"/>
          <w:szCs w:val="12"/>
          <w:color w:val="auto"/>
        </w:rPr>
      </w:pPr>
    </w:p>
    <w:p>
      <w:pPr>
        <w:ind w:left="1020" w:right="99" w:hanging="502"/>
        <w:spacing w:after="0" w:line="284" w:lineRule="auto"/>
        <w:tabs>
          <w:tab w:leader="none" w:pos="10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38" w:lineRule="exact"/>
        <w:rPr>
          <w:rFonts w:ascii="Arial" w:cs="Arial" w:eastAsia="Arial" w:hAnsi="Arial"/>
          <w:sz w:val="12"/>
          <w:szCs w:val="12"/>
          <w:color w:val="auto"/>
        </w:rPr>
      </w:pPr>
    </w:p>
    <w:p>
      <w:pPr>
        <w:ind w:left="1020" w:right="359" w:hanging="502"/>
        <w:spacing w:after="0" w:line="300" w:lineRule="auto"/>
        <w:tabs>
          <w:tab w:leader="none" w:pos="10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2"/>
          <w:szCs w:val="12"/>
          <w:color w:val="auto"/>
        </w:rPr>
      </w:pPr>
    </w:p>
    <w:p>
      <w:pPr>
        <w:ind w:left="1020" w:right="99" w:hanging="502"/>
        <w:spacing w:after="0" w:line="300" w:lineRule="auto"/>
        <w:tabs>
          <w:tab w:leader="none" w:pos="10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2"/>
          <w:szCs w:val="12"/>
          <w:color w:val="auto"/>
        </w:rPr>
      </w:pPr>
    </w:p>
    <w:p>
      <w:pPr>
        <w:ind w:left="520" w:right="219" w:hanging="497"/>
        <w:spacing w:after="0" w:line="300" w:lineRule="auto"/>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2"/>
          <w:szCs w:val="12"/>
          <w:color w:val="auto"/>
        </w:rPr>
      </w:pPr>
    </w:p>
    <w:p>
      <w:pPr>
        <w:ind w:left="1020" w:right="479" w:hanging="502"/>
        <w:spacing w:after="0" w:line="300" w:lineRule="auto"/>
        <w:tabs>
          <w:tab w:leader="none" w:pos="10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2"/>
          <w:szCs w:val="12"/>
          <w:color w:val="auto"/>
        </w:rPr>
      </w:pPr>
    </w:p>
    <w:p>
      <w:pPr>
        <w:ind w:left="1020" w:right="179" w:hanging="502"/>
        <w:spacing w:after="0" w:line="300" w:lineRule="auto"/>
        <w:tabs>
          <w:tab w:leader="none" w:pos="102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4480" w:val="left"/>
        </w:tabs>
        <w:rPr>
          <w:sz w:val="20"/>
          <w:szCs w:val="20"/>
          <w:color w:val="auto"/>
        </w:rPr>
      </w:pPr>
      <w:r>
        <w:rPr>
          <w:rFonts w:ascii="Arial" w:cs="Arial" w:eastAsia="Arial" w:hAnsi="Arial"/>
          <w:sz w:val="12"/>
          <w:szCs w:val="12"/>
          <w:color w:val="auto"/>
        </w:rPr>
        <w:t>Date: March 6</w:t>
      </w:r>
      <w:r>
        <w:rPr>
          <w:rFonts w:ascii="Arial" w:cs="Arial" w:eastAsia="Arial" w:hAnsi="Arial"/>
          <w:sz w:val="13"/>
          <w:szCs w:val="13"/>
          <w:color w:val="auto"/>
        </w:rPr>
        <w:t>, 2023</w:t>
      </w:r>
      <w:r>
        <w:rPr>
          <w:sz w:val="20"/>
          <w:szCs w:val="20"/>
          <w:color w:val="auto"/>
        </w:rPr>
        <w:tab/>
      </w:r>
      <w:r>
        <w:rPr>
          <w:rFonts w:ascii="Arial" w:cs="Arial" w:eastAsia="Arial" w:hAnsi="Arial"/>
          <w:sz w:val="11"/>
          <w:szCs w:val="11"/>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16510</wp:posOffset>
            </wp:positionV>
            <wp:extent cx="283972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39720" cy="6350"/>
                    </a:xfrm>
                    <a:prstGeom prst="rect">
                      <a:avLst/>
                    </a:prstGeom>
                    <a:noFill/>
                  </pic:spPr>
                </pic:pic>
              </a:graphicData>
            </a:graphic>
          </wp:anchor>
        </w:drawing>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Shawn Munsell</w:t>
      </w:r>
    </w:p>
    <w:p>
      <w:pPr>
        <w:spacing w:after="0" w:line="1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471805</wp:posOffset>
            </wp:positionV>
            <wp:extent cx="568579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5790" cy="1333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32" w:name="page33"/>
    <w:bookmarkEnd w:id="32"/>
    <w:p>
      <w:pPr>
        <w:jc w:val="right"/>
        <w:ind w:right="39"/>
        <w:spacing w:after="0"/>
        <w:rPr>
          <w:sz w:val="20"/>
          <w:szCs w:val="20"/>
          <w:color w:val="auto"/>
        </w:rPr>
      </w:pPr>
      <w:r>
        <w:rPr>
          <w:rFonts w:ascii="Arial" w:cs="Arial" w:eastAsia="Arial" w:hAnsi="Arial"/>
          <w:sz w:val="14"/>
          <w:szCs w:val="14"/>
          <w:b w:val="1"/>
          <w:bCs w:val="1"/>
          <w:color w:val="auto"/>
        </w:rPr>
        <w:t>Exhibit 32.1</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WRITTEN STATEMENT OF CHIEF EXECUTIVE OFFICER AND CHIEF FINANCIAL OFFICER</w:t>
      </w:r>
    </w:p>
    <w:p>
      <w:pPr>
        <w:spacing w:after="0" w:line="158" w:lineRule="exact"/>
        <w:rPr>
          <w:sz w:val="20"/>
          <w:szCs w:val="20"/>
          <w:color w:val="auto"/>
        </w:rPr>
      </w:pPr>
    </w:p>
    <w:p>
      <w:pPr>
        <w:ind w:left="20" w:right="79" w:firstLine="495"/>
        <w:spacing w:after="0" w:line="250" w:lineRule="auto"/>
        <w:rPr>
          <w:sz w:val="20"/>
          <w:szCs w:val="20"/>
          <w:color w:val="auto"/>
        </w:rPr>
      </w:pPr>
      <w:r>
        <w:rPr>
          <w:rFonts w:ascii="Arial" w:cs="Arial" w:eastAsia="Arial" w:hAnsi="Arial"/>
          <w:sz w:val="14"/>
          <w:szCs w:val="14"/>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January 31, 2023,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March 6, 2023</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Brian Kocher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-101600</wp:posOffset>
            </wp:positionV>
            <wp:extent cx="284607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Shawn Munsell</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-101600</wp:posOffset>
            </wp:positionV>
            <wp:extent cx="284607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892810</wp:posOffset>
            </wp:positionV>
            <wp:extent cx="568579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5790" cy="19685"/>
                    </a:xfrm>
                    <a:prstGeom prst="rect">
                      <a:avLst/>
                    </a:prstGeom>
                    <a:noFill/>
                  </pic:spPr>
                </pic:pic>
              </a:graphicData>
            </a:graphic>
          </wp:anchor>
        </w:drawing>
      </w:r>
    </w:p>
    <w:sectPr>
      <w:pgSz w:w="11900" w:h="16838" w:orient="portrait"/>
      <w:cols w:equalWidth="0" w:num="1">
        <w:col w:w="9019"/>
      </w:cols>
      <w:pgMar w:left="1440" w:top="3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7"/>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10"/>
    </w:lvl>
    <w:lvl w:ilvl="1">
      <w:lvlJc w:val="left"/>
      <w:lvlText w:val="%2"/>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
      <w:numFmt w:val="bullet"/>
      <w:start w:val="1"/>
    </w:lvl>
    <w:lvl w:ilvl="1">
      <w:lvlJc w:val="left"/>
      <w:lvlText w:val="%2"/>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2023-03-06T17:01:12Z</dcterms:created>
  <dcterms:modified xsi:type="dcterms:W3CDTF">2023-03-06T17:01:12Z</dcterms:modified>
</cp:coreProperties>
</file>