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58420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59" w:lineRule="exact"/>
        <w:rPr>
          <w:sz w:val="24"/>
          <w:szCs w:val="24"/>
          <w:color w:val="auto"/>
        </w:rPr>
      </w:pPr>
    </w:p>
    <w:p>
      <w:pPr>
        <w:ind w:left="1480" w:hanging="518"/>
        <w:spacing w:after="0"/>
        <w:tabs>
          <w:tab w:leader="none" w:pos="148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April 30,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24" w:lineRule="exact"/>
        <w:rPr>
          <w:sz w:val="24"/>
          <w:szCs w:val="24"/>
          <w:color w:val="auto"/>
        </w:rPr>
      </w:pPr>
    </w:p>
    <w:p>
      <w:pPr>
        <w:ind w:left="1480" w:hanging="518"/>
        <w:spacing w:after="0"/>
        <w:tabs>
          <w:tab w:leader="none" w:pos="148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w:t>
      </w:r>
    </w:p>
    <w:p>
      <w:pPr>
        <w:spacing w:after="0" w:line="25" w:lineRule="exact"/>
        <w:rPr>
          <w:rFonts w:ascii="MS PGothic" w:cs="MS PGothic" w:eastAsia="MS PGothic" w:hAnsi="MS PGothic"/>
          <w:sz w:val="20"/>
          <w:szCs w:val="20"/>
          <w:color w:val="auto"/>
          <w:highlight w:val="black"/>
        </w:rPr>
      </w:pPr>
    </w:p>
    <w:p>
      <w:pPr>
        <w:ind w:left="148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OF THE SECURITIES EXCHANGE ACT OF 1934</w:t>
      </w:r>
    </w:p>
    <w:p>
      <w:pPr>
        <w:spacing w:after="0" w:line="21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 xml:space="preserve">For the transition period from </w:t>
      </w:r>
      <w:r>
        <w:rPr>
          <w:rFonts w:ascii="Times New Roman" w:cs="Times New Roman" w:eastAsia="Times New Roman" w:hAnsi="Times New Roman"/>
          <w:sz w:val="16"/>
          <w:szCs w:val="16"/>
          <w:b w:val="1"/>
          <w:bCs w:val="1"/>
          <w:u w:val="single" w:color="auto"/>
          <w:color w:val="auto"/>
        </w:rPr>
        <w:t>______________________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b w:val="1"/>
          <w:bCs w:val="1"/>
          <w:u w:val="single" w:color="auto"/>
          <w:color w:val="auto"/>
        </w:rPr>
        <w:t>______________________</w:t>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000-33385</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CALAVO GROWERS, INC.</w:t>
      </w:r>
    </w:p>
    <w:p>
      <w:pPr>
        <w:sectPr>
          <w:pgSz w:w="11900" w:h="16838" w:orient="portrait"/>
          <w:cols w:equalWidth="0" w:num="1">
            <w:col w:w="10220"/>
          </w:cols>
          <w:pgMar w:left="840" w:top="661" w:right="839" w:bottom="1440" w:gutter="0" w:footer="0" w:header="0"/>
        </w:sectPr>
      </w:pPr>
    </w:p>
    <w:p>
      <w:pPr>
        <w:spacing w:after="0" w:line="362" w:lineRule="exact"/>
        <w:rPr>
          <w:sz w:val="24"/>
          <w:szCs w:val="24"/>
          <w:color w:val="auto"/>
        </w:rPr>
      </w:pPr>
    </w:p>
    <w:p>
      <w:pPr>
        <w:jc w:val="center"/>
        <w:ind w:left="1800"/>
        <w:spacing w:after="0"/>
        <w:rPr>
          <w:sz w:val="20"/>
          <w:szCs w:val="20"/>
          <w:color w:val="auto"/>
        </w:rPr>
      </w:pPr>
      <w:r>
        <w:rPr>
          <w:rFonts w:ascii="Times New Roman" w:cs="Times New Roman" w:eastAsia="Times New Roman" w:hAnsi="Times New Roman"/>
          <w:sz w:val="16"/>
          <w:szCs w:val="16"/>
          <w:b w:val="1"/>
          <w:bCs w:val="1"/>
          <w:color w:val="auto"/>
        </w:rPr>
        <w:t>California</w:t>
      </w:r>
    </w:p>
    <w:p>
      <w:pPr>
        <w:spacing w:after="0" w:line="43"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5"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90" w:lineRule="exact"/>
        <w:rPr>
          <w:sz w:val="24"/>
          <w:szCs w:val="24"/>
          <w:color w:val="auto"/>
        </w:rPr>
      </w:pPr>
    </w:p>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33-0945304</w:t>
      </w:r>
    </w:p>
    <w:p>
      <w:pPr>
        <w:spacing w:after="0" w:line="111" w:lineRule="exact"/>
        <w:rPr>
          <w:sz w:val="24"/>
          <w:szCs w:val="24"/>
          <w:color w:val="auto"/>
        </w:rPr>
      </w:pPr>
    </w:p>
    <w:p>
      <w:pPr>
        <w:jc w:val="right"/>
        <w:ind w:right="164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17" w:lineRule="exact"/>
        <w:rPr>
          <w:sz w:val="24"/>
          <w:szCs w:val="24"/>
          <w:color w:val="auto"/>
        </w:rPr>
      </w:pPr>
    </w:p>
    <w:p>
      <w:pPr>
        <w:sectPr>
          <w:pgSz w:w="11900" w:h="16838" w:orient="portrait"/>
          <w:cols w:equalWidth="0" w:num="2">
            <w:col w:w="3300" w:space="420"/>
            <w:col w:w="6500"/>
          </w:cols>
          <w:pgMar w:left="840" w:top="661" w:right="8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654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1141-A Cummings Road, Santa Paula, California</w:t>
            </w:r>
          </w:p>
        </w:tc>
        <w:tc>
          <w:tcPr>
            <w:tcW w:w="3680" w:type="dxa"/>
            <w:vAlign w:val="bottom"/>
          </w:tcPr>
          <w:p>
            <w:pPr>
              <w:jc w:val="right"/>
              <w:ind w:right="2224"/>
              <w:spacing w:after="0"/>
              <w:rPr>
                <w:sz w:val="20"/>
                <w:szCs w:val="20"/>
                <w:color w:val="auto"/>
              </w:rPr>
            </w:pPr>
            <w:r>
              <w:rPr>
                <w:rFonts w:ascii="Times New Roman" w:cs="Times New Roman" w:eastAsia="Times New Roman" w:hAnsi="Times New Roman"/>
                <w:sz w:val="16"/>
                <w:szCs w:val="16"/>
                <w:b w:val="1"/>
                <w:bCs w:val="1"/>
                <w:color w:val="auto"/>
              </w:rPr>
              <w:t>93060</w:t>
            </w:r>
          </w:p>
        </w:tc>
        <w:tc>
          <w:tcPr>
            <w:tcW w:w="0" w:type="dxa"/>
            <w:vAlign w:val="bottom"/>
          </w:tcPr>
          <w:p>
            <w:pPr>
              <w:spacing w:after="0"/>
              <w:rPr>
                <w:sz w:val="1"/>
                <w:szCs w:val="1"/>
                <w:color w:val="auto"/>
              </w:rPr>
            </w:pPr>
          </w:p>
        </w:tc>
      </w:tr>
      <w:tr>
        <w:trPr>
          <w:trHeight w:val="164"/>
        </w:trPr>
        <w:tc>
          <w:tcPr>
            <w:tcW w:w="6540" w:type="dxa"/>
            <w:vAlign w:val="bottom"/>
            <w:gridSpan w:val="5"/>
          </w:tcPr>
          <w:p>
            <w:pPr>
              <w:ind w:left="150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6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389"/>
        </w:trPr>
        <w:tc>
          <w:tcPr>
            <w:tcW w:w="2920" w:type="dxa"/>
            <w:vAlign w:val="bottom"/>
          </w:tcPr>
          <w:p>
            <w:pPr>
              <w:spacing w:after="0"/>
              <w:rPr>
                <w:sz w:val="24"/>
                <w:szCs w:val="24"/>
                <w:color w:val="auto"/>
              </w:rPr>
            </w:pPr>
          </w:p>
        </w:tc>
        <w:tc>
          <w:tcPr>
            <w:tcW w:w="3460" w:type="dxa"/>
            <w:vAlign w:val="bottom"/>
            <w:gridSpan w:val="3"/>
          </w:tcPr>
          <w:p>
            <w:pPr>
              <w:jc w:val="center"/>
              <w:ind w:left="848"/>
              <w:spacing w:after="0"/>
              <w:rPr>
                <w:sz w:val="20"/>
                <w:szCs w:val="20"/>
                <w:color w:val="auto"/>
              </w:rPr>
            </w:pPr>
            <w:r>
              <w:rPr>
                <w:rFonts w:ascii="Times New Roman" w:cs="Times New Roman" w:eastAsia="Times New Roman" w:hAnsi="Times New Roman"/>
                <w:sz w:val="16"/>
                <w:szCs w:val="16"/>
                <w:b w:val="1"/>
                <w:bCs w:val="1"/>
                <w:color w:val="auto"/>
              </w:rPr>
              <w:t>(805) 525-1245</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2"/>
          </w:tcPr>
          <w:p>
            <w:pPr>
              <w:jc w:val="center"/>
              <w:ind w:left="344"/>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2"/>
          </w:tcPr>
          <w:p>
            <w:pPr>
              <w:jc w:val="center"/>
              <w:ind w:left="324"/>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7300" w:type="dxa"/>
            <w:vAlign w:val="bottom"/>
            <w:gridSpan w:val="5"/>
          </w:tcPr>
          <w:p>
            <w:pPr>
              <w:jc w:val="center"/>
              <w:ind w:right="2864"/>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c>
          <w:tcPr>
            <w:tcW w:w="0" w:type="dxa"/>
            <w:vAlign w:val="bottom"/>
          </w:tcPr>
          <w:p>
            <w:pPr>
              <w:spacing w:after="0"/>
              <w:rPr>
                <w:sz w:val="1"/>
                <w:szCs w:val="1"/>
                <w:color w:val="auto"/>
              </w:rPr>
            </w:pPr>
          </w:p>
        </w:tc>
      </w:tr>
      <w:tr>
        <w:trPr>
          <w:trHeight w:val="320"/>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80" w:type="dxa"/>
            <w:vAlign w:val="bottom"/>
            <w:gridSpan w:val="4"/>
          </w:tcPr>
          <w:p>
            <w:pPr>
              <w:jc w:val="center"/>
              <w:ind w:right="3064"/>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30"/>
        </w:trPr>
        <w:tc>
          <w:tcPr>
            <w:tcW w:w="2920" w:type="dxa"/>
            <w:vAlign w:val="bottom"/>
          </w:tcPr>
          <w:p>
            <w:pPr>
              <w:jc w:val="center"/>
              <w:ind w:left="126"/>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920" w:type="dxa"/>
            <w:vAlign w:val="bottom"/>
          </w:tcPr>
          <w:p>
            <w:pPr>
              <w:jc w:val="center"/>
              <w:ind w:left="126"/>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CVGW</w:t>
            </w:r>
          </w:p>
        </w:tc>
        <w:tc>
          <w:tcPr>
            <w:tcW w:w="160" w:type="dxa"/>
            <w:vAlign w:val="bottom"/>
            <w:vMerge w:val="continue"/>
          </w:tcPr>
          <w:p>
            <w:pPr>
              <w:spacing w:after="0"/>
              <w:rPr>
                <w:sz w:val="17"/>
                <w:szCs w:val="17"/>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ind w:right="38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4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spacing w:after="0" w:line="184" w:lineRule="exact"/>
        <w:tabs>
          <w:tab w:leader="none" w:pos="2940" w:val="left"/>
          <w:tab w:leader="none" w:pos="5160" w:val="left"/>
          <w:tab w:leader="none" w:pos="77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4" w:lineRule="exact"/>
        <w:rPr>
          <w:sz w:val="24"/>
          <w:szCs w:val="24"/>
          <w:color w:val="auto"/>
        </w:rPr>
      </w:pPr>
    </w:p>
    <w:p>
      <w:pPr>
        <w:ind w:right="2020"/>
        <w:spacing w:after="0" w:line="2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Registrant's number of shares of common stock outstanding as of May 31, 2024 was 17,800,095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159385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201930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2426335</wp:posOffset>
            </wp:positionH>
            <wp:positionV relativeFrom="paragraph">
              <wp:posOffset>73660</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5" w:lineRule="exact"/>
        <w:rPr>
          <w:sz w:val="20"/>
          <w:szCs w:val="20"/>
          <w:color w:val="auto"/>
        </w:rPr>
      </w:pPr>
    </w:p>
    <w:p>
      <w:pPr>
        <w:ind w:left="40" w:right="79" w:firstLine="259"/>
        <w:spacing w:after="0" w:line="234" w:lineRule="auto"/>
        <w:rPr>
          <w:sz w:val="20"/>
          <w:szCs w:val="20"/>
          <w:color w:val="auto"/>
        </w:rPr>
      </w:pPr>
      <w:r>
        <w:rPr>
          <w:rFonts w:ascii="Times New Roman" w:cs="Times New Roman" w:eastAsia="Times New Roman" w:hAnsi="Times New Roman"/>
          <w:sz w:val="17"/>
          <w:szCs w:val="17"/>
          <w:color w:val="auto"/>
        </w:rPr>
        <w:t>This Quarterly Report on Form 10-Q, including the “Management’s Discussion and Analysis of Financial Condition and Results of Operations” in Item 2, contains statements relating to future events and results of Calavo Growers, Inc. and its consolidated subsidiaries (referred to in this report as “Calavo,” the “Company,” “we,” “us” or “our”),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 The use of words such as "anticipates," "estimates," "expects," "projects," "intends," "plans" and "believes," among others, generally identify forward-looking statements.</w:t>
      </w:r>
    </w:p>
    <w:p>
      <w:pPr>
        <w:spacing w:after="0" w:line="90" w:lineRule="exact"/>
        <w:rPr>
          <w:sz w:val="20"/>
          <w:szCs w:val="20"/>
          <w:color w:val="auto"/>
        </w:rPr>
      </w:pPr>
    </w:p>
    <w:p>
      <w:pPr>
        <w:ind w:left="40" w:right="59" w:firstLine="259"/>
        <w:spacing w:after="0" w:line="233"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operational and restructuring initiatives on our business, results of operations, and financial condition, including uncertainty as to whether the desired effects will be achieved; and potential long-term adverse effects from reducing capital expenditures;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resolution of pending investigations, legal claims and tax disputes, including an assessment imposed by the Mexican Tax Administrative Service (the “SAT”) and our defenses against collection activities commenced by the SAT; the ability of the parties to reach a binding agreement for the Proposed Transaction (as defined below), the potential that the price, structure, form of consideration (for example, cash, promissory, equity) and other material terms may be materially different than currently expected, the continuing financial and operating performance of the Fresh Cut business during the negotiation process; the possible effect of the announcement of the sale of the Fresh Cut business on our customer, vendor and supplier relationships, operating results and business generally; and if the Company enters into a binding agreement for the Proposed Transaction, the occurrence of any event, change or other circumstance that prevents the completion of the Proposed Transaction, including the failure to satisfy all closing conditions included in such binding agreement.</w:t>
      </w:r>
    </w:p>
    <w:p>
      <w:pPr>
        <w:spacing w:after="0" w:line="100" w:lineRule="exact"/>
        <w:rPr>
          <w:sz w:val="20"/>
          <w:szCs w:val="20"/>
          <w:color w:val="auto"/>
        </w:rPr>
      </w:pPr>
    </w:p>
    <w:p>
      <w:pPr>
        <w:ind w:left="40" w:right="59" w:firstLine="259"/>
        <w:spacing w:after="0" w:line="238" w:lineRule="auto"/>
        <w:rPr>
          <w:sz w:val="20"/>
          <w:szCs w:val="20"/>
          <w:color w:val="auto"/>
        </w:rPr>
      </w:pPr>
      <w:r>
        <w:rPr>
          <w:rFonts w:ascii="Times New Roman" w:cs="Times New Roman" w:eastAsia="Times New Roman" w:hAnsi="Times New Roman"/>
          <w:sz w:val="17"/>
          <w:szCs w:val="17"/>
          <w:color w:val="auto"/>
        </w:rPr>
        <w:t>For a further discussion of these risks and uncertainties and other risks and uncertainties that we face, please see the risk factors described in our most recent Annual Report on Form 10-K for the fiscal year ended October 31, 2023 filed with the Securities and Exchange Commission and any subsequent updates that may be contained in our Quarterly Reports on Form 10-Q (including this Quarterly Report on Form 10-Q) and other filings with the Securities and Exchange Commission. Forward-looking statements contained in this Quarterly Report on Form 10-Q are made only as of the date of this report,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392"/>
        </w:trPr>
        <w:tc>
          <w:tcPr>
            <w:tcW w:w="30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494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Financial Statements (unaudited):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Consolidated Balance Sheets –April 30, 2024 and October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line="20" w:lineRule="exact"/>
              <w:rPr>
                <w:sz w:val="1"/>
                <w:szCs w:val="1"/>
                <w:color w:val="auto"/>
              </w:rPr>
            </w:pPr>
          </w:p>
        </w:tc>
      </w:tr>
      <w:tr>
        <w:trPr>
          <w:trHeight w:val="39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Consolidated Statements of Operations –Three and Six Months Ended April 30, 2024 and 2023</w:t>
            </w:r>
          </w:p>
        </w:tc>
        <w:tc>
          <w:tcPr>
            <w:tcW w:w="1160" w:type="dxa"/>
            <w:vAlign w:val="bottom"/>
            <w:gridSpan w:val="3"/>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Consolidated Statements of Cash Flows –Three and Six Months Ended April 30,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Consolidated Statements of Shareholders’ Equity – Three and Six Months Ended April 30, 2024 and 2023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2.</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3.</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4.</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b w:val="1"/>
                <w:bCs w:val="1"/>
                <w:color w:val="0000EE"/>
                <w:w w:val="99"/>
              </w:rPr>
              <w:t>PART II. OTHER INFORMATION</w:t>
            </w:r>
          </w:p>
        </w:tc>
        <w:tc>
          <w:tcPr>
            <w:tcW w:w="552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1.</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160" w:type="dxa"/>
            <w:vAlign w:val="bottom"/>
            <w:tcBorders>
              <w:left w:val="single" w:sz="8" w:color="0000EE"/>
            </w:tcBorders>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1A.</w:t>
            </w: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Item 6.</w:t>
            </w:r>
          </w:p>
        </w:tc>
        <w:tc>
          <w:tcPr>
            <w:tcW w:w="200" w:type="dxa"/>
            <w:vAlign w:val="bottom"/>
            <w:gridSpan w:val="2"/>
          </w:tcPr>
          <w:p>
            <w:pPr>
              <w:spacing w:after="0"/>
              <w:rPr>
                <w:sz w:val="24"/>
                <w:szCs w:val="24"/>
                <w:color w:val="auto"/>
              </w:rPr>
            </w:pPr>
          </w:p>
        </w:tc>
        <w:tc>
          <w:tcPr>
            <w:tcW w:w="734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666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CALAVO GROWERS, INC.</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BALANCE SHEETS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15"/>
        </w:trPr>
        <w:tc>
          <w:tcPr>
            <w:tcW w:w="6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8"/>
                <w:szCs w:val="18"/>
                <w:color w:val="auto"/>
              </w:rPr>
            </w:pPr>
          </w:p>
        </w:tc>
      </w:tr>
      <w:tr>
        <w:trPr>
          <w:trHeight w:val="199"/>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$4,127 (2024) and $3,364 (2023)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33,897</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11,739</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Advances to suppliers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14,684</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138,927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37,533</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80" w:type="dxa"/>
            <w:vAlign w:val="bottom"/>
            <w:tcBorders>
              <w:bottom w:val="single" w:sz="8" w:color="CCEEFF"/>
            </w:tcBorders>
          </w:tcPr>
          <w:p>
            <w:pPr>
              <w:spacing w:after="0"/>
              <w:rPr>
                <w:sz w:val="17"/>
                <w:szCs w:val="17"/>
                <w:color w:val="auto"/>
              </w:rPr>
            </w:pPr>
          </w:p>
        </w:tc>
      </w:tr>
      <w:tr>
        <w:trPr>
          <w:trHeight w:val="19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262,344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133,370</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60,924</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18,357</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105,424</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57,962</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52,381</w:t>
            </w:r>
          </w:p>
        </w:tc>
        <w:tc>
          <w:tcPr>
            <w:tcW w:w="280" w:type="dxa"/>
            <w:vAlign w:val="bottom"/>
            <w:shd w:val="clear" w:color="auto" w:fill="CCEEFF"/>
          </w:tcPr>
          <w:p>
            <w:pPr>
              <w:spacing w:after="0"/>
              <w:rPr>
                <w:sz w:val="17"/>
                <w:szCs w:val="17"/>
                <w:color w:val="auto"/>
              </w:rPr>
            </w:pPr>
          </w:p>
        </w:tc>
      </w:tr>
      <w:tr>
        <w:trPr>
          <w:trHeight w:val="236"/>
        </w:trPr>
        <w:tc>
          <w:tcPr>
            <w:tcW w:w="68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411,369</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386,854</w:t>
            </w:r>
          </w:p>
        </w:tc>
        <w:tc>
          <w:tcPr>
            <w:tcW w:w="280" w:type="dxa"/>
            <w:vAlign w:val="bottom"/>
            <w:tcBorders>
              <w:bottom w:val="single" w:sz="8" w:color="CCEEFF"/>
            </w:tcBorders>
          </w:tcPr>
          <w:p>
            <w:pPr>
              <w:spacing w:after="0"/>
              <w:rPr>
                <w:sz w:val="20"/>
                <w:szCs w:val="20"/>
                <w:color w:val="auto"/>
              </w:rPr>
            </w:pPr>
          </w:p>
        </w:tc>
      </w:tr>
      <w:tr>
        <w:trPr>
          <w:trHeight w:val="183"/>
        </w:trPr>
        <w:tc>
          <w:tcPr>
            <w:tcW w:w="68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 to growers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37,491</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14,788</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accounts payable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15,809</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obligations and finance leases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280" w:type="dxa"/>
            <w:vAlign w:val="bottom"/>
            <w:tcBorders>
              <w:bottom w:val="single" w:sz="8" w:color="CCEEFF"/>
            </w:tcBorders>
          </w:tcPr>
          <w:p>
            <w:pPr>
              <w:spacing w:after="0"/>
              <w:rPr>
                <w:sz w:val="17"/>
                <w:szCs w:val="17"/>
                <w:color w:val="auto"/>
              </w:rPr>
            </w:pPr>
          </w:p>
        </w:tc>
      </w:tr>
      <w:tr>
        <w:trPr>
          <w:trHeight w:val="19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133,182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81,746</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pursuant to line of credit, long-term</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35,024</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liabilities held for sale</w:t>
            </w:r>
          </w:p>
        </w:tc>
        <w:tc>
          <w:tcPr>
            <w:tcW w:w="10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29,295</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term loan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17,328</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portion of obligations and finance leases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280" w:type="dxa"/>
            <w:vAlign w:val="bottom"/>
            <w:shd w:val="clear" w:color="auto" w:fill="CCEEFF"/>
          </w:tcPr>
          <w:p>
            <w:pPr>
              <w:spacing w:after="0"/>
              <w:rPr>
                <w:sz w:val="17"/>
                <w:szCs w:val="17"/>
                <w:color w:val="auto"/>
              </w:rPr>
            </w:pPr>
          </w:p>
        </w:tc>
      </w:tr>
      <w:tr>
        <w:trPr>
          <w:trHeight w:val="196"/>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70,856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94,879</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17,800 (2024) and 17,761 (2023)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CEEFF"/>
          </w:tcPr>
          <w:p>
            <w:pPr>
              <w:spacing w:after="0"/>
              <w:rPr>
                <w:sz w:val="18"/>
                <w:szCs w:val="18"/>
                <w:color w:val="auto"/>
              </w:rPr>
            </w:pPr>
          </w:p>
        </w:tc>
      </w:tr>
      <w:tr>
        <w:trPr>
          <w:trHeight w:val="202"/>
        </w:trPr>
        <w:tc>
          <w:tcPr>
            <w:tcW w:w="6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176,481</w:t>
            </w:r>
          </w:p>
        </w:tc>
        <w:tc>
          <w:tcPr>
            <w:tcW w:w="280" w:type="dxa"/>
            <w:vAlign w:val="bottom"/>
          </w:tcPr>
          <w:p>
            <w:pPr>
              <w:spacing w:after="0"/>
              <w:rPr>
                <w:sz w:val="17"/>
                <w:szCs w:val="17"/>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28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28,572</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32,338</w:t>
            </w:r>
          </w:p>
        </w:tc>
        <w:tc>
          <w:tcPr>
            <w:tcW w:w="280" w:type="dxa"/>
            <w:vAlign w:val="bottom"/>
            <w:tcBorders>
              <w:bottom w:val="single" w:sz="8" w:color="CCEEFF"/>
            </w:tcBorders>
          </w:tcPr>
          <w:p>
            <w:pPr>
              <w:spacing w:after="0"/>
              <w:rPr>
                <w:sz w:val="17"/>
                <w:szCs w:val="17"/>
                <w:color w:val="auto"/>
              </w:rPr>
            </w:pPr>
          </w:p>
        </w:tc>
      </w:tr>
      <w:tr>
        <w:trPr>
          <w:trHeight w:val="196"/>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207,331</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210,229</w:t>
            </w:r>
          </w:p>
        </w:tc>
        <w:tc>
          <w:tcPr>
            <w:tcW w:w="280" w:type="dxa"/>
            <w:vAlign w:val="bottom"/>
            <w:shd w:val="clear" w:color="auto" w:fill="CCEEFF"/>
          </w:tcPr>
          <w:p>
            <w:pPr>
              <w:spacing w:after="0"/>
              <w:rPr>
                <w:sz w:val="17"/>
                <w:szCs w:val="17"/>
                <w:color w:val="auto"/>
              </w:rPr>
            </w:pPr>
          </w:p>
        </w:tc>
      </w:tr>
      <w:tr>
        <w:trPr>
          <w:trHeight w:val="196"/>
        </w:trPr>
        <w:tc>
          <w:tcPr>
            <w:tcW w:w="68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411,369</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386,854</w:t>
            </w:r>
          </w:p>
        </w:tc>
        <w:tc>
          <w:tcPr>
            <w:tcW w:w="280" w:type="dxa"/>
            <w:vAlign w:val="bottom"/>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42"/>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158,279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311,989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291,042</w:t>
            </w:r>
          </w:p>
        </w:tc>
        <w:tc>
          <w:tcPr>
            <w:tcW w:w="20" w:type="dxa"/>
            <w:vAlign w:val="bottom"/>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142,608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279,164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262,286</w:t>
            </w:r>
          </w:p>
        </w:tc>
        <w:tc>
          <w:tcPr>
            <w:tcW w:w="2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25,003</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0" w:type="dxa"/>
            <w:vAlign w:val="bottom"/>
            <w:shd w:val="clear" w:color="auto" w:fill="CCEEFF"/>
          </w:tcPr>
          <w:p>
            <w:pPr>
              <w:spacing w:after="0"/>
              <w:rPr>
                <w:sz w:val="18"/>
                <w:szCs w:val="18"/>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Borders>
              <w:bottom w:val="single" w:sz="8" w:color="CCEEFF"/>
            </w:tcBorders>
          </w:tcPr>
          <w:p>
            <w:pPr>
              <w:spacing w:after="0"/>
              <w:rPr>
                <w:sz w:val="18"/>
                <w:szCs w:val="18"/>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loss from unconsolidated entities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unconsolidated entities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18"/>
                <w:szCs w:val="18"/>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(refer to Note 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(7,757)</w:t>
            </w: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r>
      <w:tr>
        <w:trPr>
          <w:trHeight w:val="249"/>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20" w:type="dxa"/>
            <w:vAlign w:val="bottom"/>
            <w:tcBorders>
              <w:bottom w:val="single" w:sz="8" w:color="CCEEFF"/>
            </w:tcBorders>
          </w:tcPr>
          <w:p>
            <w:pPr>
              <w:spacing w:after="0"/>
              <w:rPr>
                <w:sz w:val="21"/>
                <w:szCs w:val="21"/>
                <w:color w:val="auto"/>
              </w:rPr>
            </w:pPr>
          </w:p>
        </w:tc>
      </w:tr>
      <w:tr>
        <w:trPr>
          <w:trHeight w:val="197"/>
        </w:trPr>
        <w:tc>
          <w:tcPr>
            <w:tcW w:w="4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(0.44)</w:t>
            </w: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(0.44)</w:t>
            </w:r>
          </w:p>
        </w:tc>
      </w:tr>
      <w:tr>
        <w:trPr>
          <w:trHeight w:val="216"/>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56"/>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20" w:type="dxa"/>
            <w:vAlign w:val="bottom"/>
            <w:tcBorders>
              <w:bottom w:val="single" w:sz="8" w:color="CCEEFF"/>
            </w:tcBorders>
          </w:tcPr>
          <w:p>
            <w:pPr>
              <w:spacing w:after="0"/>
              <w:rPr>
                <w:sz w:val="22"/>
                <w:szCs w:val="22"/>
                <w:color w:val="auto"/>
              </w:rPr>
            </w:pPr>
          </w:p>
        </w:tc>
      </w:tr>
      <w:tr>
        <w:trPr>
          <w:trHeight w:val="196"/>
        </w:trPr>
        <w:tc>
          <w:tcPr>
            <w:tcW w:w="4980" w:type="dxa"/>
            <w:vAlign w:val="bottom"/>
            <w:tcBorders>
              <w:bottom w:val="single" w:sz="8" w:color="CCEEFF"/>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17,872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17,883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17,857</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300" w:type="dxa"/>
            <w:vAlign w:val="bottom"/>
          </w:tcPr>
          <w:p>
            <w:pPr>
              <w:spacing w:after="0"/>
              <w:rPr>
                <w:sz w:val="12"/>
                <w:szCs w:val="12"/>
                <w:color w:val="auto"/>
              </w:rPr>
            </w:pP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from unconsolidated entities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Divesture of Calavo Salsa Lisa</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Provision for uncollectible Mexican IVA taxes receivable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Gain on sale of Temecula packinghouse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(21,298)</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(9,811)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(9,609)</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2,617</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Advances to suppliers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(970)</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(5,746)</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Payable to growers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22,703</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6,611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Trade accounts payable, accrued expenses and other liabilities</w:t>
            </w:r>
          </w:p>
        </w:tc>
        <w:tc>
          <w:tcPr>
            <w:tcW w:w="8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3,256</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6,726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2,150</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(3,778)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8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(2,377)</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(2,377)</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(8,461)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dividend to shareholders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83,176</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revolving credit facility</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(76,175)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of minimum withholding taxes on net share settlement of equity awards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term loan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obligations and finance leases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(926)</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top w:val="single" w:sz="8" w:color="CCEEFF"/>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1,648</w:t>
            </w: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13,303</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1,421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8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2,852</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880" w:type="dxa"/>
            <w:vAlign w:val="bottom"/>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4,273</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4,198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8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obtained in exchange for new financing lease obligations</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300" w:type="dxa"/>
            <w:vAlign w:val="bottom"/>
          </w:tcPr>
          <w:p>
            <w:pPr>
              <w:spacing w:after="0"/>
              <w:rPr>
                <w:sz w:val="16"/>
                <w:szCs w:val="16"/>
                <w:color w:val="auto"/>
              </w:rPr>
            </w:pP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Settlement of Agricola Belher infrastructure advance offset against payable to growers</w:t>
            </w:r>
          </w:p>
        </w:tc>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600</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Property, plant, and equipment included in trade accounts payable and accrued expenses</w:t>
            </w:r>
          </w:p>
        </w:tc>
        <w:tc>
          <w:tcPr>
            <w:tcW w:w="8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w:t>
            </w:r>
          </w:p>
        </w:tc>
        <w:tc>
          <w:tcPr>
            <w:tcW w:w="30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CALAVO GROWERS,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SHAREHOLDERS’ EQUITY (UNAUDITED)</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28"/>
        </w:trPr>
        <w:tc>
          <w:tcPr>
            <w:tcW w:w="354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January 31, 2024</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17,800</w:t>
            </w:r>
          </w:p>
        </w:tc>
        <w:tc>
          <w:tcPr>
            <w:tcW w:w="2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2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176,823</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24,290</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1,402</w:t>
            </w:r>
          </w:p>
        </w:tc>
        <w:tc>
          <w:tcPr>
            <w:tcW w:w="320" w:type="dxa"/>
            <w:vAlign w:val="bottom"/>
            <w:gridSpan w:val="2"/>
            <w:shd w:val="clear" w:color="auto" w:fill="CCEEFF"/>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202,533</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505</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(1,780)</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 attributable to Calavo Growers, Inc.</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6,062</w:t>
            </w:r>
          </w:p>
        </w:tc>
      </w:tr>
      <w:tr>
        <w:trPr>
          <w:trHeight w:val="129"/>
        </w:trPr>
        <w:tc>
          <w:tcPr>
            <w:tcW w:w="35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2024</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177,302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28,572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207,331</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5"/>
        </w:trPr>
        <w:tc>
          <w:tcPr>
            <w:tcW w:w="3520" w:type="dxa"/>
            <w:vAlign w:val="bottom"/>
          </w:tcPr>
          <w:p>
            <w:pPr>
              <w:spacing w:after="0"/>
              <w:rPr>
                <w:sz w:val="13"/>
                <w:szCs w:val="13"/>
                <w:color w:val="auto"/>
              </w:rPr>
            </w:pPr>
          </w:p>
        </w:tc>
        <w:tc>
          <w:tcPr>
            <w:tcW w:w="16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760" w:type="dxa"/>
            <w:vAlign w:val="bottom"/>
          </w:tcPr>
          <w:p>
            <w:pPr>
              <w:spacing w:after="0"/>
              <w:rPr>
                <w:sz w:val="13"/>
                <w:szCs w:val="13"/>
                <w:color w:val="auto"/>
              </w:rPr>
            </w:pPr>
          </w:p>
        </w:tc>
      </w:tr>
      <w:tr>
        <w:trPr>
          <w:trHeight w:val="129"/>
        </w:trPr>
        <w:tc>
          <w:tcPr>
            <w:tcW w:w="3520" w:type="dxa"/>
            <w:vAlign w:val="bottom"/>
          </w:tcPr>
          <w:p>
            <w:pPr>
              <w:spacing w:after="0"/>
              <w:rPr>
                <w:sz w:val="11"/>
                <w:szCs w:val="11"/>
                <w:color w:val="auto"/>
              </w:rPr>
            </w:pPr>
          </w:p>
        </w:tc>
        <w:tc>
          <w:tcPr>
            <w:tcW w:w="78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1"/>
                <w:szCs w:val="11"/>
                <w:color w:val="auto"/>
              </w:rPr>
            </w:pPr>
          </w:p>
        </w:tc>
        <w:tc>
          <w:tcPr>
            <w:tcW w:w="78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00" w:type="dxa"/>
            <w:vAlign w:val="bottom"/>
          </w:tcPr>
          <w:p>
            <w:pPr>
              <w:spacing w:after="0"/>
              <w:rPr>
                <w:sz w:val="11"/>
                <w:szCs w:val="11"/>
                <w:color w:val="auto"/>
              </w:rPr>
            </w:pPr>
          </w:p>
        </w:tc>
        <w:tc>
          <w:tcPr>
            <w:tcW w:w="9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760" w:type="dxa"/>
            <w:vAlign w:val="bottom"/>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January 31, 2023</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17,743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172,524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42,945</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1,288</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216,775</w:t>
            </w:r>
          </w:p>
        </w:tc>
      </w:tr>
      <w:tr>
        <w:trPr>
          <w:trHeight w:val="117"/>
        </w:trPr>
        <w:tc>
          <w:tcPr>
            <w:tcW w:w="35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53"/>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 compensation expense</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2,150</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2,150</w:t>
            </w:r>
          </w:p>
        </w:tc>
      </w:tr>
      <w:tr>
        <w:trPr>
          <w:trHeight w:val="135"/>
        </w:trPr>
        <w:tc>
          <w:tcPr>
            <w:tcW w:w="3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(1,774)</w:t>
            </w:r>
          </w:p>
        </w:tc>
        <w:tc>
          <w:tcPr>
            <w:tcW w:w="20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(1,774)</w:t>
            </w:r>
          </w:p>
        </w:tc>
      </w:tr>
      <w:tr>
        <w:trPr>
          <w:trHeight w:val="135"/>
        </w:trPr>
        <w:tc>
          <w:tcPr>
            <w:tcW w:w="35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7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r>
      <w:tr>
        <w:trPr>
          <w:trHeight w:val="135"/>
        </w:trPr>
        <w:tc>
          <w:tcPr>
            <w:tcW w:w="35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7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(3,995)</w:t>
            </w:r>
          </w:p>
        </w:tc>
        <w:tc>
          <w:tcPr>
            <w:tcW w:w="20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(3,995)</w:t>
            </w:r>
          </w:p>
        </w:tc>
      </w:tr>
      <w:tr>
        <w:trPr>
          <w:trHeight w:val="128"/>
        </w:trPr>
        <w:tc>
          <w:tcPr>
            <w:tcW w:w="35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2023</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17,784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174,674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37,176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213,191</w:t>
            </w:r>
          </w:p>
        </w:tc>
      </w:tr>
      <w:tr>
        <w:trPr>
          <w:trHeight w:val="20"/>
        </w:trPr>
        <w:tc>
          <w:tcPr>
            <w:tcW w:w="3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8"/>
        </w:trPr>
        <w:tc>
          <w:tcPr>
            <w:tcW w:w="35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9"/>
        </w:trPr>
        <w:tc>
          <w:tcPr>
            <w:tcW w:w="35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2023</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17,761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176,481</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32,338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210,229</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1,446</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(0.10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(3,561)</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r>
      <w:tr>
        <w:trPr>
          <w:trHeight w:val="135"/>
        </w:trPr>
        <w:tc>
          <w:tcPr>
            <w:tcW w:w="35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(205)</w:t>
            </w:r>
          </w:p>
        </w:tc>
      </w:tr>
      <w:tr>
        <w:trPr>
          <w:trHeight w:val="128"/>
        </w:trPr>
        <w:tc>
          <w:tcPr>
            <w:tcW w:w="35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2024</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17,800</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177,302</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28,572</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1,439</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207,331</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55"/>
        </w:trPr>
        <w:tc>
          <w:tcPr>
            <w:tcW w:w="354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9"/>
        </w:trPr>
        <w:tc>
          <w:tcPr>
            <w:tcW w:w="35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28"/>
        </w:trPr>
        <w:tc>
          <w:tcPr>
            <w:tcW w:w="35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October 31, 2022</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17,732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171,223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51,115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1,015</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223,371</w:t>
            </w:r>
          </w:p>
        </w:tc>
      </w:tr>
      <w:tr>
        <w:trPr>
          <w:trHeight w:val="117"/>
        </w:trPr>
        <w:tc>
          <w:tcPr>
            <w:tcW w:w="3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stock-based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3"/>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net of tax withholdings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3,403</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3,403</w:t>
            </w:r>
          </w:p>
        </w:tc>
      </w:tr>
      <w:tr>
        <w:trPr>
          <w:trHeight w:val="135"/>
        </w:trPr>
        <w:tc>
          <w:tcPr>
            <w:tcW w:w="3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 declared to shareholders (0.4875 per share)</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(6,876)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(6,876)</w:t>
            </w:r>
          </w:p>
        </w:tc>
      </w:tr>
      <w:tr>
        <w:trPr>
          <w:trHeight w:val="135"/>
        </w:trPr>
        <w:tc>
          <w:tcPr>
            <w:tcW w:w="35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Avocados de Jalisco noncontrolling interest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308</w:t>
            </w:r>
          </w:p>
        </w:tc>
      </w:tr>
      <w:tr>
        <w:trPr>
          <w:trHeight w:val="135"/>
        </w:trPr>
        <w:tc>
          <w:tcPr>
            <w:tcW w:w="35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Net loss attributable to Calavo Growers, Inc.</w:t>
            </w: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(7,063)</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(7,063)</w:t>
            </w:r>
          </w:p>
        </w:tc>
      </w:tr>
      <w:tr>
        <w:trPr>
          <w:trHeight w:val="128"/>
        </w:trPr>
        <w:tc>
          <w:tcPr>
            <w:tcW w:w="35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April 30, 2023</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17,784</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174,674</w:t>
            </w:r>
          </w:p>
        </w:tc>
        <w:tc>
          <w:tcPr>
            <w:tcW w:w="1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37,176</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1,323</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213,191</w:t>
            </w:r>
          </w:p>
        </w:tc>
      </w:tr>
      <w:tr>
        <w:trPr>
          <w:trHeight w:val="20"/>
        </w:trPr>
        <w:tc>
          <w:tcPr>
            <w:tcW w:w="3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left="40" w:right="119" w:firstLine="259"/>
        <w:spacing w:after="0" w:line="254" w:lineRule="auto"/>
        <w:rPr>
          <w:sz w:val="20"/>
          <w:szCs w:val="20"/>
          <w:color w:val="auto"/>
        </w:rPr>
      </w:pPr>
      <w:r>
        <w:rPr>
          <w:rFonts w:ascii="Times New Roman" w:cs="Times New Roman" w:eastAsia="Times New Roman" w:hAnsi="Times New Roman"/>
          <w:sz w:val="18"/>
          <w:szCs w:val="18"/>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we report our operations in two different business segments: Grown and Prepared.</w:t>
      </w:r>
    </w:p>
    <w:p>
      <w:pPr>
        <w:spacing w:after="0" w:line="18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negotiations regarding the potential sale of all of the assets used in our Fresh Cut business and certain related real property (the “Proposed Transaction”). The terms, including price and structure, remain under negotiation, and we are targeting completion of the Proposed Transaction during the third quarter of fiscal 2024. The Fresh Cut business represents substantially all of the business of the Prepared segment other than the guacamole business, which would be retained following the Proposed Transaction.</w:t>
      </w:r>
    </w:p>
    <w:p>
      <w:pPr>
        <w:spacing w:after="0" w:line="183" w:lineRule="exact"/>
        <w:rPr>
          <w:sz w:val="20"/>
          <w:szCs w:val="20"/>
          <w:color w:val="auto"/>
        </w:rPr>
      </w:pPr>
    </w:p>
    <w:p>
      <w:pPr>
        <w:ind w:left="40" w:right="199" w:firstLine="259"/>
        <w:spacing w:after="0" w:line="277" w:lineRule="auto"/>
        <w:rPr>
          <w:sz w:val="20"/>
          <w:szCs w:val="20"/>
          <w:color w:val="auto"/>
        </w:rPr>
      </w:pPr>
      <w:r>
        <w:rPr>
          <w:rFonts w:ascii="Times New Roman" w:cs="Times New Roman" w:eastAsia="Times New Roman" w:hAnsi="Times New Roman"/>
          <w:sz w:val="17"/>
          <w:szCs w:val="17"/>
          <w:color w:val="auto"/>
        </w:rPr>
        <w:t>During the six-months period ended April 30, 2024, management has concluded that the Fresh Cut business meets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The Company's reporting segments have also been changed for the effects of the planned divestiture, as described in Note 2. For more information, see Note 11.</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firstLine="25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Company in accordance with accounting principles generally accepted in the United States and with the instructions to Form 10-Q and Article 10 of Regulation S-X of the Securities and Exchange Commission. Accordingly, they do not include all the information and footnotes required by accounting principles generally accepted in the United States for complete financial statements. In the opinion of management, the accompanying unaudited consolidated financial statements contain all adjustments, consisting of adjustments of a normal recurring nature necessary to present fairly the Company’s financial position, results of operations and cash flows. The results of operations for interim periods are not necessarily indicative of the results that may be expected for a full year. These statements should be read in conjunction with the consolidated financial statements and notes thereto included in the Company’s Annual Report on Form 10-K for the fiscal year ended October 31, 2023.</w:t>
      </w:r>
    </w:p>
    <w:p>
      <w:pPr>
        <w:spacing w:after="0" w:line="188"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Retrospective reclassifications have been made to prior period financial statements and disclosures to present the Fresh Cut business unit as discontinued operations (see Note 11, “Assets Held for Sale and Discontinued Operations”).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left="40" w:right="99" w:firstLine="315"/>
        <w:spacing w:after="0" w:line="261" w:lineRule="auto"/>
        <w:rPr>
          <w:sz w:val="20"/>
          <w:szCs w:val="20"/>
          <w:color w:val="auto"/>
        </w:rPr>
      </w:pPr>
      <w:r>
        <w:rPr>
          <w:rFonts w:ascii="Times New Roman" w:cs="Times New Roman" w:eastAsia="Times New Roman" w:hAnsi="Times New Roman"/>
          <w:sz w:val="18"/>
          <w:szCs w:val="18"/>
          <w:color w:val="auto"/>
        </w:rPr>
        <w:t>In November 2023, the Financial Standards Accounting Board (“FASB”) issued Accounting Standards Update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after December 15, 2023, and interim periods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82" w:lineRule="auto"/>
        <w:rPr>
          <w:sz w:val="20"/>
          <w:szCs w:val="20"/>
          <w:color w:val="auto"/>
        </w:rPr>
      </w:pPr>
      <w:r>
        <w:rPr>
          <w:rFonts w:ascii="Times New Roman" w:cs="Times New Roman" w:eastAsia="Times New Roman" w:hAnsi="Times New Roman"/>
          <w:sz w:val="18"/>
          <w:szCs w:val="18"/>
          <w:color w:val="auto"/>
        </w:rPr>
        <w:t>within fiscal years beginning after December 15, 2024, with early adoption permitted. The Company is currently evaluating the potential effect that the updated standard will have on its financial statement disclosures.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Information regarding our operations in different segments</w:t>
      </w:r>
    </w:p>
    <w:p>
      <w:pPr>
        <w:spacing w:after="0" w:line="229" w:lineRule="exact"/>
        <w:rPr>
          <w:sz w:val="20"/>
          <w:szCs w:val="20"/>
          <w:color w:val="auto"/>
        </w:rPr>
      </w:pPr>
    </w:p>
    <w:p>
      <w:pPr>
        <w:ind w:left="40" w:right="219" w:firstLine="259"/>
        <w:spacing w:after="0" w:line="261" w:lineRule="auto"/>
        <w:rPr>
          <w:sz w:val="20"/>
          <w:szCs w:val="20"/>
          <w:color w:val="auto"/>
        </w:rPr>
      </w:pPr>
      <w:r>
        <w:rPr>
          <w:rFonts w:ascii="Times New Roman" w:cs="Times New Roman" w:eastAsia="Times New Roman" w:hAnsi="Times New Roman"/>
          <w:sz w:val="18"/>
          <w:szCs w:val="18"/>
          <w:color w:val="auto"/>
        </w:rPr>
        <w:t>Prior to the decision to divest our Fresh Cut business (formerly RFG), the Company’s Prepared reporting segment included the Fresh Cut business unit and our guacamole business. As a result of the planned divestiture, the Fresh Cut business unit is no longer included in our Prepared business segment, and is not included in the tables below. All segment information included herein reflects these changes. See Note 11 for further information.</w:t>
      </w:r>
    </w:p>
    <w:p>
      <w:pPr>
        <w:spacing w:after="0" w:line="180" w:lineRule="exact"/>
        <w:rPr>
          <w:sz w:val="20"/>
          <w:szCs w:val="20"/>
          <w:color w:val="auto"/>
        </w:rPr>
      </w:pPr>
    </w:p>
    <w:p>
      <w:pPr>
        <w:ind w:left="40" w:right="139" w:firstLine="259"/>
        <w:spacing w:after="0" w:line="255" w:lineRule="auto"/>
        <w:rPr>
          <w:sz w:val="20"/>
          <w:szCs w:val="20"/>
          <w:color w:val="auto"/>
        </w:rPr>
      </w:pPr>
      <w:r>
        <w:rPr>
          <w:rFonts w:ascii="Times New Roman" w:cs="Times New Roman" w:eastAsia="Times New Roman" w:hAnsi="Times New Roman"/>
          <w:sz w:val="18"/>
          <w:szCs w:val="18"/>
          <w:color w:val="auto"/>
        </w:rPr>
        <w:t>We report our operations in two different business segments: Grown and Prepared. The Grown segment consists of fresh avocados, tomatoes and papayas. The Prepared segment comprises all our guacamole products sold at retail and food service as well as avocado pulp sold to foodservice.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 The sales data in the following tables is presented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1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tc>
        <w:tc>
          <w:tcPr>
            <w:tcW w:w="20" w:type="dxa"/>
            <w:vAlign w:val="bottom"/>
          </w:tcPr>
          <w:p>
            <w:pPr>
              <w:spacing w:after="0"/>
              <w:rPr>
                <w:sz w:val="15"/>
                <w:szCs w:val="15"/>
                <w:color w:val="auto"/>
              </w:rPr>
            </w:pPr>
          </w:p>
        </w:tc>
        <w:tc>
          <w:tcPr>
            <w:tcW w:w="2360" w:type="dxa"/>
            <w:vAlign w:val="bottom"/>
            <w:gridSpan w:val="1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 April 30,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Grown</w:t>
            </w:r>
          </w:p>
        </w:tc>
        <w:tc>
          <w:tcPr>
            <w:tcW w:w="660" w:type="dxa"/>
            <w:vAlign w:val="bottom"/>
            <w:tcBorders>
              <w:top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6"/>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5"/>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Prepared</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$ 136,055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$ 136,055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$ 122,907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$ 122,907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28,513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28,513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16,004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16,004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2,528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19,640</w:t>
            </w:r>
          </w:p>
        </w:tc>
        <w:tc>
          <w:tcPr>
            <w:tcW w:w="4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19,348</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19,348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6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167,440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19,640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187,080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141,489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19,609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161,098</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(2,012)</w:t>
            </w:r>
          </w:p>
        </w:tc>
        <w:tc>
          <w:tcPr>
            <w:tcW w:w="84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(2,697)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tcPr>
          <w:p>
            <w:pPr>
              <w:spacing w:after="0"/>
              <w:rPr>
                <w:sz w:val="17"/>
                <w:szCs w:val="17"/>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(1,631)</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$ 166,755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$ 17,628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$ 184,383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$ 140,301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5"/>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$ 17,978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$ 158,279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gridSpan w:val="1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April 30, 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1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 April 30, 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6"/>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5"/>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Prepared</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Avocados</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$ 235,686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$ 235,686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$ 225,530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$ 225,530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Tomatoes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39,352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39,352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29,315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29,315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Papayas</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5,932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5,855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Other fresh income</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Guacamole</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35,719</w:t>
            </w:r>
          </w:p>
        </w:tc>
        <w:tc>
          <w:tcPr>
            <w:tcW w:w="4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35,700</w:t>
            </w:r>
          </w:p>
        </w:tc>
        <w:tc>
          <w:tcPr>
            <w:tcW w:w="2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35,700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Salsa</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20" w:type="dxa"/>
            <w:vAlign w:val="bottom"/>
          </w:tcPr>
          <w:p>
            <w:pPr>
              <w:spacing w:after="0"/>
              <w:rPr>
                <w:sz w:val="17"/>
                <w:szCs w:val="17"/>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gross sales</w:t>
            </w:r>
          </w:p>
        </w:tc>
        <w:tc>
          <w:tcPr>
            <w:tcW w:w="70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281,018</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35,719</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316,737</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260,765</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36,407</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297,172</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Less sales allowances</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(3,511)</w:t>
            </w: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(4,748)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(2,715)</w:t>
            </w:r>
          </w:p>
        </w:tc>
        <w:tc>
          <w:tcPr>
            <w:tcW w:w="120" w:type="dxa"/>
            <w:vAlign w:val="bottom"/>
          </w:tcPr>
          <w:p>
            <w:pPr>
              <w:spacing w:after="0"/>
              <w:rPr>
                <w:sz w:val="17"/>
                <w:szCs w:val="17"/>
                <w:color w:val="auto"/>
              </w:rPr>
            </w:pPr>
          </w:p>
        </w:tc>
        <w:tc>
          <w:tcPr>
            <w:tcW w:w="660" w:type="dxa"/>
            <w:vAlign w:val="bottom"/>
            <w:gridSpan w:val="6"/>
          </w:tcPr>
          <w:p>
            <w:pPr>
              <w:jc w:val="right"/>
              <w:ind w:right="20"/>
              <w:spacing w:after="0"/>
              <w:rPr>
                <w:sz w:val="20"/>
                <w:szCs w:val="20"/>
                <w:color w:val="auto"/>
              </w:rPr>
            </w:pPr>
            <w:r>
              <w:rPr>
                <w:rFonts w:ascii="Times New Roman" w:cs="Times New Roman" w:eastAsia="Times New Roman" w:hAnsi="Times New Roman"/>
                <w:sz w:val="16"/>
                <w:szCs w:val="16"/>
                <w:color w:val="auto"/>
              </w:rPr>
              <w:t>(3,415)</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$ 279,781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$ 32,208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$ 311,989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$ 258,050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$ 32,992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$ 291,042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5"/>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gridSpan w:val="20"/>
          </w:tcPr>
          <w:p>
            <w:pPr>
              <w:jc w:val="right"/>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2024</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$ 166,755</w:t>
            </w:r>
          </w:p>
        </w:tc>
        <w:tc>
          <w:tcPr>
            <w:tcW w:w="300" w:type="dxa"/>
            <w:vAlign w:val="bottom"/>
            <w:gridSpan w:val="3"/>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36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184,383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150,706</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80" w:type="dxa"/>
            <w:vAlign w:val="bottom"/>
            <w:gridSpan w:val="2"/>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April 30, 2023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$ 140,301</w:t>
            </w:r>
          </w:p>
        </w:tc>
        <w:tc>
          <w:tcPr>
            <w:tcW w:w="300" w:type="dxa"/>
            <w:vAlign w:val="bottom"/>
            <w:gridSpan w:val="3"/>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36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158,279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127,702</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3"/>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8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Grown</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2024</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April 30, 2023</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2024 and 2023, intercompany sales and cost of sales of $0.2 million and $0.4 million between Grown products and Prepared products were eliminated, respectively. For the six months ended April 30, 2024 and 2023, intercompany sales and cost of sales of $0.6 million and $0.7 million between Grown products and Prepared products were eliminated, respectively.</w:t>
      </w:r>
    </w:p>
    <w:p>
      <w:pPr>
        <w:spacing w:after="0" w:line="180"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Sales to customers outside the U.S. were approximately $12.9 million and $7.9 million for the three months ended April 30, 2024 and 2023. Sales to customers outside the U.S. were approximately $23.8 million and $15.5 million for the six months ended April 30, 2024 and 2023.</w:t>
      </w:r>
    </w:p>
    <w:p>
      <w:pPr>
        <w:spacing w:after="0" w:line="176" w:lineRule="exact"/>
        <w:rPr>
          <w:sz w:val="20"/>
          <w:szCs w:val="20"/>
          <w:color w:val="auto"/>
        </w:rPr>
      </w:pPr>
    </w:p>
    <w:p>
      <w:pPr>
        <w:ind w:left="40" w:right="139" w:firstLine="259"/>
        <w:spacing w:after="0" w:line="253" w:lineRule="auto"/>
        <w:rPr>
          <w:sz w:val="20"/>
          <w:szCs w:val="20"/>
          <w:color w:val="auto"/>
        </w:rPr>
      </w:pPr>
      <w:r>
        <w:rPr>
          <w:rFonts w:ascii="Times New Roman" w:cs="Times New Roman" w:eastAsia="Times New Roman" w:hAnsi="Times New Roman"/>
          <w:sz w:val="18"/>
          <w:szCs w:val="18"/>
          <w:color w:val="auto"/>
        </w:rPr>
        <w:t>Our foreign operations in Mexico are subject to exchange rate fluctuations and foreign currency transaction costs. The functional currency of our foreign subsidiaries in Mexico is the United States dollar (U.S.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and foreign currency transactions are recognized within cost of sales. We recognized foreign currency remeasurement gains and losses in the current quarter. These gains were due primarily to certain long-term net peso receivables. Foreign currency remeasurement losses, net of gains, for the three months ended April 30, 2024 were $0.3 million. Foreign currency remeasurement gains, net of losses, for the three months ended April 30, 2023 were $1.0 million. Foreign currency remeasurement gains, net of losses, for the six months ended April 30, 2024 and 2023 were $1.4 million and $2.2 million, respectively.</w:t>
      </w:r>
    </w:p>
    <w:p>
      <w:pPr>
        <w:spacing w:after="0" w:line="194"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net carrying value of long-lived assets attributed to geographic areas as of April 30, 2024 and October 31, 2023,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4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2024</w:t>
            </w:r>
          </w:p>
        </w:tc>
        <w:tc>
          <w:tcPr>
            <w:tcW w:w="3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2023</w:t>
            </w:r>
          </w:p>
        </w:tc>
        <w:tc>
          <w:tcPr>
            <w:tcW w:w="34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34,938</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60,924</w:t>
            </w:r>
          </w:p>
        </w:tc>
      </w:tr>
      <w:tr>
        <w:trPr>
          <w:trHeight w:val="859"/>
        </w:trPr>
        <w:tc>
          <w:tcPr>
            <w:tcW w:w="2820" w:type="dxa"/>
            <w:vAlign w:val="bottom"/>
          </w:tcPr>
          <w:p>
            <w:pPr>
              <w:spacing w:after="0"/>
              <w:rPr>
                <w:sz w:val="24"/>
                <w:szCs w:val="24"/>
                <w:color w:val="auto"/>
              </w:rPr>
            </w:pPr>
          </w:p>
        </w:tc>
        <w:tc>
          <w:tcPr>
            <w:tcW w:w="324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60"/>
        </w:trPr>
        <w:tc>
          <w:tcPr>
            <w:tcW w:w="28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tab/>
        <w:t>Inventories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 fruit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Packing supplies and ingredients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prepared foods</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$ 41,554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We periodically review the value of items in inventory and record any necessary write downs of inventory based on our assessment of market conditions. Inventory includes reserves of $0.5 million and $0.4 million in slow moving inventories as of April 30, 2024 and October 31, 2023.</w:t>
      </w:r>
    </w:p>
    <w:p>
      <w:pPr>
        <w:spacing w:after="0" w:line="1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Certain members of our Board of Directors market California avocados through Calavo pursuant to marketing agreements substantially similar to the marketing agreements that we enter into with other growers. For the three and six months ended April 30, 2024, the aggregate amount of avocados procured from entities owned or controlled by members of our Board of Directors was $0.3 million. For the three and six months ended April 30, 2023, the aggregate amount of avocados procured from entities owned or controlled by members of our Board of Directors was $0.2 million. We had $0.1 million of amounts payable to these Board members as of April 30, 2024. We did not have any amounts payable to these Board members as of October 31, 2023. For the three and six months ended April 30, 2024, we have procured $1.4 million of avocados from entities affiliated with our Chief Executive Officer. We did not procure any avocados from entities affiliated with our Chief Executive Officer for the three and six months ended April 30, 2023.</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Agricola Don Memo, S.A. de C.V. (“Don Memo”)</w:t>
      </w:r>
    </w:p>
    <w:p>
      <w:pPr>
        <w:spacing w:after="0" w:line="227" w:lineRule="exact"/>
        <w:rPr>
          <w:sz w:val="20"/>
          <w:szCs w:val="20"/>
          <w:color w:val="auto"/>
        </w:rPr>
      </w:pPr>
    </w:p>
    <w:p>
      <w:pPr>
        <w:ind w:left="40" w:right="139" w:firstLine="259"/>
        <w:spacing w:after="0" w:line="266" w:lineRule="auto"/>
        <w:rPr>
          <w:sz w:val="20"/>
          <w:szCs w:val="20"/>
          <w:color w:val="auto"/>
        </w:rPr>
      </w:pPr>
      <w:r>
        <w:rPr>
          <w:rFonts w:ascii="Times New Roman" w:cs="Times New Roman" w:eastAsia="Times New Roman" w:hAnsi="Times New Roman"/>
          <w:sz w:val="18"/>
          <w:szCs w:val="18"/>
          <w:color w:val="auto"/>
        </w:rPr>
        <w:t>Calavo and Agricola Belher (“Belher”) each have an equal one-half ownership interest in Don Memo. Pursuant to a management service agreement, Belher, through its officers and employees, has day-to-day power and authority to manage the operations of Don Memo.</w:t>
      </w:r>
    </w:p>
    <w:p>
      <w:pPr>
        <w:spacing w:after="0" w:line="176" w:lineRule="exact"/>
        <w:rPr>
          <w:sz w:val="20"/>
          <w:szCs w:val="20"/>
          <w:color w:val="auto"/>
        </w:rPr>
      </w:pPr>
    </w:p>
    <w:p>
      <w:pPr>
        <w:ind w:left="40" w:right="99" w:firstLine="259"/>
        <w:spacing w:after="0" w:line="252" w:lineRule="auto"/>
        <w:rPr>
          <w:sz w:val="20"/>
          <w:szCs w:val="20"/>
          <w:color w:val="auto"/>
        </w:rPr>
      </w:pPr>
      <w:r>
        <w:rPr>
          <w:rFonts w:ascii="Times New Roman" w:cs="Times New Roman" w:eastAsia="Times New Roman" w:hAnsi="Times New Roman"/>
          <w:sz w:val="18"/>
          <w:szCs w:val="18"/>
          <w:color w:val="auto"/>
        </w:rPr>
        <w:t>As of April 30, 2024, and October 31, 2023, we had an investment of $3.1 million and $2.9 million, respectively, representing Calavo’s 50% ownership in Don Memo, which was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For the three months ended April 30, 2024 and 2023, we advanced $3.5 million and $3.0 million of preseason advances to Don Memo. For the six months ended April 30, 2024 and 2023, we advanced $4.5 million and $3.9 million of preseason advances to Don Memo. As of April 30, 2024 and October 31, 2023, we had outstanding advances of $8.5 million and $7.3 million to Don Memo. In October 2020, we entered into an infrastructure loan agreement with Don Memo for up to $2.4 million secured by certain property and equipment of Don Memo. This infrastructure loan accrues interest at 7.25%. The total outstanding infrastructure loan balance at April 30, 2024 and at October 31, 2023, was $1.6 million, respectively. During the three months ended April 30, 2024 and 2023, we incurred $3.1 million and $0.2 million of cost of sales to Don Memo pursuant to our purchase consignment agreement. During the six months ended April 30, 2024 and 2023, we incurred $7.3 million and $5.2 million of cost of sales to Don Memo pursuant to our purchase consignment agreement.</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Belher</w:t>
      </w:r>
    </w:p>
    <w:p>
      <w:pPr>
        <w:spacing w:after="0" w:line="227" w:lineRule="exact"/>
        <w:rPr>
          <w:sz w:val="20"/>
          <w:szCs w:val="20"/>
          <w:color w:val="auto"/>
        </w:rPr>
      </w:pPr>
    </w:p>
    <w:p>
      <w:pPr>
        <w:ind w:left="40" w:right="419" w:firstLine="259"/>
        <w:spacing w:after="0" w:line="312" w:lineRule="auto"/>
        <w:rPr>
          <w:sz w:val="20"/>
          <w:szCs w:val="20"/>
          <w:color w:val="auto"/>
        </w:rPr>
      </w:pPr>
      <w:r>
        <w:rPr>
          <w:rFonts w:ascii="Times New Roman" w:cs="Times New Roman" w:eastAsia="Times New Roman" w:hAnsi="Times New Roman"/>
          <w:sz w:val="17"/>
          <w:szCs w:val="17"/>
          <w:color w:val="auto"/>
        </w:rPr>
        <w:t>We make advances to Belher for operating purposes, provide additional advances as shipments are made during the season, and return the proceeds from tomato sales under our marketing program to Belher, net of our commission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aforementioned advances. We had grower advances due from Belher totaling $5.4 million as of October 31, 2023, which are netted against the grower payable. We had grower payables due to Belher totaling $4.3 million as of April 30, 2024, which are netted against the grower advances. In July 2021, we made a bridge loan of $3.5 million to Belher. This loan is secured by certain farmland in Mexico and accrues interest at 10%. As part of this loan agreement, we can withhold payments on both the infrastructure advances and the bridge loan through the netting against the grower payable due to Belher. The total outstanding bridge loan balance at April 30, 2024 and October 31, 2023, was $1.1 million and $1.7 million, respectively, which is included in prepaid expenses and other current assets. During the three months ended April 30, 2024 and 2023, we incurred $22.0 million and $10.3 million of cost of sales to Belher pursuant to our purchase consignment agreement. During the six months ended April 30, 2024 and 2023, we incurred $25.0 million and $14.2 million of cost of sales to Belher pursuant to our purchase consignment agreement.</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Avocados de Jalisco, S.A.P.I. de C.V. (“Avocados de Jalisco”)</w:t>
      </w:r>
    </w:p>
    <w:p>
      <w:pPr>
        <w:spacing w:after="0" w:line="227" w:lineRule="exact"/>
        <w:rPr>
          <w:sz w:val="20"/>
          <w:szCs w:val="20"/>
          <w:color w:val="auto"/>
        </w:rPr>
      </w:pPr>
    </w:p>
    <w:p>
      <w:pPr>
        <w:ind w:left="40" w:right="99" w:firstLine="259"/>
        <w:spacing w:after="0" w:line="255" w:lineRule="auto"/>
        <w:rPr>
          <w:sz w:val="20"/>
          <w:szCs w:val="20"/>
          <w:color w:val="auto"/>
        </w:rPr>
      </w:pPr>
      <w:r>
        <w:rPr>
          <w:rFonts w:ascii="Times New Roman" w:cs="Times New Roman" w:eastAsia="Times New Roman" w:hAnsi="Times New Roman"/>
          <w:sz w:val="18"/>
          <w:szCs w:val="18"/>
          <w:color w:val="auto"/>
        </w:rPr>
        <w:t>In August 2015, we entered into a Shareholder’s Agreement with various Mexican partners and created Avocados de Jalisco. Avocados de Jalisco is a Mexican corporation created to engage in procuring, packing and selling avocados. As of April 30, 2024, this entity was approximately 83% owned by Calavo and was consolidated in our financial statements. Avocados de Jalisco built a packinghouse located in Jalisco, Mexico, which began operations in June of 2017. During the three months ended April 30, 2024 and 2023 we purchased approximately $1.1 million and $0.6 million of avocados from the partners of Avocados de Jalisco. During the six months ended April 30, 2024 and 2023 we purchased approximately $3.6 million and $4.3 million of avocados from the partners of Avocados de Jalisco.</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5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1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Mexican IVA (i.e. value-added) taxes receivable, net (see Note 10)</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$ 55,555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49,888</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advances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$ 57,962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vMerge w:val="continue"/>
          </w:tcPr>
          <w:p>
            <w:pPr>
              <w:spacing w:after="0"/>
              <w:rPr>
                <w:sz w:val="24"/>
                <w:szCs w:val="24"/>
                <w:color w:val="auto"/>
              </w:rPr>
            </w:pPr>
          </w:p>
        </w:tc>
        <w:tc>
          <w:tcPr>
            <w:tcW w:w="58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Shares were issuable under the 2011 Plan through December 2020. On April 21, 2021, the shareholders of Calavo approved the Calavo Growers, Inc. 2020 Equity Incentive Plan (the “2020 Plan”). This is a five-year plan with up to 1,500,000 shares that are issuable pursuant to awards that may be made through December 9, 2025.</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Awards (RSAs)</w:t>
      </w:r>
    </w:p>
    <w:p>
      <w:pPr>
        <w:spacing w:after="0" w:line="227"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The total recognized stock-based compensation expense for restricted stock awards was $1.2 million for the three months ended April 30, 2023. The total recognized stock-based compensation expense for restricted stock awards was less than $0.1 million and $1.7 million for the six months ended April 30, 2024 and 2023, respectively. As of April 30, 2024, there was no unrecognized stock-based compensation costs related to non-vested RSAs.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A combined summary of restricted stock award activity, related to our 2011 and 2020 Plans, is as follows (in thousands, except for per share amounts):</w:t>
      </w:r>
    </w:p>
    <w:tbl>
      <w:tblPr>
        <w:tblLayout w:type="fixed"/>
        <w:tblInd w:w="40" w:type="dxa"/>
        <w:tblCellMar>
          <w:top w:w="0" w:type="dxa"/>
          <w:left w:w="0" w:type="dxa"/>
          <w:bottom w:w="0" w:type="dxa"/>
          <w:right w:w="0" w:type="dxa"/>
        </w:tblCellMar>
      </w:tblPr>
      <w:tr>
        <w:trPr>
          <w:trHeight w:val="137"/>
        </w:trPr>
        <w:tc>
          <w:tcPr>
            <w:tcW w:w="5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53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360" w:type="dxa"/>
            <w:vAlign w:val="bottom"/>
          </w:tcPr>
          <w:p>
            <w:pPr>
              <w:spacing w:after="0"/>
              <w:rPr>
                <w:sz w:val="24"/>
                <w:szCs w:val="24"/>
                <w:color w:val="auto"/>
              </w:rPr>
            </w:pPr>
          </w:p>
        </w:tc>
        <w:tc>
          <w:tcPr>
            <w:tcW w:w="11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24"/>
                <w:szCs w:val="24"/>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00" w:type="dxa"/>
            <w:vAlign w:val="bottom"/>
          </w:tcPr>
          <w:p>
            <w:pPr>
              <w:spacing w:after="0"/>
              <w:rPr>
                <w:sz w:val="15"/>
                <w:szCs w:val="15"/>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Restricted Stock Units (RSUs) and Performance Restricted Stock Units (PRSUs)</w:t>
      </w:r>
    </w:p>
    <w:p>
      <w:pPr>
        <w:spacing w:after="0" w:line="227" w:lineRule="exact"/>
        <w:rPr>
          <w:sz w:val="20"/>
          <w:szCs w:val="20"/>
          <w:color w:val="auto"/>
        </w:rPr>
      </w:pPr>
    </w:p>
    <w:p>
      <w:pPr>
        <w:ind w:left="40" w:right="279" w:firstLine="259"/>
        <w:spacing w:after="0" w:line="282" w:lineRule="auto"/>
        <w:rPr>
          <w:sz w:val="20"/>
          <w:szCs w:val="20"/>
          <w:color w:val="auto"/>
        </w:rPr>
      </w:pPr>
      <w:r>
        <w:rPr>
          <w:rFonts w:ascii="Times New Roman" w:cs="Times New Roman" w:eastAsia="Times New Roman" w:hAnsi="Times New Roman"/>
          <w:sz w:val="18"/>
          <w:szCs w:val="18"/>
          <w:color w:val="auto"/>
        </w:rPr>
        <w:t>On November 1, 2023, each of our eight directors were granted 4,929 RSUs (for a total of 39,432 RSUs) at a price of $24.35 that will vest November 1, 2024.</w:t>
      </w:r>
    </w:p>
    <w:p>
      <w:pPr>
        <w:spacing w:after="0" w:line="162"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The total recognized stock-based compensation expense for RSUs was $0.3 million and $0.5 million for the three months ended April 30, 2024 and 2023, respectively. The total recognized stock-based compensation expense for RSUs was $0.8 million and $0.9 million for the six months ended April 30, 2024 and 2023, respectively. As of April 30, 2024, there was $1.2 million of unrecognized stock-based compensation costs related to non-vested RSUs, which the Company expects to recognize over a weighted-average period of 1.0 years.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RSU activity, related to our 2020 Plan, is as follows (in thousands, except for per share amounts):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54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Represented</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34"/>
        </w:trPr>
        <w:tc>
          <w:tcPr>
            <w:tcW w:w="54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3"/>
        </w:trPr>
        <w:tc>
          <w:tcPr>
            <w:tcW w:w="54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Represented</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0"/>
        </w:trPr>
        <w:tc>
          <w:tcPr>
            <w:tcW w:w="5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At the end of each reporting period, the Company will adjust compensation expense for the PRSUs based on its best estimate of attainment of the specified performance targets. The cumulative effect on current and prior periods of a change in the estimated number of PRSUs that are expected to be earned will be recognized as an adjustment in the period of the adjustment. As of April 30, 2024, the Company still believes that it is not probable that any of the PRSUs for the 2023 and 2022 three-year cumulative performance grant will vest.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 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539" w:firstLine="259"/>
        <w:spacing w:after="0" w:line="282" w:lineRule="auto"/>
        <w:rPr>
          <w:sz w:val="20"/>
          <w:szCs w:val="20"/>
          <w:color w:val="auto"/>
        </w:rPr>
      </w:pPr>
      <w:r>
        <w:rPr>
          <w:rFonts w:ascii="Times New Roman" w:cs="Times New Roman" w:eastAsia="Times New Roman" w:hAnsi="Times New Roman"/>
          <w:sz w:val="18"/>
          <w:szCs w:val="18"/>
          <w:color w:val="auto"/>
        </w:rPr>
        <w:t>There was no stock option activity for the three and six months ended April 30, 2024. A summary of stock option activity, related to our 2011 and 2020 Plans, is as follows (in thousands, except for weighted-average exercise price):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13"/>
                <w:szCs w:val="13"/>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6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April 30, 2024</w:t>
            </w:r>
          </w:p>
        </w:tc>
        <w:tc>
          <w:tcPr>
            <w:tcW w:w="114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vMerge w:val="restart"/>
            <w:shd w:val="clear" w:color="auto" w:fill="CCEEFF"/>
          </w:tcPr>
          <w:p>
            <w:pPr>
              <w:spacing w:after="0" w:line="20" w:lineRule="exact"/>
              <w:rPr>
                <w:sz w:val="1"/>
                <w:szCs w:val="1"/>
                <w:color w:val="auto"/>
              </w:rPr>
            </w:pPr>
          </w:p>
        </w:tc>
        <w:tc>
          <w:tcPr>
            <w:tcW w:w="10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52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tcBorders>
              <w:bottom w:val="single" w:sz="8" w:color="CCEEFF"/>
            </w:tcBorders>
            <w:vMerge w:val="continue"/>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340" w:type="dxa"/>
            <w:vAlign w:val="bottom"/>
            <w:tcBorders>
              <w:bottom w:val="single" w:sz="8" w:color="CCEEFF"/>
            </w:tcBorders>
            <w:gridSpan w:val="2"/>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26.48</w:t>
            </w: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512</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 w:type="dxa"/>
            <w:vAlign w:val="bottom"/>
          </w:tcPr>
          <w:p>
            <w:pPr>
              <w:spacing w:after="0"/>
              <w:rPr>
                <w:sz w:val="24"/>
                <w:szCs w:val="24"/>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6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8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Vested and Exercisable at April 30, 2024</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79" w:firstLine="259"/>
        <w:spacing w:after="0" w:line="258" w:lineRule="auto"/>
        <w:rPr>
          <w:sz w:val="20"/>
          <w:szCs w:val="20"/>
          <w:color w:val="auto"/>
        </w:rPr>
      </w:pPr>
      <w:r>
        <w:rPr>
          <w:rFonts w:ascii="Times New Roman" w:cs="Times New Roman" w:eastAsia="Times New Roman" w:hAnsi="Times New Roman"/>
          <w:sz w:val="18"/>
          <w:szCs w:val="18"/>
          <w:color w:val="auto"/>
        </w:rPr>
        <w:t>The total stock-based compensation expense for options was $0.2 million and $0.1 million for the three months ended April 30, 2024 and 2023, respectively. The total stock-based compensation expense for options was $0.6 million and $0.1 million for the six months ended April 30, 2024 and 2023, respectively. As of April 30, 2024, there was less than $0.1 million of unrecognized stock-based compensation costs related to non-vested options, which the Company expects to recognize over a weighted-average remaining period of 2.6 years.</w:t>
      </w:r>
    </w:p>
    <w:p>
      <w:pPr>
        <w:spacing w:after="0" w:line="179" w:lineRule="exact"/>
        <w:rPr>
          <w:sz w:val="20"/>
          <w:szCs w:val="20"/>
          <w:color w:val="auto"/>
        </w:rPr>
      </w:pPr>
    </w:p>
    <w:p>
      <w:pPr>
        <w:ind w:left="360" w:hanging="316"/>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payments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On January 31, 2024, we paid a dividend of $0.10 per share, or an aggregate of $1.8 million, to shareholders of record on January 26, 2024. On April 29, 2024, we paid a dividend of $0.10 per share, or an aggregate of $1.8 million, to shareholders of record on April 1, 2024.</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In the prior year, in connection with the the refinancing of our credit facility, we temporarily posted $0.8 million of cash collateral to satisfy certain collateral requirements as we transitioned banks providing letters of credit related to our workers compensation insurance policies. In the first quarter 2024, this restriction was released.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arising in the ordinary course of our business that we do not believe will have a material adverse impact on our financial statements.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Compliance matters</w:t>
      </w:r>
    </w:p>
    <w:p>
      <w:pPr>
        <w:spacing w:after="0" w:line="229"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 Department of Justice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 equitable remedies. The Company cannot currently predict the timing of completion or the outcome of its internal investigation or of any actions that may be taken by the SEC, the DOJ or Mexican authorities in connection with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82" w:lineRule="auto"/>
        <w:rPr>
          <w:sz w:val="20"/>
          <w:szCs w:val="20"/>
          <w:color w:val="auto"/>
        </w:rPr>
      </w:pPr>
      <w:r>
        <w:rPr>
          <w:rFonts w:ascii="Times New Roman" w:cs="Times New Roman" w:eastAsia="Times New Roman" w:hAnsi="Times New Roman"/>
          <w:sz w:val="18"/>
          <w:szCs w:val="18"/>
          <w:color w:val="auto"/>
        </w:rPr>
        <w:t>matters under investigation, and the Company cannot currently estimate the amount or range of loss or potential impact on its consolidated financial statements associated with these matters.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229"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2013 Assessment</w:t>
      </w:r>
    </w:p>
    <w:p>
      <w:pPr>
        <w:spacing w:after="0" w:line="229"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In January 2017, Calavo de Mexico (“CDM”)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80" w:lineRule="exact"/>
        <w:rPr>
          <w:sz w:val="20"/>
          <w:szCs w:val="20"/>
          <w:color w:val="auto"/>
        </w:rPr>
      </w:pPr>
    </w:p>
    <w:p>
      <w:pPr>
        <w:ind w:left="40" w:right="139" w:firstLine="259"/>
        <w:spacing w:after="0" w:line="254" w:lineRule="auto"/>
        <w:rPr>
          <w:sz w:val="20"/>
          <w:szCs w:val="20"/>
          <w:color w:val="auto"/>
        </w:rPr>
      </w:pPr>
      <w:r>
        <w:rPr>
          <w:rFonts w:ascii="Times New Roman" w:cs="Times New Roman" w:eastAsia="Times New Roman" w:hAnsi="Times New Roman"/>
          <w:sz w:val="18"/>
          <w:szCs w:val="18"/>
          <w:color w:val="auto"/>
        </w:rPr>
        <w:t>In July 2018, the SAT’s local office in Uruapan issued to CDM a final tax assessment (the “2013 Assessment”) totaling approximately $2.6 billion Mexican pesos (which includes annual adjustments for inflation, and equals approximately $152.9 million USD at April 30, 2024) related to income tax, flat rate business tax, and value added tax, related to this fiscal 2013 tax audit. This amount has been adjusted for inflation as of April 30, 2024 to the amount of $3.08 billion Mexican pesos (approx. $181.1 million USD). Additionally, the tax authorities have determined that we owe our employees profit-sharing liability, totaling approximately $118 million Mexican pesos (approx. $6.9 million USD at April 30, 2024). In August 2018, we filed an Administrative Appeal on the 2013 Assessment, appealing our case to the SAT’s central legal department in Michoacan.</w:t>
      </w:r>
    </w:p>
    <w:p>
      <w:pPr>
        <w:spacing w:after="0" w:line="192" w:lineRule="exact"/>
        <w:rPr>
          <w:sz w:val="20"/>
          <w:szCs w:val="20"/>
          <w:color w:val="auto"/>
        </w:rPr>
      </w:pPr>
    </w:p>
    <w:p>
      <w:pPr>
        <w:ind w:left="40" w:right="279" w:firstLine="259"/>
        <w:spacing w:after="0" w:line="261" w:lineRule="auto"/>
        <w:rPr>
          <w:sz w:val="20"/>
          <w:szCs w:val="20"/>
          <w:color w:val="auto"/>
        </w:rPr>
      </w:pPr>
      <w:r>
        <w:rPr>
          <w:rFonts w:ascii="Times New Roman" w:cs="Times New Roman" w:eastAsia="Times New Roman" w:hAnsi="Times New Roman"/>
          <w:sz w:val="18"/>
          <w:szCs w:val="18"/>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Based on legal counsel from our tax advisory firm, we and our tax advisory firm have concluded that the March notification was not legally communicated.</w:t>
      </w:r>
    </w:p>
    <w:p>
      <w:pPr>
        <w:spacing w:after="0" w:line="180" w:lineRule="exact"/>
        <w:rPr>
          <w:sz w:val="20"/>
          <w:szCs w:val="20"/>
          <w:color w:val="auto"/>
        </w:rPr>
      </w:pPr>
    </w:p>
    <w:p>
      <w:pPr>
        <w:ind w:left="40" w:right="359" w:firstLine="259"/>
        <w:spacing w:after="0" w:line="266" w:lineRule="auto"/>
        <w:rPr>
          <w:sz w:val="20"/>
          <w:szCs w:val="20"/>
          <w:color w:val="auto"/>
        </w:rPr>
      </w:pPr>
      <w:r>
        <w:rPr>
          <w:rFonts w:ascii="Times New Roman" w:cs="Times New Roman" w:eastAsia="Times New Roman" w:hAnsi="Times New Roman"/>
          <w:sz w:val="18"/>
          <w:szCs w:val="18"/>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spacing w:after="0" w:line="176" w:lineRule="exact"/>
        <w:rPr>
          <w:sz w:val="20"/>
          <w:szCs w:val="20"/>
          <w:color w:val="auto"/>
        </w:rPr>
      </w:pPr>
    </w:p>
    <w:p>
      <w:pPr>
        <w:ind w:left="660" w:hanging="333"/>
        <w:spacing w:after="0"/>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Failure to recognize CDM as a “maquiladora”</w:t>
      </w:r>
    </w:p>
    <w:p>
      <w:pPr>
        <w:spacing w:after="0" w:line="13"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Considering the Company to have a permanent establishment in Mexico,</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Including fruit purchase deposits transferred by the Company to CDM as taxable,</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Application of 16% IVA tax to fruit purchase deposits; and</w:t>
      </w:r>
    </w:p>
    <w:p>
      <w:pPr>
        <w:spacing w:after="0" w:line="2" w:lineRule="exact"/>
        <w:rPr>
          <w:rFonts w:ascii="Courier New" w:cs="Courier New" w:eastAsia="Courier New" w:hAnsi="Courier New"/>
          <w:sz w:val="18"/>
          <w:szCs w:val="18"/>
          <w:color w:val="auto"/>
        </w:rPr>
      </w:pPr>
    </w:p>
    <w:p>
      <w:pPr>
        <w:ind w:left="660" w:hanging="333"/>
        <w:spacing w:after="0" w:line="231" w:lineRule="auto"/>
        <w:tabs>
          <w:tab w:leader="none" w:pos="660" w:val="left"/>
        </w:tabs>
        <w:numPr>
          <w:ilvl w:val="0"/>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Imposing double-taxation on the fruit purchase transactions</w:t>
      </w:r>
    </w:p>
    <w:p>
      <w:pPr>
        <w:spacing w:after="0" w:line="198" w:lineRule="exact"/>
        <w:rPr>
          <w:sz w:val="20"/>
          <w:szCs w:val="20"/>
          <w:color w:val="auto"/>
        </w:rPr>
      </w:pPr>
    </w:p>
    <w:p>
      <w:pPr>
        <w:ind w:left="40" w:right="79" w:firstLine="225"/>
        <w:spacing w:after="0" w:line="261" w:lineRule="auto"/>
        <w:rPr>
          <w:sz w:val="20"/>
          <w:szCs w:val="20"/>
          <w:color w:val="auto"/>
        </w:rPr>
      </w:pPr>
      <w:r>
        <w:rPr>
          <w:rFonts w:ascii="Times New Roman" w:cs="Times New Roman" w:eastAsia="Times New Roman" w:hAnsi="Times New Roman"/>
          <w:sz w:val="18"/>
          <w:szCs w:val="18"/>
          <w:color w:val="auto"/>
        </w:rPr>
        <w:t>SAT formally rejected our request for Reconsideration on January 3, 2022. CDM has filed an Amparo on April 22, 2024 and an Appeal on April 30, 2024 before the Circuit Court challenging the last resolution from March 25, 2024 where the tax authority considered that the filing of the administrative reconsideration was not legally viable because there was a legal remedy already filed that coexists with the administrative reconsideration, that is, the Annulment Suit.</w:t>
      </w:r>
    </w:p>
    <w:p>
      <w:pPr>
        <w:spacing w:after="0" w:line="180"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On August 20, 2021 CDM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On October 13, 2023, the Company filed an extension of the Annulment Suit filed on August 20, 2021, as a result of the response to the lawsuit filed by the Tax Authority, pointing out that the Tax Authority’s resolution is unlawful due to improper substantiation and motivation, because of the following:</w:t>
      </w:r>
    </w:p>
    <w:p>
      <w:pPr>
        <w:spacing w:after="0" w:line="176" w:lineRule="exact"/>
        <w:rPr>
          <w:sz w:val="20"/>
          <w:szCs w:val="20"/>
          <w:color w:val="auto"/>
        </w:rPr>
      </w:pPr>
    </w:p>
    <w:p>
      <w:pPr>
        <w:ind w:left="660" w:hanging="333"/>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QR Code does not allow the company to verify the veracity of the document,</w:t>
      </w:r>
    </w:p>
    <w:p>
      <w:pPr>
        <w:spacing w:after="0" w:line="27" w:lineRule="exact"/>
        <w:rPr>
          <w:rFonts w:ascii="Times New Roman" w:cs="Times New Roman" w:eastAsia="Times New Roman" w:hAnsi="Times New Roman"/>
          <w:sz w:val="18"/>
          <w:szCs w:val="18"/>
          <w:color w:val="auto"/>
        </w:rPr>
      </w:pPr>
    </w:p>
    <w:p>
      <w:pPr>
        <w:ind w:left="660" w:right="239" w:hanging="333"/>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notification of the tax assessment was not sent to the phone number indicated by the company, when the Tax Authority was obliged to do so, among others.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November 14, 2023, the Tax Court notified the admission of the extension of the lawsuit was filed.</w:t>
      </w:r>
    </w:p>
    <w:p>
      <w:pPr>
        <w:spacing w:after="0" w:line="225" w:lineRule="exact"/>
        <w:rPr>
          <w:sz w:val="20"/>
          <w:szCs w:val="20"/>
          <w:color w:val="auto"/>
        </w:rPr>
      </w:pPr>
    </w:p>
    <w:p>
      <w:pPr>
        <w:ind w:left="40" w:right="79" w:firstLine="259"/>
        <w:spacing w:after="0" w:line="253" w:lineRule="auto"/>
        <w:rPr>
          <w:sz w:val="20"/>
          <w:szCs w:val="20"/>
          <w:color w:val="auto"/>
        </w:rPr>
      </w:pPr>
      <w:r>
        <w:rPr>
          <w:rFonts w:ascii="Times New Roman" w:cs="Times New Roman" w:eastAsia="Times New Roman" w:hAnsi="Times New Roman"/>
          <w:sz w:val="18"/>
          <w:szCs w:val="18"/>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In accordance with our cumulative probability analysis on uncertain tax positions, settlements made by the SAT in other cases, the 2011 Assessment settlement reached by CDM with the Ministry of Finance and Administration of the government of the State of Michoacan, Mexico, and the value of CDM assets, we recorded a provision of $11 million, in the third quarter of fiscal 2021, as a discrete item in Income Tax Provision. The provision includes estimated penalties, interest and inflationary adjustments. We believe that this provision remains appropriate as of April 30, 2024 based on our cumulative probability analysis. We incurred $0.2 million and $0.6 million of related professional fees for the three and six months ended April 30, 2024, respectively, which have been recorded in Expenses related to Mexican Tax matters on the consolidated statements of operations.</w:t>
      </w:r>
    </w:p>
    <w:p>
      <w:pPr>
        <w:spacing w:after="0" w:line="190"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229"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shareholders’ equity attributable to noncontrolling interest related to Avocados de Jalisco (in thousands).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vMerge w:val="restart"/>
          </w:tcPr>
          <w:p>
            <w:pPr>
              <w:spacing w:after="0"/>
              <w:rPr>
                <w:sz w:val="15"/>
                <w:szCs w:val="15"/>
                <w:color w:val="auto"/>
              </w:rPr>
            </w:pPr>
          </w:p>
        </w:tc>
        <w:tc>
          <w:tcPr>
            <w:tcW w:w="2240" w:type="dxa"/>
            <w:vAlign w:val="bottom"/>
            <w:tcBorders>
              <w:bottom w:val="single" w:sz="8" w:color="auto"/>
            </w:tcBorders>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Avocados de Jalisco noncontrolling interest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beginning</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 of Avocados de Jalisco</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ending</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Basic and diluted net income (loss) per share is calculated as follows (data in thousands, except per share data):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 attributable to Calavo Growers, Inc.</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(refer to Note 11)</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7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(refer to Note 11)</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Calavo Growers, Inc:</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864"/>
        </w:trPr>
        <w:tc>
          <w:tcPr>
            <w:tcW w:w="620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Calavo Growers, Inc.</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(refer to Note 11)</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on dilutive securities – Restricted stock/units/options</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 (refer to Note 11)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Calavo Growers, Inc:</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Mexican IVA taxes receivable</w:t>
      </w:r>
    </w:p>
    <w:p>
      <w:pPr>
        <w:spacing w:after="0" w:line="229"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recoverable from the Mexican government.</w:t>
      </w:r>
    </w:p>
    <w:p>
      <w:pPr>
        <w:spacing w:after="0" w:line="176" w:lineRule="exact"/>
        <w:rPr>
          <w:sz w:val="20"/>
          <w:szCs w:val="20"/>
          <w:color w:val="auto"/>
        </w:rPr>
      </w:pPr>
    </w:p>
    <w:p>
      <w:pPr>
        <w:jc w:val="both"/>
        <w:ind w:left="40" w:right="59" w:firstLine="259"/>
        <w:spacing w:after="0" w:line="270" w:lineRule="auto"/>
        <w:rPr>
          <w:sz w:val="20"/>
          <w:szCs w:val="20"/>
          <w:color w:val="auto"/>
        </w:rPr>
      </w:pPr>
      <w:r>
        <w:rPr>
          <w:rFonts w:ascii="Times New Roman" w:cs="Times New Roman" w:eastAsia="Times New Roman" w:hAnsi="Times New Roman"/>
          <w:sz w:val="17"/>
          <w:szCs w:val="17"/>
          <w:color w:val="auto"/>
        </w:rPr>
        <w:t>As of April 30, 2024, and October 31, 2023, CDM IVA receivables totaled $55.6 million (952.8 million Mexican pesos) and $49.9 million (913.6 million Mexican pesos). Historically, CDM received IVA refund payments from the Mexican tax authorities on a timely basis. Beginning in fiscal 2014 and continuing into fiscal 2024, the tax authorities began objecting to refund requests and supporting documentation that had previously been deemed acceptable to process a refund.</w:t>
      </w:r>
    </w:p>
    <w:p>
      <w:pPr>
        <w:spacing w:after="0" w:line="3"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Additionally, they are also contesting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other legal means.</w:t>
      </w:r>
    </w:p>
    <w:p>
      <w:pPr>
        <w:spacing w:after="0" w:line="187"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2017, the tax authorities informed us that their internal opinion, based on the information provided by the local SAT office, considers that CDM was not properly documented relative to its declared tax structure and therefore CDM could 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CDM filed a substance-over-form Annulment Suit in the Federal Tax Court to recover its full refund for IVA over the subject period.</w:t>
      </w:r>
    </w:p>
    <w:p>
      <w:pPr>
        <w:spacing w:after="0" w:line="162"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In April 2022, the Tax Court issued the ruling for the months of July, August and September 2015 through which it was declared that the following resolutions were resolved:</w:t>
      </w:r>
    </w:p>
    <w:p>
      <w:pPr>
        <w:spacing w:after="0" w:line="162" w:lineRule="exact"/>
        <w:rPr>
          <w:sz w:val="20"/>
          <w:szCs w:val="20"/>
          <w:color w:val="auto"/>
        </w:rPr>
      </w:pPr>
    </w:p>
    <w:p>
      <w:pPr>
        <w:ind w:left="660" w:hanging="333"/>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CDM operates as a maquila under the authorization of the Ministry of Finance.</w:t>
      </w:r>
    </w:p>
    <w:p>
      <w:pPr>
        <w:spacing w:after="0" w:line="27" w:lineRule="exact"/>
        <w:rPr>
          <w:rFonts w:ascii="Times New Roman" w:cs="Times New Roman" w:eastAsia="Times New Roman" w:hAnsi="Times New Roman"/>
          <w:sz w:val="18"/>
          <w:szCs w:val="18"/>
          <w:color w:val="auto"/>
        </w:rPr>
      </w:pPr>
    </w:p>
    <w:p>
      <w:pPr>
        <w:jc w:val="both"/>
        <w:ind w:left="660" w:right="119" w:hanging="333"/>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 w:lineRule="exact"/>
        <w:rPr>
          <w:rFonts w:ascii="Times New Roman" w:cs="Times New Roman" w:eastAsia="Times New Roman" w:hAnsi="Times New Roman"/>
          <w:sz w:val="18"/>
          <w:szCs w:val="18"/>
          <w:color w:val="auto"/>
        </w:rPr>
      </w:pPr>
    </w:p>
    <w:p>
      <w:pPr>
        <w:ind w:left="660" w:right="359" w:hanging="333"/>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recognized that VAT is recoverable, since CDM demonstrated the existence of operations carried under the maquila services.</w:t>
      </w:r>
    </w:p>
    <w:p>
      <w:pPr>
        <w:jc w:val="both"/>
        <w:ind w:left="660" w:right="279" w:hanging="333"/>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certain VAT amounts attributed to the purchase of certain packing materials are not recoverable as CDM was not the buyer on record and therefore did not pay for the materials, which approximated $6.9 million pesos (approximately $0.4 million USD).</w:t>
      </w:r>
    </w:p>
    <w:p>
      <w:pPr>
        <w:spacing w:after="0" w:line="186" w:lineRule="exact"/>
        <w:rPr>
          <w:sz w:val="20"/>
          <w:szCs w:val="20"/>
          <w:color w:val="auto"/>
        </w:rPr>
      </w:pPr>
    </w:p>
    <w:p>
      <w:pPr>
        <w:jc w:val="both"/>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April 30, 2024,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Assets Held for Sale and Discontinued Operations</w:t>
      </w:r>
    </w:p>
    <w:p>
      <w:pPr>
        <w:spacing w:after="0" w:line="229" w:lineRule="exact"/>
        <w:rPr>
          <w:sz w:val="20"/>
          <w:szCs w:val="20"/>
          <w:color w:val="auto"/>
        </w:rPr>
      </w:pPr>
    </w:p>
    <w:p>
      <w:pPr>
        <w:jc w:val="both"/>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negotiations regarding the potential sale of all of the assets used in our Fresh Cut business and certain related real property. The terms, including price and structure, remain under negotiation, and we are targeting completion of the Proposed Transaction during the third quarter of fiscal 2024. The Fresh Cut business represents substantially all of the business of the Prepared segment other than the guacamole business, which would be retained following the Proposed Transaction.</w:t>
      </w:r>
    </w:p>
    <w:p>
      <w:pPr>
        <w:spacing w:after="0" w:line="251" w:lineRule="exact"/>
        <w:rPr>
          <w:sz w:val="20"/>
          <w:szCs w:val="20"/>
          <w:color w:val="auto"/>
        </w:rPr>
      </w:pPr>
    </w:p>
    <w:p>
      <w:pPr>
        <w:jc w:val="both"/>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During the six-month period ended April 30, 2024, management has concluded that the Fresh Cut business meets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The Company's reporting segments have also been changed for the effects of the planned divestiture, as described in Note 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classes of assets and liabilities of the Fresh Cut business that are classified as held for sale in the accompanying balance sheets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Pr>
          <w:p>
            <w:pPr>
              <w:spacing w:after="0"/>
              <w:rPr>
                <w:sz w:val="13"/>
                <w:szCs w:val="13"/>
                <w:color w:val="auto"/>
              </w:rPr>
            </w:pPr>
          </w:p>
        </w:tc>
        <w:tc>
          <w:tcPr>
            <w:tcW w:w="9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138,927</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5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leases, less current portion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Long-term obligations and finance leases, less current portion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1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99" w:firstLine="259"/>
        <w:spacing w:after="0" w:line="282" w:lineRule="auto"/>
        <w:rPr>
          <w:sz w:val="20"/>
          <w:szCs w:val="20"/>
          <w:color w:val="auto"/>
        </w:rPr>
      </w:pPr>
      <w:r>
        <w:rPr>
          <w:rFonts w:ascii="Times New Roman" w:cs="Times New Roman" w:eastAsia="Times New Roman" w:hAnsi="Times New Roman"/>
          <w:sz w:val="18"/>
          <w:szCs w:val="18"/>
          <w:color w:val="auto"/>
        </w:rPr>
        <w:t>Goodwill related to our Prepared segment was allocated between our Fresh Cut and guacamole businesses based on the relative fair value of the disposal group and the portion of the reporting unit to be retained.</w:t>
      </w:r>
    </w:p>
    <w:p>
      <w:pPr>
        <w:spacing w:after="0" w:line="162" w:lineRule="exact"/>
        <w:rPr>
          <w:sz w:val="20"/>
          <w:szCs w:val="20"/>
          <w:color w:val="auto"/>
        </w:rPr>
      </w:pPr>
    </w:p>
    <w:p>
      <w:pPr>
        <w:ind w:left="40" w:right="89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of the Fresh Cut business that are being reported as discontinued operations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$ 86,410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170,372</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87,044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165,731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179,138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8,703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(4,091)</w:t>
            </w: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(5,407)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(4,091)</w:t>
            </w:r>
          </w:p>
        </w:tc>
        <w:tc>
          <w:tcPr>
            <w:tcW w:w="1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94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color w:val="auto"/>
              </w:rPr>
              <w:t>Select cash flow information related to the Fresh Cut business follows (in thousands):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6"/>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0"/>
                <w:szCs w:val="20"/>
                <w:color w:val="auto"/>
              </w:rPr>
            </w:pP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40" w:right="239" w:firstLine="259"/>
        <w:spacing w:after="0" w:line="281" w:lineRule="auto"/>
        <w:rPr>
          <w:sz w:val="20"/>
          <w:szCs w:val="20"/>
          <w:color w:val="auto"/>
        </w:rPr>
      </w:pPr>
      <w:r>
        <w:rPr>
          <w:rFonts w:ascii="Times New Roman" w:cs="Times New Roman" w:eastAsia="Times New Roman" w:hAnsi="Times New Roman"/>
          <w:sz w:val="17"/>
          <w:szCs w:val="17"/>
          <w:color w:val="auto"/>
        </w:rPr>
        <w:t>This information should be read in conjunction with the unaudited consolidated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fiscal year ended October 31, 2023 of Calavo Growers, Inc. (“we”, “Calavo”, or the “Company”).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Dividend payments</w:t>
      </w:r>
    </w:p>
    <w:p>
      <w:pPr>
        <w:spacing w:after="0" w:line="227"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On January 31, 2024, we paid a dividend of $0.10 per share, or an aggregate of $1.8 million, to shareholders of record on January 26, 2024. On April 29, 2024, we paid a dividend of $0.10 per share, or an aggregate of $1.8 million, to shareholders of record on April 1, 2024.</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Sale of Fresh Cut</w:t>
      </w:r>
    </w:p>
    <w:p>
      <w:pPr>
        <w:spacing w:after="0" w:line="227" w:lineRule="exact"/>
        <w:rPr>
          <w:sz w:val="20"/>
          <w:szCs w:val="20"/>
          <w:color w:val="auto"/>
        </w:rPr>
      </w:pPr>
    </w:p>
    <w:p>
      <w:pPr>
        <w:ind w:left="40" w:right="99" w:firstLine="259"/>
        <w:spacing w:after="0" w:line="256"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negotiations regarding the potential sale of all of the assets used in our Fresh Cut business and certain related real property (the “Proposed Transaction”). The terms, including price and structure, remain under negotiation, and we are targeting completion of the Proposed Transaction during the third quarter of fiscal 2024. The Fresh Cut business represents substantially all of the business of the Prepared segment other than the guacamole business, which would be retained following the Proposed Transaction. See also “Discontinued Operations” below.</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Compliance matters</w:t>
      </w:r>
    </w:p>
    <w:p>
      <w:pPr>
        <w:spacing w:after="0" w:line="227" w:lineRule="exact"/>
        <w:rPr>
          <w:sz w:val="20"/>
          <w:szCs w:val="20"/>
          <w:color w:val="auto"/>
        </w:rPr>
      </w:pPr>
    </w:p>
    <w:p>
      <w:pPr>
        <w:ind w:left="40" w:right="119" w:firstLine="225"/>
        <w:spacing w:after="0" w:line="253" w:lineRule="auto"/>
        <w:rPr>
          <w:sz w:val="20"/>
          <w:szCs w:val="20"/>
          <w:color w:val="auto"/>
        </w:rPr>
      </w:pPr>
      <w:r>
        <w:rPr>
          <w:rFonts w:ascii="Times New Roman" w:cs="Times New Roman" w:eastAsia="Times New Roman" w:hAnsi="Times New Roman"/>
          <w:sz w:val="18"/>
          <w:szCs w:val="18"/>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 Department of Justice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 equitable remedies.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87" w:lineRule="exact"/>
        <w:rPr>
          <w:sz w:val="20"/>
          <w:szCs w:val="20"/>
          <w:color w:val="auto"/>
        </w:rPr>
      </w:pPr>
    </w:p>
    <w:p>
      <w:pPr>
        <w:ind w:left="40" w:right="419" w:firstLine="225"/>
        <w:spacing w:after="0" w:line="282" w:lineRule="auto"/>
        <w:rPr>
          <w:sz w:val="20"/>
          <w:szCs w:val="20"/>
          <w:color w:val="auto"/>
        </w:rPr>
      </w:pPr>
      <w:r>
        <w:rPr>
          <w:rFonts w:ascii="Times New Roman" w:cs="Times New Roman" w:eastAsia="Times New Roman" w:hAnsi="Times New Roman"/>
          <w:sz w:val="18"/>
          <w:szCs w:val="18"/>
          <w:color w:val="auto"/>
        </w:rPr>
        <w:t>Although unanticipated issues may arise, we currently expect the costs associated with the Company’s investigation effort to decline beginning in the third quarter.</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Mexican Tax Issues</w:t>
      </w:r>
    </w:p>
    <w:p>
      <w:pPr>
        <w:spacing w:after="0" w:line="227" w:lineRule="exact"/>
        <w:rPr>
          <w:sz w:val="20"/>
          <w:szCs w:val="20"/>
          <w:color w:val="auto"/>
        </w:rPr>
      </w:pPr>
    </w:p>
    <w:p>
      <w:pPr>
        <w:ind w:left="40" w:right="59" w:firstLine="259"/>
        <w:spacing w:after="0" w:line="282" w:lineRule="auto"/>
        <w:rPr>
          <w:sz w:val="20"/>
          <w:szCs w:val="20"/>
          <w:color w:val="auto"/>
        </w:rPr>
      </w:pPr>
      <w:r>
        <w:rPr>
          <w:rFonts w:ascii="Times New Roman" w:cs="Times New Roman" w:eastAsia="Times New Roman" w:hAnsi="Times New Roman"/>
          <w:sz w:val="18"/>
          <w:szCs w:val="18"/>
          <w:color w:val="auto"/>
        </w:rPr>
        <w:t>See Notes 7 and 10 of the consolidated financial statements for information on Mexican tax matters and the Mexican IVA taxes receivable.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40" w:right="279" w:firstLine="259"/>
        <w:spacing w:after="0" w:line="289" w:lineRule="auto"/>
        <w:rPr>
          <w:sz w:val="20"/>
          <w:szCs w:val="20"/>
          <w:color w:val="auto"/>
        </w:rPr>
      </w:pPr>
      <w:r>
        <w:rPr>
          <w:rFonts w:ascii="Times New Roman" w:cs="Times New Roman" w:eastAsia="Times New Roman" w:hAnsi="Times New Roman"/>
          <w:sz w:val="17"/>
          <w:szCs w:val="17"/>
          <w:color w:val="auto"/>
        </w:rPr>
        <w:t>In preparing our financial statements in accordance with GAAP, we are required to make estimates and assumptions that affect the amounts of assets, liabilities, revenue, and costs and expenses that are reported in the financial statements and accompanying disclosures. We evaluate our estimates and assumptions on an ongoing basis. Our estimates are based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61" w:lineRule="auto"/>
        <w:rPr>
          <w:sz w:val="20"/>
          <w:szCs w:val="20"/>
          <w:color w:val="auto"/>
        </w:rPr>
      </w:pPr>
      <w:r>
        <w:rPr>
          <w:rFonts w:ascii="Times New Roman" w:cs="Times New Roman" w:eastAsia="Times New Roman" w:hAnsi="Times New Roman"/>
          <w:sz w:val="18"/>
          <w:szCs w:val="18"/>
          <w:color w:val="auto"/>
        </w:rPr>
        <w:t>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247" w:lineRule="exact"/>
        <w:rPr>
          <w:sz w:val="20"/>
          <w:szCs w:val="20"/>
          <w:color w:val="auto"/>
        </w:rPr>
      </w:pPr>
    </w:p>
    <w:p>
      <w:pPr>
        <w:ind w:left="40" w:right="99" w:firstLine="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during the three months ended April 30, 2024, as compared to those disclosed in the “Management’s Discussion and Analysis of Financial Condition and Results of Operations—Critical Accounting Estimates” in our Annual Report on Form 10-K for our fiscal year ended October 31, 2023.</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We and certain of our subsidiaries have entered into non-binding negotiations regarding the potential sale of all of the assets used in our Fresh Cut business and certain related real property. The terms, including price and structure, remain under negotiation, and we are targeting completion of the Proposed Transaction during the third quarter of fiscal 2024. The Fresh Cut business represents substantially all of the business of the Prepared segment other than the guacamole business, which would be retained following the Proposed Transaction.</w:t>
      </w:r>
    </w:p>
    <w:p>
      <w:pPr>
        <w:spacing w:after="0" w:line="183"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The financial results of the Fresh Cut business have been classified as discontinued operations in the statements of operations and its assets and liabilities have been classified as held for sale in the balance sheets included herein. Unless otherwise noted, amounts and disclosures in this section, relate to our continuing operations (except for the Liquidity and Capital Resources section).</w:t>
      </w:r>
    </w:p>
    <w:p>
      <w:pPr>
        <w:spacing w:after="0" w:line="180" w:lineRule="exact"/>
        <w:rPr>
          <w:sz w:val="20"/>
          <w:szCs w:val="20"/>
          <w:color w:val="auto"/>
        </w:rPr>
      </w:pPr>
    </w:p>
    <w:p>
      <w:pPr>
        <w:ind w:left="40" w:right="339" w:firstLine="259"/>
        <w:spacing w:after="0" w:line="261" w:lineRule="auto"/>
        <w:rPr>
          <w:sz w:val="20"/>
          <w:szCs w:val="20"/>
          <w:color w:val="auto"/>
        </w:rPr>
      </w:pPr>
      <w:r>
        <w:rPr>
          <w:rFonts w:ascii="Times New Roman" w:cs="Times New Roman" w:eastAsia="Times New Roman" w:hAnsi="Times New Roman"/>
          <w:sz w:val="18"/>
          <w:szCs w:val="18"/>
          <w:color w:val="auto"/>
        </w:rPr>
        <w:t>Prior to the decision to divest our Fresh Cut business, the Company’s Prepared reporting segment included the Fresh Cut business unit and our guacamole business. As a result of the planned divestiture, the Fresh Cut business unit is no longer included in our Prepared business segment. All segment information included herein reflect these changes. See Note 11 of the consolidated financial statements for further information.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40" w:right="439" w:firstLine="259"/>
        <w:spacing w:after="0" w:line="261" w:lineRule="auto"/>
        <w:rPr>
          <w:sz w:val="20"/>
          <w:szCs w:val="20"/>
          <w:color w:val="auto"/>
        </w:rPr>
      </w:pPr>
      <w:r>
        <w:rPr>
          <w:rFonts w:ascii="Times New Roman" w:cs="Times New Roman" w:eastAsia="Times New Roman" w:hAnsi="Times New Roman"/>
          <w:sz w:val="18"/>
          <w:szCs w:val="18"/>
          <w:color w:val="auto"/>
        </w:rPr>
        <w:t>The below tables include non-GAAP measures EBITDA from continuing operations, adjusted EBITDA from continuing operations, adjusted net income (loss) from continuing operations and adjusted net income (loss) from continuing operations per diluted share, which are not prepared in accordance with U.S. generally accepted accounting principles, or “GAAP.”</w:t>
      </w:r>
    </w:p>
    <w:p>
      <w:pPr>
        <w:spacing w:after="0" w:line="180" w:lineRule="exact"/>
        <w:rPr>
          <w:sz w:val="20"/>
          <w:szCs w:val="20"/>
          <w:color w:val="auto"/>
        </w:rPr>
      </w:pPr>
    </w:p>
    <w:p>
      <w:pPr>
        <w:ind w:left="40" w:right="79" w:firstLine="259"/>
        <w:spacing w:after="0" w:line="269" w:lineRule="auto"/>
        <w:rPr>
          <w:sz w:val="20"/>
          <w:szCs w:val="20"/>
          <w:color w:val="auto"/>
        </w:rPr>
      </w:pPr>
      <w:r>
        <w:rPr>
          <w:rFonts w:ascii="Times New Roman" w:cs="Times New Roman" w:eastAsia="Times New Roman" w:hAnsi="Times New Roman"/>
          <w:sz w:val="17"/>
          <w:szCs w:val="17"/>
          <w:color w:val="auto"/>
        </w:rPr>
        <w:t>EBITDA from continuing operations is defined as net income (loss) from continuing operations excluding (1) interest income and expense, (2) income taxes (benefit) provision, (3) depreciation and amortization and (4) stock-based compensation expense. Adjusted EBITDA from continuing operations is EBITDA from continuing operations with further adjustments for (1) non-cash net income (losses) recognized from unconsolidated entities, (2) goodwill impairment, (3) write-off of long-lived assets, (4) acquisition-related costs, (5) restructuring-related costs, including certain severance costs,</w:t>
      </w:r>
    </w:p>
    <w:p>
      <w:pPr>
        <w:spacing w:after="0" w:line="3" w:lineRule="exact"/>
        <w:rPr>
          <w:sz w:val="20"/>
          <w:szCs w:val="20"/>
          <w:color w:val="auto"/>
        </w:rPr>
      </w:pPr>
    </w:p>
    <w:p>
      <w:pPr>
        <w:ind w:left="40" w:right="159" w:firstLine="4"/>
        <w:spacing w:after="0" w:line="270" w:lineRule="auto"/>
        <w:tabs>
          <w:tab w:leader="none" w:pos="2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litigation and other related costs, and (7) one-time items. Adjusted EBITDA from continuing operations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from continuing operations and adjusted EBITDA from continuing operations are items recognized and recorded under GAAP in particular periods but might be viewed as not necessarily coinciding with the underlying business operations for the periods in which they are so recognized and recorded.</w:t>
      </w:r>
    </w:p>
    <w:p>
      <w:pPr>
        <w:spacing w:after="0" w:line="174" w:lineRule="exact"/>
        <w:rPr>
          <w:sz w:val="20"/>
          <w:szCs w:val="20"/>
          <w:color w:val="auto"/>
        </w:rPr>
      </w:pPr>
    </w:p>
    <w:p>
      <w:pPr>
        <w:ind w:left="40" w:right="79" w:firstLine="259"/>
        <w:spacing w:after="0" w:line="256" w:lineRule="auto"/>
        <w:rPr>
          <w:sz w:val="20"/>
          <w:szCs w:val="20"/>
          <w:color w:val="auto"/>
        </w:rPr>
      </w:pPr>
      <w:r>
        <w:rPr>
          <w:rFonts w:ascii="Times New Roman" w:cs="Times New Roman" w:eastAsia="Times New Roman" w:hAnsi="Times New Roman"/>
          <w:sz w:val="18"/>
          <w:szCs w:val="18"/>
          <w:color w:val="auto"/>
        </w:rPr>
        <w:t>Adjusted net loss from continuing operations is defined as net loss from continuing operations excluding (1) non-cash net income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from continuing operations and the related measure of adjusted net income (loss) from continuing operations per diluted share exclude certain items that are recognized and recorded under GAAP in particular periods but might be viewed as not necessarily coinciding with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61" w:lineRule="auto"/>
        <w:rPr>
          <w:sz w:val="20"/>
          <w:szCs w:val="20"/>
          <w:color w:val="auto"/>
        </w:rPr>
      </w:pPr>
      <w:r>
        <w:rPr>
          <w:rFonts w:ascii="Times New Roman" w:cs="Times New Roman" w:eastAsia="Times New Roman" w:hAnsi="Times New Roman"/>
          <w:sz w:val="18"/>
          <w:szCs w:val="18"/>
          <w:color w:val="auto"/>
        </w:rPr>
        <w:t>underlying business operations for the periods in which they are so recognized and recorded. We believe adjusted net income (loss) from continuing operations affords investors a different view of the overall financial performance of the Company than adjusted EBITDA from continuing operations and the GAAP measure of net income (loss) attributable to Calavo Growers, Inc.</w:t>
      </w:r>
    </w:p>
    <w:p>
      <w:pPr>
        <w:spacing w:after="0" w:line="180" w:lineRule="exact"/>
        <w:rPr>
          <w:sz w:val="20"/>
          <w:szCs w:val="20"/>
          <w:color w:val="auto"/>
        </w:rPr>
      </w:pPr>
    </w:p>
    <w:p>
      <w:pPr>
        <w:ind w:left="40" w:right="639" w:firstLine="259"/>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w:t>
      </w:r>
    </w:p>
    <w:p>
      <w:pPr>
        <w:spacing w:after="0" w:line="162"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76" w:lineRule="exact"/>
        <w:rPr>
          <w:sz w:val="20"/>
          <w:szCs w:val="20"/>
          <w:color w:val="auto"/>
        </w:rPr>
      </w:pPr>
    </w:p>
    <w:p>
      <w:pPr>
        <w:ind w:left="40" w:right="139" w:firstLine="259"/>
        <w:spacing w:after="0" w:line="25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from continuing operations, adjusted EBITDA from continuing operations, adjusted net income (loss) from continuing operations and adjusted net income (loss) from continuing operations per diluted share may not be comparable to similarly titled measures presented by other companies and may not be identical to corresponding measures used in Company agreements.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from Continuing Operations (Non-GAAP, Unaudited)</w:t>
      </w:r>
    </w:p>
    <w:p>
      <w:pPr>
        <w:spacing w:after="0" w:line="229" w:lineRule="exact"/>
        <w:rPr>
          <w:sz w:val="20"/>
          <w:szCs w:val="20"/>
          <w:color w:val="auto"/>
        </w:rPr>
      </w:pPr>
    </w:p>
    <w:p>
      <w:pPr>
        <w:ind w:left="40" w:right="259" w:firstLine="259"/>
        <w:spacing w:after="0" w:line="258" w:lineRule="auto"/>
        <w:rPr>
          <w:sz w:val="20"/>
          <w:szCs w:val="20"/>
          <w:color w:val="auto"/>
        </w:rPr>
      </w:pPr>
      <w:r>
        <w:rPr>
          <w:rFonts w:ascii="Times New Roman" w:cs="Times New Roman" w:eastAsia="Times New Roman" w:hAnsi="Times New Roman"/>
          <w:sz w:val="18"/>
          <w:szCs w:val="18"/>
          <w:color w:val="auto"/>
        </w:rPr>
        <w:t>The following table presents adjusted income (loss) from continuing operations, net of income taxes and adjusted net income (loss) from continuing operations per diluted share, each a non-GAAP measure, and reconciles them to income (loss) from continuing operations, net of incomes taxes, and Diluted EPS from continuing operations, which are the most directly comparable GAAP measures. See “Non-GAAP Financial Measures” above (in thousands, except per share amounts).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80" w:type="dxa"/>
            <w:vAlign w:val="bottom"/>
          </w:tcPr>
          <w:p>
            <w:pPr>
              <w:spacing w:after="0"/>
              <w:rPr>
                <w:sz w:val="15"/>
                <w:szCs w:val="15"/>
                <w:color w:val="auto"/>
              </w:rPr>
            </w:pP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178"/>
        </w:trPr>
        <w:tc>
          <w:tcPr>
            <w:tcW w:w="506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Calavo</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(income) loss recognized from unconsolidated entities (a)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5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Impairment, losses and charges related to property, plant and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(b)</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98"/>
        </w:trPr>
        <w:tc>
          <w:tcPr>
            <w:tcW w:w="5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management recruiting and severance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related to Mexican tax matters (d)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and related expenses (e)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related to FCPA Mexico investigation (f)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adjustments (g)</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49"/>
        </w:trPr>
        <w:tc>
          <w:tcPr>
            <w:tcW w:w="5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197"/>
        </w:trPr>
        <w:tc>
          <w:tcPr>
            <w:tcW w:w="30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Growers, Inc.’s continuing operations per share: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from continuing operations (GAAP)</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net income from continuing operations per diluted share</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6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0" w:type="dxa"/>
            <w:vAlign w:val="bottom"/>
          </w:tcPr>
          <w:p>
            <w:pPr>
              <w:spacing w:after="0"/>
              <w:rPr>
                <w:sz w:val="1"/>
                <w:szCs w:val="1"/>
                <w:color w:val="auto"/>
              </w:rPr>
            </w:pPr>
          </w:p>
        </w:tc>
      </w:tr>
      <w:tr>
        <w:trPr>
          <w:trHeight w:val="101"/>
        </w:trPr>
        <w:tc>
          <w:tcPr>
            <w:tcW w:w="30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right="199" w:hanging="316"/>
        <w:spacing w:after="0" w:line="234"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months ended April 30, 2024 and 2023, we realized income of $0.2 million and losses of $0.1 million from Agricola Don Memo. For the six months ended April 30, 2024 and 2023, we realized income of $0.2 million and income of $0.1 million from Agricola Don Memo.</w:t>
      </w:r>
    </w:p>
    <w:p>
      <w:pPr>
        <w:spacing w:after="0" w:line="68" w:lineRule="exact"/>
        <w:rPr>
          <w:rFonts w:ascii="Times New Roman" w:cs="Times New Roman" w:eastAsia="Times New Roman" w:hAnsi="Times New Roman"/>
          <w:sz w:val="16"/>
          <w:szCs w:val="16"/>
          <w:color w:val="auto"/>
        </w:rPr>
      </w:pPr>
    </w:p>
    <w:p>
      <w:pPr>
        <w:ind w:left="360" w:right="539" w:hanging="316"/>
        <w:spacing w:after="0" w:line="234"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On April 1, 2023, we completed the divesture of our salsa business in our Prepared segment and incurred $0.2 million in losses related to the disposal of property, plant and equipment.</w:t>
      </w:r>
    </w:p>
    <w:p>
      <w:pPr>
        <w:spacing w:after="0" w:line="68" w:lineRule="exact"/>
        <w:rPr>
          <w:rFonts w:ascii="Times New Roman" w:cs="Times New Roman" w:eastAsia="Times New Roman" w:hAnsi="Times New Roman"/>
          <w:sz w:val="16"/>
          <w:szCs w:val="16"/>
          <w:color w:val="auto"/>
        </w:rPr>
      </w:pPr>
    </w:p>
    <w:p>
      <w:pPr>
        <w:ind w:left="360" w:right="379" w:hanging="316"/>
        <w:spacing w:after="0" w:line="230"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months ended April 30, 2024, we incurred $0.6 million in severance and other costs related to the departure of certain members of management. For the six months ended April 30, 2024, we incurred $0.9 million in severance and other costs and $0.1 million in stock-based compensation related to the departure of certain members of management.</w:t>
      </w:r>
    </w:p>
    <w:p>
      <w:pPr>
        <w:spacing w:after="0" w:line="68" w:lineRule="exact"/>
        <w:rPr>
          <w:rFonts w:ascii="Times New Roman" w:cs="Times New Roman" w:eastAsia="Times New Roman" w:hAnsi="Times New Roman"/>
          <w:sz w:val="16"/>
          <w:szCs w:val="16"/>
          <w:color w:val="auto"/>
        </w:rPr>
      </w:pPr>
    </w:p>
    <w:p>
      <w:pPr>
        <w:ind w:left="360" w:right="179"/>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six months ended April 30, 2023, we recorded $0.6 million in severance costs as part of U.S. restructuring efforts. In addition, we incurred $1.2 million in severance and other costs and $1.2 million in stock-based compensation related to the departure of our former Chief Executive Officer. Additionally, we incurred $0.6 million related to the divesture of Salsa Lisa.</w:t>
      </w:r>
    </w:p>
    <w:p>
      <w:pPr>
        <w:spacing w:after="0" w:line="68" w:lineRule="exact"/>
        <w:rPr>
          <w:rFonts w:ascii="Times New Roman" w:cs="Times New Roman" w:eastAsia="Times New Roman" w:hAnsi="Times New Roman"/>
          <w:sz w:val="16"/>
          <w:szCs w:val="16"/>
          <w:color w:val="auto"/>
        </w:rPr>
      </w:pPr>
    </w:p>
    <w:p>
      <w:pPr>
        <w:jc w:val="both"/>
        <w:ind w:left="360" w:right="79" w:hanging="316"/>
        <w:spacing w:after="0" w:line="230"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six months ended April 30, 2024, we incurred $0.2 million and $0.6 million of professional fees related to the Mexican tax matters, respectively. For the three and six months ended April 30, 2023, we recognized a reserve of $0.4 million and $2.4 million related to the Mexican tax matters, respectively.</w:t>
      </w:r>
    </w:p>
    <w:p>
      <w:pPr>
        <w:spacing w:after="0" w:line="68" w:lineRule="exact"/>
        <w:rPr>
          <w:rFonts w:ascii="Times New Roman" w:cs="Times New Roman" w:eastAsia="Times New Roman" w:hAnsi="Times New Roman"/>
          <w:sz w:val="16"/>
          <w:szCs w:val="16"/>
          <w:color w:val="auto"/>
        </w:rPr>
      </w:pPr>
    </w:p>
    <w:p>
      <w:pPr>
        <w:ind w:left="360" w:right="139" w:hanging="316"/>
        <w:spacing w:after="0" w:line="228"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six months ended April 30, 2023, we accrued $0.6 million in a legal settlement from a dispute from over five years ago connected to an old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p>
      <w:pPr>
        <w:spacing w:after="0" w:line="68" w:lineRule="exact"/>
        <w:rPr>
          <w:rFonts w:ascii="Times New Roman" w:cs="Times New Roman" w:eastAsia="Times New Roman" w:hAnsi="Times New Roman"/>
          <w:sz w:val="16"/>
          <w:szCs w:val="16"/>
          <w:color w:val="auto"/>
        </w:rPr>
      </w:pPr>
    </w:p>
    <w:p>
      <w:pPr>
        <w:ind w:left="360" w:right="439" w:hanging="316"/>
        <w:spacing w:after="0" w:line="234" w:lineRule="auto"/>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For the three and six months ended April 30, 2024, we incurred $2.7 million and $5.0 million of professional fee expenses related to the FCPA investigation in Mexico, respectively. See further information in Note 7 to the consolidated financial statements.</w:t>
      </w:r>
    </w:p>
    <w:p>
      <w:pPr>
        <w:spacing w:after="0" w:line="95" w:lineRule="exact"/>
        <w:rPr>
          <w:rFonts w:ascii="Times New Roman" w:cs="Times New Roman" w:eastAsia="Times New Roman" w:hAnsi="Times New Roman"/>
          <w:sz w:val="16"/>
          <w:szCs w:val="16"/>
          <w:color w:val="auto"/>
        </w:rPr>
      </w:pPr>
    </w:p>
    <w:p>
      <w:pPr>
        <w:ind w:left="360" w:hanging="316"/>
        <w:spacing w:after="0"/>
        <w:tabs>
          <w:tab w:leader="none" w:pos="3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Tax impact of non-GAAP adjustments are based on effective year-to-date tax rates.</w:t>
      </w:r>
    </w:p>
    <w:p>
      <w:pPr>
        <w:spacing w:after="0" w:line="194"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Reconciliation of EBITDA from Continuing Operations and Adjusted EBITDA from Continuing Operations (Non-GAAP, Unaudited)</w:t>
      </w:r>
    </w:p>
    <w:p>
      <w:pPr>
        <w:spacing w:after="0" w:line="159" w:lineRule="exact"/>
        <w:rPr>
          <w:sz w:val="20"/>
          <w:szCs w:val="20"/>
          <w:color w:val="auto"/>
        </w:rPr>
      </w:pPr>
    </w:p>
    <w:p>
      <w:pPr>
        <w:ind w:left="40" w:right="259" w:firstLine="259"/>
        <w:spacing w:after="0" w:line="261" w:lineRule="auto"/>
        <w:rPr>
          <w:sz w:val="20"/>
          <w:szCs w:val="20"/>
          <w:color w:val="auto"/>
        </w:rPr>
      </w:pPr>
      <w:r>
        <w:rPr>
          <w:rFonts w:ascii="Times New Roman" w:cs="Times New Roman" w:eastAsia="Times New Roman" w:hAnsi="Times New Roman"/>
          <w:sz w:val="18"/>
          <w:szCs w:val="18"/>
          <w:color w:val="auto"/>
        </w:rPr>
        <w:t>The following table presents EBITDA from continuing operations and adjusted EBITDA from continuing operations, each a non-GAAP measure, and reconciles them to net income (loss) attributable to Calavo Growers, Inc., which is the most directly comparable GAAP measure. See “Non-GAAP Financial Measures” above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140" w:type="dxa"/>
            <w:vAlign w:val="bottom"/>
          </w:tcPr>
          <w:p>
            <w:pPr>
              <w:spacing w:after="0"/>
              <w:rPr>
                <w:sz w:val="15"/>
                <w:szCs w:val="15"/>
                <w:color w:val="auto"/>
              </w:rPr>
            </w:pPr>
          </w:p>
        </w:tc>
        <w:tc>
          <w:tcPr>
            <w:tcW w:w="17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Add: Net income attributable to noncontrolling interest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4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Calavo</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Growers, Inc.</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(income) loss recognized from unconsolidated entities (a)</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losses and charges related to property, plant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(b)</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Restructure costs - consulting and management recruiting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 (c)</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 (d)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settlement and related expenses (e)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related to FCPA Mexico investigation (f)</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94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See prior page for footnote references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40" w:right="11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sales by business segment for each of the three and six months ended April 30,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76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2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8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86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209"/>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sales:</w:t>
            </w:r>
          </w:p>
        </w:tc>
        <w:tc>
          <w:tcPr>
            <w:tcW w:w="10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$ 166,755</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 $ 140,301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$ 279,781</w:t>
            </w: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8 % $ 258,050</w:t>
            </w:r>
          </w:p>
        </w:tc>
        <w:tc>
          <w:tcPr>
            <w:tcW w:w="200" w:type="dxa"/>
            <w:vAlign w:val="bottom"/>
          </w:tcPr>
          <w:p>
            <w:pPr>
              <w:spacing w:after="0"/>
              <w:rPr>
                <w:sz w:val="18"/>
                <w:szCs w:val="18"/>
                <w:color w:val="auto"/>
              </w:rPr>
            </w:pPr>
          </w:p>
        </w:tc>
      </w:tr>
      <w:tr>
        <w:trPr>
          <w:trHeight w:val="216"/>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32,208</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200" w:type="dxa"/>
            <w:vAlign w:val="bottom"/>
            <w:shd w:val="clear" w:color="auto" w:fill="CCEEFF"/>
          </w:tcPr>
          <w:p>
            <w:pPr>
              <w:spacing w:after="0"/>
              <w:rPr>
                <w:sz w:val="18"/>
                <w:szCs w:val="18"/>
                <w:color w:val="auto"/>
              </w:rPr>
            </w:pPr>
          </w:p>
        </w:tc>
      </w:tr>
      <w:tr>
        <w:trPr>
          <w:trHeight w:val="250"/>
        </w:trPr>
        <w:tc>
          <w:tcPr>
            <w:tcW w:w="2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0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$ 184,383</w:t>
            </w:r>
          </w:p>
        </w:tc>
        <w:tc>
          <w:tcPr>
            <w:tcW w:w="960" w:type="dxa"/>
            <w:vAlign w:val="bottom"/>
            <w:tcBorders>
              <w:bottom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$ 158,279</w:t>
            </w:r>
          </w:p>
        </w:tc>
        <w:tc>
          <w:tcPr>
            <w:tcW w:w="2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$ 311,989</w:t>
            </w:r>
          </w:p>
        </w:tc>
        <w:tc>
          <w:tcPr>
            <w:tcW w:w="92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$ 291,042</w:t>
            </w:r>
          </w:p>
        </w:tc>
        <w:tc>
          <w:tcPr>
            <w:tcW w:w="200" w:type="dxa"/>
            <w:vAlign w:val="bottom"/>
            <w:tcBorders>
              <w:bottom w:val="single" w:sz="8" w:color="CCEEFF"/>
            </w:tcBorders>
          </w:tcPr>
          <w:p>
            <w:pPr>
              <w:spacing w:after="0"/>
              <w:rPr>
                <w:sz w:val="21"/>
                <w:szCs w:val="21"/>
                <w:color w:val="auto"/>
              </w:rPr>
            </w:pPr>
          </w:p>
        </w:tc>
      </w:tr>
      <w:tr>
        <w:trPr>
          <w:trHeight w:val="197"/>
        </w:trPr>
        <w:tc>
          <w:tcPr>
            <w:tcW w:w="2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a percentage of sales:</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17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90.4 %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88.6 %</w:t>
            </w:r>
          </w:p>
        </w:tc>
        <w:tc>
          <w:tcPr>
            <w:tcW w:w="17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89.7 %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88.7 %</w:t>
            </w:r>
          </w:p>
        </w:tc>
      </w:tr>
      <w:tr>
        <w:trPr>
          <w:trHeight w:val="21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1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9.6 %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7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10.3 %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top w:val="single" w:sz="8" w:color="CCEEFF"/>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Net sales for the three months ended April 30, 2024, compared to the corresponding period in fiscal 2023, increased by $26.1 million, or approximately 16%. This increase was across the Grown segment. Net sales for the six months ended April 30, 2024, compared to the corresponding period in fiscal 2023, increased by $21.6 million, or approximately 7%. This increase was across the Grown segment.</w:t>
      </w:r>
    </w:p>
    <w:p>
      <w:pPr>
        <w:spacing w:after="0" w:line="180"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We will continue to pursue grower recruitment opportunities and expand relationships with retail and foodservice customers to fuel net sales growth in each of our business segments. Our Grown and Prepared segments of our business are subject to seasonal trends which can impact the volume and quality of raw materials sourced in any particular quarter.</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Second Quarter 2024 vs. Second Quarter 2023</w:t>
      </w:r>
    </w:p>
    <w:p>
      <w:pPr>
        <w:spacing w:after="0" w:line="225" w:lineRule="exact"/>
        <w:rPr>
          <w:sz w:val="20"/>
          <w:szCs w:val="20"/>
          <w:color w:val="auto"/>
        </w:rPr>
      </w:pPr>
    </w:p>
    <w:p>
      <w:pPr>
        <w:ind w:left="40" w:right="15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Grown products business increased by approximately $26.5 million, or 19%, for the second quarter of fiscal 2024 compared to the corresponding period in fiscal 2023. The increase in Grown product sales during the second quarter of fiscal 2024 was primarily related to an increase in sales of avocados and tomatoes.</w:t>
      </w:r>
    </w:p>
    <w:p>
      <w:pPr>
        <w:spacing w:after="0" w:line="176"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Sales of avocados increased $14.1 million, or 12%, for the second quarter of 2024 compared to the prior year period. The increase in avocado sales during the second quarter of fiscal 2024 was primarily related to an increase in the sales price per carton by approximately 28%, partially offset by a decrease of cartons sold by 13%, as we continue to prioritize margin over volume in our sourcing and sales decisions. The increase in the sales price per carton was mainly due to strong demand for avocados.</w:t>
      </w:r>
    </w:p>
    <w:p>
      <w:pPr>
        <w:spacing w:after="0" w:line="183"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Sales of tomatoes increased $11.9 million, or 73%, for the second quarter of 2024, when compared to the prior year period. The increase in tomato sales was due to an increase in volume of tomatoes sold of approximately 28% in the second quarter of 2024, compared to the same prior year period. In addition, the sales price per carton of tomatoes increased by approximately 35%.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Six Months Ended April 30, 2024 vs. Six Months Ended April 30, 2023</w:t>
      </w:r>
    </w:p>
    <w:p>
      <w:pPr>
        <w:spacing w:after="0" w:line="225" w:lineRule="exact"/>
        <w:rPr>
          <w:sz w:val="20"/>
          <w:szCs w:val="20"/>
          <w:color w:val="auto"/>
        </w:rPr>
      </w:pPr>
    </w:p>
    <w:p>
      <w:pPr>
        <w:ind w:left="40" w:right="239" w:firstLine="259"/>
        <w:spacing w:after="0" w:line="258" w:lineRule="auto"/>
        <w:rPr>
          <w:sz w:val="20"/>
          <w:szCs w:val="20"/>
          <w:color w:val="auto"/>
        </w:rPr>
      </w:pPr>
      <w:r>
        <w:rPr>
          <w:rFonts w:ascii="Times New Roman" w:cs="Times New Roman" w:eastAsia="Times New Roman" w:hAnsi="Times New Roman"/>
          <w:sz w:val="18"/>
          <w:szCs w:val="18"/>
          <w:color w:val="auto"/>
        </w:rPr>
        <w:t>Net sales for the Grown products business increased by approximately $23.5 million, or 8%, for the six months ended April 30, 2024 compared to the corresponding period in fiscal 2023. The increase in Grown product sales during the six months ended April 30, 2024 was primarily related to an increase in sales of avocados due to an overall increase in the sales prices per carton, in addition, sales of tomatoes increased due to an increase in pounds sold and an increase in the sales prices per pound for tomatoes.</w:t>
      </w:r>
    </w:p>
    <w:p>
      <w:pPr>
        <w:spacing w:after="0" w:line="183" w:lineRule="exact"/>
        <w:rPr>
          <w:sz w:val="20"/>
          <w:szCs w:val="20"/>
          <w:color w:val="auto"/>
        </w:rPr>
      </w:pPr>
    </w:p>
    <w:p>
      <w:pPr>
        <w:ind w:left="40" w:right="239" w:firstLine="259"/>
        <w:spacing w:after="0" w:line="261" w:lineRule="auto"/>
        <w:rPr>
          <w:sz w:val="20"/>
          <w:szCs w:val="20"/>
          <w:color w:val="auto"/>
        </w:rPr>
      </w:pPr>
      <w:r>
        <w:rPr>
          <w:rFonts w:ascii="Times New Roman" w:cs="Times New Roman" w:eastAsia="Times New Roman" w:hAnsi="Times New Roman"/>
          <w:sz w:val="18"/>
          <w:szCs w:val="18"/>
          <w:color w:val="auto"/>
        </w:rPr>
        <w:t>Sales of avocados increased $12.4 million, or 6%, for the six months ended April 30, 2024 compared to the prior year period. The increase in avocado sales during the six months ended April 30, 2024 was primarily related to an increase in sales prices per carton of approximately 25%, partially offset by a decrease in cartons sold by 16%. The increase in the sales price per carton was mainly due to strong demand for avocados.</w:t>
      </w:r>
    </w:p>
    <w:p>
      <w:pPr>
        <w:spacing w:after="0" w:line="180" w:lineRule="exact"/>
        <w:rPr>
          <w:sz w:val="20"/>
          <w:szCs w:val="20"/>
          <w:color w:val="auto"/>
        </w:rPr>
      </w:pPr>
    </w:p>
    <w:p>
      <w:pPr>
        <w:ind w:left="40" w:right="139" w:firstLine="259"/>
        <w:spacing w:after="0" w:line="261" w:lineRule="auto"/>
        <w:rPr>
          <w:sz w:val="20"/>
          <w:szCs w:val="20"/>
          <w:color w:val="auto"/>
        </w:rPr>
      </w:pPr>
      <w:r>
        <w:rPr>
          <w:rFonts w:ascii="Times New Roman" w:cs="Times New Roman" w:eastAsia="Times New Roman" w:hAnsi="Times New Roman"/>
          <w:sz w:val="18"/>
          <w:szCs w:val="18"/>
          <w:color w:val="auto"/>
        </w:rPr>
        <w:t>Sales of tomatoes increased $9.3 million, or 31%, for the six months ended April 30, 2024, when compared to the prior year period. The increase in tomato sales was primarily due to an increase in the sales price per carton of tomatoes which increased by approximately 20%, as well as an increase in the volume of tomatoes sold of approximately 9% in the first quarter of 2024, compared to the same prior year period.</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Second Quarter 2024 vs. Second Quarter 2023</w:t>
      </w:r>
    </w:p>
    <w:p>
      <w:pPr>
        <w:spacing w:after="0" w:line="225"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Prepared products business decreased by approximately $0.3 million, for the three months ended April 30, 2024 compared to the corresponding period in fiscal 2023. This decrease in Prepared product sales during the three months ended April 30, 2024 was primarily related to the divestiture of our salsa business in June 2023.</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Six Months Ended April 30, 2024 vs. Six Months Ended April 30, 2023</w:t>
      </w:r>
    </w:p>
    <w:p>
      <w:pPr>
        <w:spacing w:after="0" w:line="225" w:lineRule="exact"/>
        <w:rPr>
          <w:sz w:val="20"/>
          <w:szCs w:val="20"/>
          <w:color w:val="auto"/>
        </w:rPr>
      </w:pPr>
    </w:p>
    <w:p>
      <w:pPr>
        <w:ind w:left="40" w:right="99" w:firstLine="259"/>
        <w:spacing w:after="0" w:line="266" w:lineRule="auto"/>
        <w:rPr>
          <w:sz w:val="20"/>
          <w:szCs w:val="20"/>
          <w:color w:val="auto"/>
        </w:rPr>
      </w:pPr>
      <w:r>
        <w:rPr>
          <w:rFonts w:ascii="Times New Roman" w:cs="Times New Roman" w:eastAsia="Times New Roman" w:hAnsi="Times New Roman"/>
          <w:sz w:val="18"/>
          <w:szCs w:val="18"/>
          <w:color w:val="auto"/>
        </w:rPr>
        <w:t>Net sales for the Prepared products business decreased by approximately $0.8 million, for the three months ended April 30, 2024 compared to the corresponding period in fiscal 2023. This decrease in Prepared product sales during the three months ended April 30, 2024 was primarily related to the divestiture of our salsa business in June 2023.</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40" w:right="139"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profit and gross profit percentages by business segment for the three months ended April 30, 2024 and 2023:</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5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5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382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90"/>
        </w:trPr>
        <w:tc>
          <w:tcPr>
            <w:tcW w:w="38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Grown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$ 16,049</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27 % $ 12,599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$ 24,187</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10 % $ 22,080</w:t>
            </w:r>
          </w:p>
        </w:tc>
        <w:tc>
          <w:tcPr>
            <w:tcW w:w="18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Prepared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180" w:type="dxa"/>
            <w:vAlign w:val="bottom"/>
            <w:shd w:val="clear" w:color="auto" w:fill="CCEEFF"/>
          </w:tcPr>
          <w:p>
            <w:pPr>
              <w:spacing w:after="0"/>
              <w:rPr>
                <w:sz w:val="18"/>
                <w:szCs w:val="18"/>
                <w:color w:val="auto"/>
              </w:rPr>
            </w:pPr>
          </w:p>
        </w:tc>
      </w:tr>
      <w:tr>
        <w:trPr>
          <w:trHeight w:val="250"/>
        </w:trPr>
        <w:tc>
          <w:tcPr>
            <w:tcW w:w="3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$ 20,357</w:t>
            </w:r>
          </w:p>
        </w:tc>
        <w:tc>
          <w:tcPr>
            <w:tcW w:w="94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$ 15,671</w:t>
            </w:r>
          </w:p>
        </w:tc>
        <w:tc>
          <w:tcPr>
            <w:tcW w:w="2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$ 32,825</w:t>
            </w:r>
          </w:p>
        </w:tc>
        <w:tc>
          <w:tcPr>
            <w:tcW w:w="96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$ 28,756</w:t>
            </w:r>
          </w:p>
        </w:tc>
        <w:tc>
          <w:tcPr>
            <w:tcW w:w="180" w:type="dxa"/>
            <w:vAlign w:val="bottom"/>
            <w:tcBorders>
              <w:bottom w:val="single" w:sz="8" w:color="CCEEFF"/>
            </w:tcBorders>
          </w:tcPr>
          <w:p>
            <w:pPr>
              <w:spacing w:after="0"/>
              <w:rPr>
                <w:sz w:val="21"/>
                <w:szCs w:val="21"/>
                <w:color w:val="auto"/>
              </w:rPr>
            </w:pPr>
          </w:p>
        </w:tc>
      </w:tr>
      <w:tr>
        <w:trPr>
          <w:trHeight w:val="196"/>
        </w:trPr>
        <w:tc>
          <w:tcPr>
            <w:tcW w:w="3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profit percentages:</w:t>
            </w:r>
          </w:p>
        </w:tc>
        <w:tc>
          <w:tcPr>
            <w:tcW w:w="2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Grown</w:t>
            </w:r>
          </w:p>
        </w:tc>
        <w:tc>
          <w:tcPr>
            <w:tcW w:w="21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9.6 %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9.0 %</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8.6 %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Prepared</w:t>
            </w:r>
          </w:p>
        </w:tc>
        <w:tc>
          <w:tcPr>
            <w:tcW w:w="21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24.4 %</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17.1 %</w:t>
            </w: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26.8 %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Consolidated</w:t>
            </w:r>
          </w:p>
        </w:tc>
        <w:tc>
          <w:tcPr>
            <w:tcW w:w="21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11.0 %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9.9 %</w:t>
            </w:r>
          </w:p>
        </w:tc>
        <w:tc>
          <w:tcPr>
            <w:tcW w:w="1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10.5 %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0" w:type="dxa"/>
            <w:vAlign w:val="bottom"/>
          </w:tcPr>
          <w:p>
            <w:pPr>
              <w:spacing w:after="0"/>
              <w:rPr>
                <w:sz w:val="18"/>
                <w:szCs w:val="18"/>
                <w:color w:val="auto"/>
              </w:rPr>
            </w:pPr>
          </w:p>
        </w:tc>
      </w:tr>
      <w:tr>
        <w:trPr>
          <w:trHeight w:val="86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Summary</w:t>
      </w:r>
    </w:p>
    <w:p>
      <w:pPr>
        <w:spacing w:after="0" w:line="227" w:lineRule="exact"/>
        <w:rPr>
          <w:sz w:val="20"/>
          <w:szCs w:val="20"/>
          <w:color w:val="auto"/>
        </w:rPr>
      </w:pPr>
    </w:p>
    <w:p>
      <w:pPr>
        <w:jc w:val="both"/>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Our cost of goods sold consists predominantly of ingredient costs (fruit and other food products), packing materials, freight and handling, labor and overhead (including depreciation) associated with packing, distributing and/or preparing food products, and other direct expenses pertaining to products sold.</w:t>
      </w:r>
    </w:p>
    <w:p>
      <w:pPr>
        <w:spacing w:after="0" w:line="176" w:lineRule="exact"/>
        <w:rPr>
          <w:sz w:val="20"/>
          <w:szCs w:val="20"/>
          <w:color w:val="auto"/>
        </w:rPr>
      </w:pPr>
    </w:p>
    <w:p>
      <w:pPr>
        <w:ind w:left="40" w:right="379" w:firstLine="259"/>
        <w:spacing w:after="0" w:line="261" w:lineRule="auto"/>
        <w:rPr>
          <w:sz w:val="20"/>
          <w:szCs w:val="20"/>
          <w:color w:val="auto"/>
        </w:rPr>
      </w:pPr>
      <w:r>
        <w:rPr>
          <w:rFonts w:ascii="Times New Roman" w:cs="Times New Roman" w:eastAsia="Times New Roman" w:hAnsi="Times New Roman"/>
          <w:sz w:val="18"/>
          <w:szCs w:val="18"/>
          <w:color w:val="auto"/>
        </w:rPr>
        <w:t>Gross profit increased by approximately $4.7 million, or 30%, for the second quarter of fiscal 2024 compared to the corresponding period in fiscal 2023. The increase in gross profit was across both segments. Gross profit increased by approximately $4.1 million, or 14%, for the six months ended April 30, 2024 compared to the corresponding period in fiscal 2023. The increase in gross profit was across both segments.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Grown products</w:t>
      </w:r>
    </w:p>
    <w:p>
      <w:pPr>
        <w:spacing w:after="0" w:line="227"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The increase in our Grown products gross profit for the quarter ended April 30, 2024 was primarily the result of increased gross profit for avocados and tomatoes. For the second quarter of fiscal 2024, the gross profit for avocados increased by approximately $1.7 million or 15%. For the second quarter of fiscal 2024, the gross profit percentage for avocados was 9.6% compared to 9.3% for the second quarter of 2023. For the second quarter of fiscal 2024, the gross profit for tomatoes increased by approximately $1.5 million or 123%. This increase is mainly due to higher volumes of tomatoes of 28% and an increase in the sale price per carton of 35%.</w:t>
      </w:r>
    </w:p>
    <w:p>
      <w:pPr>
        <w:spacing w:after="0" w:line="187" w:lineRule="exact"/>
        <w:rPr>
          <w:sz w:val="20"/>
          <w:szCs w:val="20"/>
          <w:color w:val="auto"/>
        </w:rPr>
      </w:pPr>
    </w:p>
    <w:p>
      <w:pPr>
        <w:ind w:left="40" w:right="259" w:firstLine="259"/>
        <w:spacing w:after="0" w:line="266" w:lineRule="auto"/>
        <w:rPr>
          <w:sz w:val="20"/>
          <w:szCs w:val="20"/>
          <w:color w:val="auto"/>
        </w:rPr>
      </w:pPr>
      <w:r>
        <w:rPr>
          <w:rFonts w:ascii="Times New Roman" w:cs="Times New Roman" w:eastAsia="Times New Roman" w:hAnsi="Times New Roman"/>
          <w:sz w:val="18"/>
          <w:szCs w:val="18"/>
          <w:color w:val="auto"/>
        </w:rPr>
        <w:t>Gross profit for the quarter was also affected by the change in the value of the U.S. dollar in relation to the Mexican peso during the quarter, resulting in a $0.3 million net loss related the remeasurement of peso-dominated net assets at our Mexican subsidiaries. This is in comparison to a remeasurement gain of $1.0 million for the same period last year.</w:t>
      </w:r>
    </w:p>
    <w:p>
      <w:pPr>
        <w:spacing w:after="0" w:line="176" w:lineRule="exact"/>
        <w:rPr>
          <w:sz w:val="20"/>
          <w:szCs w:val="20"/>
          <w:color w:val="auto"/>
        </w:rPr>
      </w:pPr>
    </w:p>
    <w:p>
      <w:pPr>
        <w:jc w:val="both"/>
        <w:ind w:left="40" w:right="219" w:firstLine="259"/>
        <w:spacing w:after="0" w:line="258" w:lineRule="auto"/>
        <w:rPr>
          <w:sz w:val="20"/>
          <w:szCs w:val="20"/>
          <w:color w:val="auto"/>
        </w:rPr>
      </w:pPr>
      <w:r>
        <w:rPr>
          <w:rFonts w:ascii="Times New Roman" w:cs="Times New Roman" w:eastAsia="Times New Roman" w:hAnsi="Times New Roman"/>
          <w:sz w:val="18"/>
          <w:szCs w:val="18"/>
          <w:color w:val="auto"/>
        </w:rPr>
        <w:t>The increase in our Grown products gross profit for the six months ended April 30, 2024 was primarily the result of increased gross profit for avocados and tomatoes. For the six months ended April 30, 2024, the gross profit for avocados increased by approximately $1.7 million or 9%. For the six months ended April 30, 2024, the gross profit percentage for avocados was 8.9% compared to 8.7% for the six months ended April 30, 2023. For the six months ended April 30, 2024, the gross profit for tomatoes increased by approximately $0.4 million or 18%.</w:t>
      </w:r>
    </w:p>
    <w:p>
      <w:pPr>
        <w:spacing w:after="0" w:line="183" w:lineRule="exact"/>
        <w:rPr>
          <w:sz w:val="20"/>
          <w:szCs w:val="20"/>
          <w:color w:val="auto"/>
        </w:rPr>
      </w:pPr>
    </w:p>
    <w:p>
      <w:pPr>
        <w:ind w:left="40" w:right="79" w:firstLine="259"/>
        <w:spacing w:after="0" w:line="261" w:lineRule="auto"/>
        <w:rPr>
          <w:sz w:val="20"/>
          <w:szCs w:val="20"/>
          <w:color w:val="auto"/>
        </w:rPr>
      </w:pPr>
      <w:r>
        <w:rPr>
          <w:rFonts w:ascii="Times New Roman" w:cs="Times New Roman" w:eastAsia="Times New Roman" w:hAnsi="Times New Roman"/>
          <w:sz w:val="18"/>
          <w:szCs w:val="18"/>
          <w:color w:val="auto"/>
        </w:rPr>
        <w:t>Gross profit for the six months ended April 30, 2024 was also affected by the change in the value of the U.S. dollar in relation to the Mexican peso during the six months ended April 30, 2024, resulting in a $1.4 million net gain related to the remeasurement of peso-dominated net assets at our Mexican subsidiaries. This is in comparison to a remeasurement gain of $2.2 million for the same period last year.</w:t>
      </w:r>
    </w:p>
    <w:p>
      <w:pPr>
        <w:spacing w:after="0" w:line="180" w:lineRule="exact"/>
        <w:rPr>
          <w:sz w:val="20"/>
          <w:szCs w:val="20"/>
          <w:color w:val="auto"/>
        </w:rPr>
      </w:pPr>
    </w:p>
    <w:p>
      <w:pPr>
        <w:ind w:left="40" w:right="79" w:firstLine="259"/>
        <w:spacing w:after="0" w:line="282" w:lineRule="auto"/>
        <w:rPr>
          <w:sz w:val="20"/>
          <w:szCs w:val="20"/>
          <w:color w:val="auto"/>
        </w:rPr>
      </w:pPr>
      <w:r>
        <w:rPr>
          <w:rFonts w:ascii="Times New Roman" w:cs="Times New Roman" w:eastAsia="Times New Roman" w:hAnsi="Times New Roman"/>
          <w:sz w:val="18"/>
          <w:szCs w:val="18"/>
          <w:color w:val="auto"/>
        </w:rPr>
        <w:t>Note that any additional significant fluctuations in the exchange rate between the U.S. dollar and the Mexican peso may have a material impact on future gross profits for our Grown products segment.</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Prepared products</w:t>
      </w:r>
    </w:p>
    <w:p>
      <w:pPr>
        <w:spacing w:after="0" w:line="227" w:lineRule="exact"/>
        <w:rPr>
          <w:sz w:val="20"/>
          <w:szCs w:val="20"/>
          <w:color w:val="auto"/>
        </w:rPr>
      </w:pPr>
    </w:p>
    <w:p>
      <w:pPr>
        <w:ind w:left="40" w:right="259" w:firstLine="259"/>
        <w:spacing w:after="0" w:line="282" w:lineRule="auto"/>
        <w:rPr>
          <w:sz w:val="20"/>
          <w:szCs w:val="20"/>
          <w:color w:val="auto"/>
        </w:rPr>
      </w:pPr>
      <w:r>
        <w:rPr>
          <w:rFonts w:ascii="Times New Roman" w:cs="Times New Roman" w:eastAsia="Times New Roman" w:hAnsi="Times New Roman"/>
          <w:sz w:val="18"/>
          <w:szCs w:val="18"/>
          <w:color w:val="auto"/>
        </w:rPr>
        <w:t>The increase in our Prepared products gross profit for the three and six months ended April 30, 2024 was the result of increased gross profit in our guacamole products.</w:t>
      </w:r>
    </w:p>
    <w:p>
      <w:pPr>
        <w:spacing w:after="0" w:line="162" w:lineRule="exact"/>
        <w:rPr>
          <w:sz w:val="20"/>
          <w:szCs w:val="20"/>
          <w:color w:val="auto"/>
        </w:rPr>
      </w:pPr>
    </w:p>
    <w:p>
      <w:pPr>
        <w:ind w:left="40" w:right="99" w:firstLine="259"/>
        <w:spacing w:after="0" w:line="258" w:lineRule="auto"/>
        <w:rPr>
          <w:sz w:val="20"/>
          <w:szCs w:val="20"/>
          <w:color w:val="auto"/>
        </w:rPr>
      </w:pPr>
      <w:r>
        <w:rPr>
          <w:rFonts w:ascii="Times New Roman" w:cs="Times New Roman" w:eastAsia="Times New Roman" w:hAnsi="Times New Roman"/>
          <w:sz w:val="18"/>
          <w:szCs w:val="18"/>
          <w:color w:val="auto"/>
        </w:rPr>
        <w:t>Guacamole products gross profit percentage for the three months ended April 30, 2024 was 24.4%, compared to a gross profit of 21.8% for the prior year period. Guacamole products gross profit percentage for the six months ended April 30, 2024 was 26.8%, compared to a gross profit of 23.7% for the prior year period. The increase in gross profit percentage for the three and six months ended April 30, 2024 in guacamole products was primarily due to lower raw product fruit costs and manufacturing improvements.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significant fluctuation in the cost of fruit used in the production process or the exchange rate between the U.S.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dollar and the Mexican peso may have a material impact on future gross profit for our Prepared segment.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5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380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20"/>
        </w:trPr>
        <w:tc>
          <w:tcPr>
            <w:tcW w:w="3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8"/>
        </w:trPr>
        <w:tc>
          <w:tcPr>
            <w:tcW w:w="3800" w:type="dxa"/>
            <w:vAlign w:val="bottom"/>
          </w:tcPr>
          <w:p>
            <w:pPr>
              <w:spacing w:after="0"/>
              <w:rPr>
                <w:sz w:val="11"/>
                <w:szCs w:val="11"/>
                <w:color w:val="auto"/>
              </w:rPr>
            </w:pPr>
          </w:p>
        </w:tc>
        <w:tc>
          <w:tcPr>
            <w:tcW w:w="2340" w:type="dxa"/>
            <w:vAlign w:val="bottom"/>
            <w:gridSpan w:val="5"/>
          </w:tcPr>
          <w:p>
            <w:pPr>
              <w:jc w:val="right"/>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1"/>
                <w:szCs w:val="11"/>
                <w:color w:val="auto"/>
              </w:rPr>
            </w:pPr>
          </w:p>
        </w:tc>
        <w:tc>
          <w:tcPr>
            <w:tcW w:w="2340" w:type="dxa"/>
            <w:vAlign w:val="bottom"/>
            <w:gridSpan w:val="5"/>
          </w:tcPr>
          <w:p>
            <w:pPr>
              <w:jc w:val="right"/>
              <w:ind w:right="316"/>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$ 13,020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$ 13,361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$ 26,483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$ 25,003</w:t>
            </w:r>
          </w:p>
        </w:tc>
        <w:tc>
          <w:tcPr>
            <w:tcW w:w="200" w:type="dxa"/>
            <w:vAlign w:val="bottom"/>
            <w:shd w:val="clear" w:color="auto" w:fill="CCEEFF"/>
          </w:tcPr>
          <w:p>
            <w:pPr>
              <w:spacing w:after="0"/>
              <w:rPr>
                <w:sz w:val="18"/>
                <w:szCs w:val="18"/>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r>
    </w:tbl>
    <w:p>
      <w:pPr>
        <w:spacing w:after="0" w:line="179" w:lineRule="exact"/>
        <w:rPr>
          <w:sz w:val="20"/>
          <w:szCs w:val="20"/>
          <w:color w:val="auto"/>
        </w:rPr>
      </w:pPr>
    </w:p>
    <w:p>
      <w:pPr>
        <w:ind w:left="40" w:right="59" w:firstLine="259"/>
        <w:spacing w:after="0" w:line="273" w:lineRule="auto"/>
        <w:rPr>
          <w:sz w:val="20"/>
          <w:szCs w:val="20"/>
          <w:color w:val="auto"/>
        </w:rPr>
      </w:pPr>
      <w:r>
        <w:rPr>
          <w:rFonts w:ascii="Times New Roman" w:cs="Times New Roman" w:eastAsia="Times New Roman" w:hAnsi="Times New Roman"/>
          <w:sz w:val="17"/>
          <w:szCs w:val="17"/>
          <w:color w:val="auto"/>
        </w:rPr>
        <w:t>Selling, general and administrative expenses of $13.0 million for the three months ended April 30, 2024 include costs of marketing and advertising, sales expenses (including broker commissions) and other general and administrative costs. Selling, general and administrative expenses decreased by $0.3 million, or 3%, for the three months ended April 30, 2024 compared to the prior year period. This decrease was primarily due to $1.2 million in severance and other costs and $1.2 million in stock-based compensation, in the prior year, related to the departure of our former Chief Executive Officer. In addition, in the prior year, we incurred $0.7 million in a legal settlement and associated legal costs. Partially offsetting these decreases, was an increase of $2.7 million in professional fees for the FCPA Mexico investigation and related expenses.</w:t>
      </w:r>
    </w:p>
    <w:p>
      <w:pPr>
        <w:spacing w:after="0" w:line="171" w:lineRule="exact"/>
        <w:rPr>
          <w:sz w:val="20"/>
          <w:szCs w:val="20"/>
          <w:color w:val="auto"/>
        </w:rPr>
      </w:pPr>
    </w:p>
    <w:p>
      <w:pPr>
        <w:ind w:left="40" w:right="59" w:firstLine="259"/>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of $26.5 million for the six months ended April 30, 2024 include costs of marketing and advertising, sales expenses (including broker commissions) and other general and administrative costs. Selling, general and administrative expenses increased by $1.5 million, or 6%, for the six months ended April 30, 2024 compared to the prior year period. This increase was primarily due to an increase of $5.0 million in professional fees for the FCPA Mexico investigation and related expenses. Partially offsetting this increase, were decreases due to $1.2 million in severance and other costs and $1.2 million in stock-based compensation, in the prior year, related to the departure of our former Chief Executive Officer. In addition, in the prior year, we incurred $0.7 million in a legal settlement and associated legal costs.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unconsolidated entities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00" w:type="dxa"/>
            <w:vAlign w:val="bottom"/>
          </w:tcPr>
          <w:p>
            <w:pPr>
              <w:spacing w:after="0"/>
              <w:rPr>
                <w:sz w:val="15"/>
                <w:szCs w:val="15"/>
                <w:color w:val="auto"/>
              </w:rPr>
            </w:pPr>
          </w:p>
        </w:tc>
        <w:tc>
          <w:tcPr>
            <w:tcW w:w="21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3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54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46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0"/>
        </w:trPr>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3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2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202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1"/>
                <w:szCs w:val="1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unconsolidated entities</w:t>
            </w:r>
          </w:p>
        </w:tc>
        <w:tc>
          <w:tcPr>
            <w:tcW w:w="13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$ 204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w:t>
            </w:r>
          </w:p>
        </w:tc>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6"/>
              </w:rPr>
              <w:t>$ (56)</w:t>
            </w: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$ 205</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Income from unconsolidated entities includes our participation in earnings or losses from our investments in Don Memo. For the three months ended April 30, 2024 and 2023 we realized income of $0.2 million and a loss of $0.1 million from Agricola Don Memo, respectively. For the six months ended April 30, 2024 and 2023 we realized income of $0.2 million and income of $0.1 million from Agricola Don Memo, respectively.</w:t>
      </w:r>
    </w:p>
    <w:p>
      <w:pPr>
        <w:spacing w:after="0" w:line="2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6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21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 April 30,</w:t>
            </w:r>
          </w:p>
        </w:tc>
      </w:tr>
      <w:tr>
        <w:trPr>
          <w:trHeight w:val="142"/>
        </w:trPr>
        <w:tc>
          <w:tcPr>
            <w:tcW w:w="2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2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top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r>
      <w:tr>
        <w:trPr>
          <w:trHeight w:val="210"/>
        </w:trPr>
        <w:tc>
          <w:tcPr>
            <w:tcW w:w="2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43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(390)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(484)</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 (963)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(443)</w:t>
            </w:r>
          </w:p>
        </w:tc>
      </w:tr>
      <w:tr>
        <w:trPr>
          <w:trHeight w:val="234"/>
        </w:trPr>
        <w:tc>
          <w:tcPr>
            <w:tcW w:w="2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2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5.7 %</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25.1 %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19.7 %</w:t>
            </w:r>
          </w:p>
        </w:tc>
        <w:tc>
          <w:tcPr>
            <w:tcW w:w="48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30.7 %</w:t>
            </w:r>
          </w:p>
        </w:tc>
      </w:tr>
    </w:tbl>
    <w:p>
      <w:pPr>
        <w:spacing w:after="0" w:line="179" w:lineRule="exact"/>
        <w:rPr>
          <w:sz w:val="20"/>
          <w:szCs w:val="20"/>
          <w:color w:val="auto"/>
        </w:rPr>
      </w:pPr>
    </w:p>
    <w:p>
      <w:pPr>
        <w:ind w:left="40" w:right="219" w:firstLine="270"/>
        <w:spacing w:after="0" w:line="258" w:lineRule="auto"/>
        <w:rPr>
          <w:sz w:val="20"/>
          <w:szCs w:val="20"/>
          <w:color w:val="auto"/>
        </w:rPr>
      </w:pPr>
      <w:r>
        <w:rPr>
          <w:rFonts w:ascii="Times New Roman" w:cs="Times New Roman" w:eastAsia="Times New Roman" w:hAnsi="Times New Roman"/>
          <w:sz w:val="18"/>
          <w:szCs w:val="18"/>
          <w:color w:val="auto"/>
        </w:rPr>
        <w:t>Our tax provision is determined using an estimated annual effective tax rate and is adjusted for discrete taxable events that may occur during the quarter. The effective tax rate for the three and six-months ended April 30, 2024, is lower than the effective tax rate for the three and six-months ended April 30, 2023, primarily due to the valuation allowances on the Company’s net domestic deferred tax assets as it is more likely than not that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was $2.2 million for the six months ended April 30, 2024, compared to cash used by operating activities of $3.8 million for the corresponding period in fiscal 2023. Cash provided by operating activities for the six months ended April 30, 2024 reflects primarily our net loss of $0.2 million, non-cash activities (depreciation and amortization, stock-based compensation expense, provision for losses on accounts receivable, losses from unconsolidated entities, loss on disposal of property, plant and equipment, and gain on the sale of the Temecula packinghouse) of $7.3 million and a net effect of changes in operating assets and liabilities of $5.0 million.</w:t>
      </w:r>
    </w:p>
    <w:p>
      <w:pPr>
        <w:spacing w:after="0" w:line="187" w:lineRule="exact"/>
        <w:rPr>
          <w:sz w:val="20"/>
          <w:szCs w:val="20"/>
          <w:color w:val="auto"/>
        </w:rPr>
      </w:pPr>
    </w:p>
    <w:p>
      <w:pPr>
        <w:ind w:left="40" w:right="219" w:firstLine="259"/>
        <w:spacing w:after="0" w:line="258" w:lineRule="auto"/>
        <w:rPr>
          <w:sz w:val="20"/>
          <w:szCs w:val="20"/>
          <w:color w:val="auto"/>
        </w:rPr>
      </w:pPr>
      <w:r>
        <w:rPr>
          <w:rFonts w:ascii="Times New Roman" w:cs="Times New Roman" w:eastAsia="Times New Roman" w:hAnsi="Times New Roman"/>
          <w:sz w:val="18"/>
          <w:szCs w:val="18"/>
          <w:color w:val="auto"/>
        </w:rPr>
        <w:t>Changes in operating assets and liabilities inclued an increase in accounts receivable of $21.3 million, an increase in inventory of $9.6 million, an increase in other assets of $5.7 million, and an increase in income taxes receivable of $1.0 million offset by an increase in payable to growers of $22.7 million, a decrease in advances to suppliers of $4.1 million, a net decrease in accounts payable accrued expenses and other liabilities of $3.3 million and a decrease in prepaid expenses and other current assets of $2.6 million.</w:t>
      </w:r>
    </w:p>
    <w:p>
      <w:pPr>
        <w:spacing w:after="0" w:line="183" w:lineRule="exact"/>
        <w:rPr>
          <w:sz w:val="20"/>
          <w:szCs w:val="20"/>
          <w:color w:val="auto"/>
        </w:rPr>
      </w:pPr>
    </w:p>
    <w:p>
      <w:pPr>
        <w:ind w:left="40" w:right="119" w:firstLine="259"/>
        <w:spacing w:after="0" w:line="253" w:lineRule="auto"/>
        <w:rPr>
          <w:sz w:val="20"/>
          <w:szCs w:val="20"/>
          <w:color w:val="auto"/>
        </w:rPr>
      </w:pPr>
      <w:r>
        <w:rPr>
          <w:rFonts w:ascii="Times New Roman" w:cs="Times New Roman" w:eastAsia="Times New Roman" w:hAnsi="Times New Roman"/>
          <w:sz w:val="18"/>
          <w:szCs w:val="18"/>
          <w:color w:val="auto"/>
        </w:rPr>
        <w:t>The increase in our accounts receivable is due to an increase in sales for the month of April 2024 compared to October 2023. The increase in our inventory as of April 30, 2024, when compared to October 31, 2023, is primarily due to higher inventory of California avocados. The increase in other assets as of April 30, 2024, when compared to October 31, 2023, is primarily due to an increase in Mexican IVA taxes receivable. The increase in payable to growers is mostly due to higher volume of California avocados and tomatoes in April 2024 compared to October 2023. The decrease in our prepaid and other current assets is primarily due to a deposit as of October 31, 2023 for collateral in connection with our workers compensation insurance policies while we were in the process of obtaining a letter of credit, which has since been repaid. The decrease in advances to suppliers is mainly due to preseason advances being repaid through settlement to our tomato consignment growers. The decrease in accounts payable, accrued expenses and other liabilities is primarily related to the timing of payments in April 2024.</w:t>
      </w:r>
    </w:p>
    <w:p>
      <w:pPr>
        <w:spacing w:after="0" w:line="194" w:lineRule="exact"/>
        <w:rPr>
          <w:sz w:val="20"/>
          <w:szCs w:val="20"/>
          <w:color w:val="auto"/>
        </w:rPr>
      </w:pPr>
    </w:p>
    <w:p>
      <w:pPr>
        <w:ind w:left="40" w:right="219" w:firstLine="25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$2.4 million for the six months ended April 30, 2024, which related to purchases of property, plant, and equipment.</w:t>
      </w:r>
    </w:p>
    <w:p>
      <w:pPr>
        <w:spacing w:after="0" w:line="162" w:lineRule="exact"/>
        <w:rPr>
          <w:sz w:val="20"/>
          <w:szCs w:val="20"/>
          <w:color w:val="auto"/>
        </w:rPr>
      </w:pPr>
    </w:p>
    <w:p>
      <w:pPr>
        <w:ind w:left="40" w:right="359" w:firstLine="25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$1.6 million for the six months ended April 30, 2024, which related principally to net receipts on our credit facility totaling $7.0 million, partially offset by payments of $3.6 million in dividends, payments on long-term obligations of $0.9 million, the payment of minimum withholding of taxes on the net settling of shares of $0.6 million, and payments on the term loan $0.2 million.</w:t>
      </w:r>
    </w:p>
    <w:p>
      <w:pPr>
        <w:spacing w:after="0" w:line="180" w:lineRule="exact"/>
        <w:rPr>
          <w:sz w:val="20"/>
          <w:szCs w:val="20"/>
          <w:color w:val="auto"/>
        </w:rPr>
      </w:pPr>
    </w:p>
    <w:p>
      <w:pPr>
        <w:ind w:left="40" w:right="159" w:firstLine="259"/>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existing cash reserves, cash generated from operations and amounts available for borrowing under our existing credit facility. Cash and cash equivalents as of April 30, 2024 and October 31, 2023 totaled $4.3 million and $2.9 million. Our working capital at April 30, 2024 was $54.4 million, compared to $51.6 million at October 31, 2023.</w:t>
      </w:r>
    </w:p>
    <w:p>
      <w:pPr>
        <w:spacing w:after="0" w:line="180" w:lineRule="exact"/>
        <w:rPr>
          <w:sz w:val="20"/>
          <w:szCs w:val="20"/>
          <w:color w:val="auto"/>
        </w:rPr>
      </w:pPr>
    </w:p>
    <w:p>
      <w:pPr>
        <w:ind w:left="40" w:right="119" w:firstLine="259"/>
        <w:spacing w:after="0" w:line="261" w:lineRule="auto"/>
        <w:rPr>
          <w:sz w:val="20"/>
          <w:szCs w:val="20"/>
          <w:color w:val="auto"/>
        </w:rPr>
      </w:pPr>
      <w:r>
        <w:rPr>
          <w:rFonts w:ascii="Times New Roman" w:cs="Times New Roman" w:eastAsia="Times New Roman" w:hAnsi="Times New Roman"/>
          <w:sz w:val="18"/>
          <w:szCs w:val="18"/>
          <w:color w:val="auto"/>
        </w:rPr>
        <w:t>As discussed in the Overview section above, we and certain of our subsidiaries have entered into non-binding negotiations regarding the potential sale of all of the assets used in our Fresh Cut business and certain related real property. The Proposed Transaction is expected to close in the third quarter of fiscal 2024. If completed, we expect to use the net proceeds from the Proposed Transaction primarily for the reduction of debt and return of cash to shareholders.</w:t>
      </w:r>
    </w:p>
    <w:p>
      <w:pPr>
        <w:spacing w:after="0" w:line="180" w:lineRule="exact"/>
        <w:rPr>
          <w:sz w:val="20"/>
          <w:szCs w:val="20"/>
          <w:color w:val="auto"/>
        </w:rPr>
      </w:pPr>
    </w:p>
    <w:p>
      <w:pPr>
        <w:jc w:val="both"/>
        <w:ind w:left="40" w:right="119" w:firstLine="259"/>
        <w:spacing w:after="0" w:line="266" w:lineRule="auto"/>
        <w:rPr>
          <w:sz w:val="20"/>
          <w:szCs w:val="20"/>
          <w:color w:val="auto"/>
        </w:rPr>
      </w:pPr>
      <w:r>
        <w:rPr>
          <w:rFonts w:ascii="Times New Roman" w:cs="Times New Roman" w:eastAsia="Times New Roman" w:hAnsi="Times New Roman"/>
          <w:sz w:val="18"/>
          <w:szCs w:val="18"/>
          <w:color w:val="auto"/>
        </w:rPr>
        <w:t>We believe that cash flows from operations, availability under our credit facility, and other sources will be sufficient to satisfy our future capital expenditures, grower recruitment efforts, working capital and other financing requirements for the foreseeable future.</w:t>
      </w:r>
    </w:p>
    <w:p>
      <w:pPr>
        <w:spacing w:after="0" w:line="176" w:lineRule="exact"/>
        <w:rPr>
          <w:sz w:val="20"/>
          <w:szCs w:val="20"/>
          <w:color w:val="auto"/>
        </w:rPr>
      </w:pPr>
    </w:p>
    <w:p>
      <w:pPr>
        <w:ind w:left="40" w:right="339" w:firstLine="259"/>
        <w:spacing w:after="0" w:line="261" w:lineRule="auto"/>
        <w:rPr>
          <w:sz w:val="20"/>
          <w:szCs w:val="20"/>
          <w:color w:val="auto"/>
        </w:rPr>
      </w:pPr>
      <w:r>
        <w:rPr>
          <w:rFonts w:ascii="Times New Roman" w:cs="Times New Roman" w:eastAsia="Times New Roman" w:hAnsi="Times New Roman"/>
          <w:sz w:val="18"/>
          <w:szCs w:val="18"/>
          <w:color w:val="auto"/>
        </w:rPr>
        <w:t>On June 26, 2023, Calavo and certain subsidiaries entered into a Credit Agreement (the “Credit Agreement”) by and among Calavo, certain subsidiaries of Calavo as guarantors, and Wells Fargo Bank, National Association, as agent and lender (“Agent”). The Credit Agreement provides for a revolving credit facility (the Revolving Loans”) of up to $90.0 million, along with a capex credit facility of up to $10.0 million (the “Term Loan”).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firstLine="259"/>
        <w:spacing w:after="0" w:line="261" w:lineRule="auto"/>
        <w:rPr>
          <w:sz w:val="20"/>
          <w:szCs w:val="20"/>
          <w:color w:val="auto"/>
        </w:rPr>
      </w:pPr>
      <w:r>
        <w:rPr>
          <w:rFonts w:ascii="Times New Roman" w:cs="Times New Roman" w:eastAsia="Times New Roman" w:hAnsi="Times New Roman"/>
          <w:sz w:val="18"/>
          <w:szCs w:val="18"/>
          <w:color w:val="auto"/>
        </w:rPr>
        <w:t>Borrowings of the revolving loans under the Credit Agreement are asset based and are subject to a borrowing base calculation that includes a certain percentage of eligible accounts receivable, inventory and equipment of Calavo, less any reserves implemented by Agent in its permitted discretion; provided that the equipment based portion of such borrowing base calculation will reduce monthly following the closing date.</w:t>
      </w:r>
    </w:p>
    <w:p>
      <w:pPr>
        <w:spacing w:after="0" w:line="180" w:lineRule="exact"/>
        <w:rPr>
          <w:sz w:val="20"/>
          <w:szCs w:val="20"/>
          <w:color w:val="auto"/>
        </w:rPr>
      </w:pPr>
    </w:p>
    <w:p>
      <w:pPr>
        <w:ind w:left="40" w:right="199" w:firstLine="259"/>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credit facility matures on June 26, 2028.</w:t>
      </w:r>
    </w:p>
    <w:p>
      <w:pPr>
        <w:spacing w:after="0" w:line="183" w:lineRule="exact"/>
        <w:rPr>
          <w:sz w:val="20"/>
          <w:szCs w:val="20"/>
          <w:color w:val="auto"/>
        </w:rPr>
      </w:pPr>
    </w:p>
    <w:p>
      <w:pPr>
        <w:ind w:left="40" w:right="239" w:firstLine="259"/>
        <w:spacing w:after="0" w:line="282" w:lineRule="auto"/>
        <w:rPr>
          <w:sz w:val="20"/>
          <w:szCs w:val="20"/>
          <w:color w:val="auto"/>
        </w:rPr>
      </w:pPr>
      <w:r>
        <w:rPr>
          <w:rFonts w:ascii="Times New Roman" w:cs="Times New Roman" w:eastAsia="Times New Roman" w:hAnsi="Times New Roman"/>
          <w:sz w:val="18"/>
          <w:szCs w:val="18"/>
          <w:color w:val="auto"/>
        </w:rPr>
        <w:t>As of April 30, 2024, we were in compliance with the financial covenants. As of April 30, 2024, approximately $43.0 million was available for borrowing, based on our borrowing base calculation discussed above.</w:t>
      </w:r>
    </w:p>
    <w:p>
      <w:pPr>
        <w:spacing w:after="0" w:line="162"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The weighted-average interest rate under the credit facility was 7.1% at April 30, 2024. Under the credit facility, we had $42.0 million and $3.8 million outstanding related to the revolving loans and Term Loan, respectively, as of April 30, 2024.</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229" w:lineRule="exact"/>
        <w:rPr>
          <w:sz w:val="20"/>
          <w:szCs w:val="20"/>
          <w:color w:val="auto"/>
        </w:rPr>
      </w:pPr>
    </w:p>
    <w:p>
      <w:pPr>
        <w:ind w:left="40" w:right="219" w:firstLine="259"/>
        <w:spacing w:after="0" w:line="266" w:lineRule="auto"/>
        <w:rPr>
          <w:sz w:val="20"/>
          <w:szCs w:val="20"/>
          <w:color w:val="auto"/>
        </w:rPr>
      </w:pPr>
      <w:r>
        <w:rPr>
          <w:rFonts w:ascii="Times New Roman" w:cs="Times New Roman" w:eastAsia="Times New Roman" w:hAnsi="Times New Roman"/>
          <w:sz w:val="18"/>
          <w:szCs w:val="18"/>
          <w:color w:val="auto"/>
        </w:rPr>
        <w:t>There have been no other material changes to our contractual commitments from those previously disclosed in our Annual Report on Form 10-K for our fiscal year ended October 31, 2023. For a summary of the contractual commitments at October 31, 2023, see Part II, Item 7, in our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0" w:right="59" w:firstLine="259"/>
        <w:spacing w:after="0" w:line="258"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payable to growers, accounts payable, current and long-term borrowings pursuant to our credit facility,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April 30, 2024.</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(All amounts in thousands)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rPr>
              <w:t>Expected maturity date April 30,</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2027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color w:val="auto"/>
              </w:rPr>
              <w:t>2028</w:t>
            </w:r>
          </w:p>
        </w:tc>
        <w:tc>
          <w:tcPr>
            <w:tcW w:w="1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2029</w:t>
            </w:r>
          </w:p>
        </w:tc>
        <w:tc>
          <w:tcPr>
            <w:tcW w:w="16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Thereafter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20" w:type="dxa"/>
            <w:vAlign w:val="bottom"/>
          </w:tcPr>
          <w:p>
            <w:pPr>
              <w:spacing w:after="0"/>
              <w:rPr>
                <w:sz w:val="12"/>
                <w:szCs w:val="12"/>
                <w:color w:val="auto"/>
              </w:rPr>
            </w:pP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 —</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56,142</w:t>
            </w:r>
          </w:p>
        </w:tc>
        <w:tc>
          <w:tcPr>
            <w:tcW w:w="2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 (1)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growers (1)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37,491</w:t>
            </w:r>
          </w:p>
        </w:tc>
        <w:tc>
          <w:tcPr>
            <w:tcW w:w="2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0" w:type="dxa"/>
            <w:vAlign w:val="bottom"/>
          </w:tcPr>
          <w:p>
            <w:pPr>
              <w:spacing w:after="0"/>
              <w:rPr>
                <w:sz w:val="18"/>
                <w:szCs w:val="18"/>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Borrowings pursuant to credit facility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42,025</w:t>
            </w:r>
          </w:p>
        </w:tc>
        <w:tc>
          <w:tcPr>
            <w:tcW w:w="20" w:type="dxa"/>
            <w:vAlign w:val="bottom"/>
            <w:shd w:val="clear" w:color="auto" w:fill="CCEEFF"/>
          </w:tcPr>
          <w:p>
            <w:pPr>
              <w:spacing w:after="0"/>
              <w:rPr>
                <w:sz w:val="20"/>
                <w:szCs w:val="20"/>
                <w:color w:val="auto"/>
              </w:rPr>
            </w:pP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Term loan (1)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692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3" w:lineRule="exact"/>
        <w:rPr>
          <w:sz w:val="20"/>
          <w:szCs w:val="20"/>
          <w:color w:val="auto"/>
        </w:rPr>
      </w:pPr>
    </w:p>
    <w:p>
      <w:pPr>
        <w:ind w:left="360" w:right="119" w:hanging="316"/>
        <w:spacing w:after="0" w:line="241" w:lineRule="auto"/>
        <w:tabs>
          <w:tab w:leader="none" w:pos="3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the carrying amounts of cash and cash equivalents, accounts receivable, advances to suppliers, payable to growers, and accounts payable approximate their fair value due to the short maturity of these financial instruments and the carrying amount of borrowings pursuant to our credit facility approximates fair market value due to the variable rate of interest.</w:t>
      </w:r>
    </w:p>
    <w:p>
      <w:pPr>
        <w:spacing w:after="0" w:line="181" w:lineRule="exact"/>
        <w:rPr>
          <w:sz w:val="20"/>
          <w:szCs w:val="20"/>
          <w:color w:val="auto"/>
        </w:rPr>
      </w:pPr>
    </w:p>
    <w:p>
      <w:pPr>
        <w:ind w:left="40" w:right="59" w:firstLine="259"/>
        <w:spacing w:after="0" w:line="266" w:lineRule="auto"/>
        <w:rPr>
          <w:sz w:val="20"/>
          <w:szCs w:val="20"/>
          <w:color w:val="auto"/>
        </w:rPr>
      </w:pPr>
      <w:r>
        <w:rPr>
          <w:rFonts w:ascii="Times New Roman" w:cs="Times New Roman" w:eastAsia="Times New Roman" w:hAnsi="Times New Roman"/>
          <w:sz w:val="18"/>
          <w:szCs w:val="18"/>
          <w:color w:val="auto"/>
        </w:rPr>
        <w:t>We were not a party to any derivative instruments during the fiscal year. It is currently our practice not to use derivative instruments for speculative or trading purposes. Additionally, we do not use any hedging or forward contracts to offset market volatility.</w:t>
      </w:r>
    </w:p>
    <w:p>
      <w:pPr>
        <w:spacing w:after="0" w:line="176" w:lineRule="exact"/>
        <w:rPr>
          <w:sz w:val="20"/>
          <w:szCs w:val="20"/>
          <w:color w:val="auto"/>
        </w:rPr>
      </w:pPr>
    </w:p>
    <w:p>
      <w:pPr>
        <w:ind w:left="40" w:right="79" w:firstLine="259"/>
        <w:spacing w:after="0" w:line="255" w:lineRule="auto"/>
        <w:rPr>
          <w:sz w:val="20"/>
          <w:szCs w:val="20"/>
          <w:color w:val="auto"/>
        </w:rPr>
      </w:pPr>
      <w:r>
        <w:rPr>
          <w:rFonts w:ascii="Times New Roman" w:cs="Times New Roman" w:eastAsia="Times New Roman" w:hAnsi="Times New Roman"/>
          <w:sz w:val="18"/>
          <w:szCs w:val="18"/>
          <w:color w:val="auto"/>
        </w:rPr>
        <w:t>Our Mexican-based operations transact a significant portion of business in Mexican pesos. Funds are transferred by our corporate office to Mexico on a weekly basis to satisfy Mexican cash needs. We do not currently use derivative instruments to hedge fluctuations in the Mexican peso to U.S. dollar exchange rates. Management does, however, evaluate this opportunity from time to time. Total foreign currency remeasurement losses for the three months ended April 30, 2024, net of gains, was $0.3 million. Total foreign currency remeasurement gains for the three months ended April 30, 2023, net of losses, was $1.0 million. Total foreign currency remeasurement gains for the six months ended April 30, 2024 and 2023, net of losses, was $1.4 million and $2.2 million, respectively.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w:t>
      </w:r>
    </w:p>
    <w:p>
      <w:pPr>
        <w:spacing w:after="0" w:line="183" w:lineRule="exact"/>
        <w:rPr>
          <w:sz w:val="20"/>
          <w:szCs w:val="20"/>
          <w:color w:val="auto"/>
        </w:rPr>
      </w:pPr>
    </w:p>
    <w:p>
      <w:pPr>
        <w:ind w:left="40" w:right="339" w:firstLine="259"/>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April 30, 2024 that have materially affected, or are reasonably likely to materially affect, the Company’s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refer to Note 7 to the consolidated financial statements included in this Quarterly Report for further information.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40" w:right="119" w:firstLine="259"/>
        <w:spacing w:after="0" w:line="258" w:lineRule="auto"/>
        <w:rPr>
          <w:sz w:val="20"/>
          <w:szCs w:val="20"/>
          <w:color w:val="auto"/>
        </w:rPr>
      </w:pPr>
      <w:r>
        <w:rPr>
          <w:rFonts w:ascii="Times New Roman" w:cs="Times New Roman" w:eastAsia="Times New Roman" w:hAnsi="Times New Roman"/>
          <w:sz w:val="18"/>
          <w:szCs w:val="18"/>
          <w:color w:val="auto"/>
        </w:rPr>
        <w:t>For a discussion of our risk factors, see Part I, Item 1A “Risk Factors” of our Annual Report on Form 10-K for the year ended October 31, 2023. There have been no material changes from the risk factors set forth in such Annual Report on Form 10-K. However, the risks and uncertainties that we face are not limited to those set forth in such Annual Report on Form 10-K. Additional risks and uncertainties not presently known to us or that we currently believe to be immaterial may also adversely affect our business and the trading price of our common stock.</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229" w:lineRule="exact"/>
        <w:rPr>
          <w:sz w:val="20"/>
          <w:szCs w:val="20"/>
          <w:color w:val="auto"/>
        </w:rPr>
      </w:pPr>
    </w:p>
    <w:p>
      <w:pPr>
        <w:ind w:left="40" w:right="599" w:firstLine="259"/>
        <w:spacing w:after="0" w:line="266" w:lineRule="auto"/>
        <w:rPr>
          <w:sz w:val="20"/>
          <w:szCs w:val="20"/>
          <w:color w:val="auto"/>
        </w:rPr>
      </w:pPr>
      <w:r>
        <w:rPr>
          <w:rFonts w:ascii="Times New Roman" w:cs="Times New Roman" w:eastAsia="Times New Roman" w:hAnsi="Times New Roman"/>
          <w:sz w:val="18"/>
          <w:szCs w:val="18"/>
          <w:color w:val="auto"/>
        </w:rPr>
        <w:t>During the quarter ended April 30, 2024, no director or Section 16 officer adopted or terminated any contract, instruction or written plan for the purchase or sale of Company securities that was intended to satisfy the affirmation defense conditions of Rule 10b5-1(c) or any “non-Rule 10b5-1 trading arrangements.”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p>
      <w:pPr>
        <w:ind w:left="1360" w:right="299" w:hanging="431"/>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Chief Executive Officer Pursuant to Rule 13a-14(a)/15d-14(a0, as adopted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302 of the Sarbanes-Oxley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60" w:right="399" w:hanging="431"/>
        <w:spacing w:after="0" w:line="28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Chief Financial Officer pursuant to Rule 13a-14(a)/15d-14(a), as adopted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Section 302 of the Sarbanes-Oxley Act of 2002. *</w:t>
      </w:r>
    </w:p>
    <w:p>
      <w:pPr>
        <w:spacing w:after="0" w:line="162" w:lineRule="exact"/>
        <w:rPr>
          <w:sz w:val="20"/>
          <w:szCs w:val="20"/>
          <w:color w:val="auto"/>
        </w:rPr>
      </w:pPr>
    </w:p>
    <w:p>
      <w:pPr>
        <w:ind w:left="1360" w:right="279" w:hanging="431"/>
        <w:spacing w:after="0" w:line="28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by Chief Executive Officer and Chief Financial Officer of Periodic Report Pursuant to 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U.S.C. Section 1350, as adopted pursuant to Section 906 of the Sarbanes-Ocley Act of 2002.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60" w:right="179" w:hanging="434"/>
        <w:spacing w:after="0" w:line="255" w:lineRule="auto"/>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Quarterly Report on Form 10-Q of Calavo Growers, Inc. for the quarter ended April 30, 2024, formatted in Inline XBRL (Extensible Business Reporting Language) includes: (1) Consolidated Balance Sheets as of April 30, 2024 and October 31, 2023; (2) Consolidated Statements of Operations for the three and six months ended April 30, 2024 and 2023; (3) Consolidated Statements of Cash Flows for the six months ended April 30, 2024 and 2023; (4) Consolidated Statements of Shareholders’ Equity for the three and six months ended April 30, 2024 and 2023; and (5) Notes to Consolidated Financial Statements.</w:t>
      </w:r>
    </w:p>
    <w:p>
      <w:pPr>
        <w:spacing w:after="0" w:line="189" w:lineRule="exact"/>
        <w:rPr>
          <w:sz w:val="20"/>
          <w:szCs w:val="20"/>
          <w:color w:val="auto"/>
        </w:rPr>
      </w:pPr>
    </w:p>
    <w:p>
      <w:pPr>
        <w:ind w:left="1360" w:hanging="434"/>
        <w:spacing w:after="0"/>
        <w:tabs>
          <w:tab w:leader="none" w:pos="13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0" w:lineRule="exact"/>
        <w:rPr>
          <w:rFonts w:ascii="Times New Roman" w:cs="Times New Roman" w:eastAsia="Times New Roman" w:hAnsi="Times New Roman"/>
          <w:sz w:val="18"/>
          <w:szCs w:val="18"/>
          <w:color w:val="auto"/>
        </w:rPr>
      </w:pPr>
    </w:p>
    <w:p>
      <w:pPr>
        <w:ind w:left="360" w:right="179"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-275590</wp:posOffset>
            </wp:positionV>
            <wp:extent cx="141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79"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8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(Registrant)</w:t>
            </w:r>
          </w:p>
        </w:tc>
      </w:tr>
      <w:tr>
        <w:trPr>
          <w:trHeight w:val="6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2024</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Lecil E. Cole</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Lecil E. Cole</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4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2024</w:t>
            </w:r>
          </w:p>
        </w:tc>
        <w:tc>
          <w:tcPr>
            <w:tcW w:w="4160" w:type="dxa"/>
            <w:vAlign w:val="bottom"/>
          </w:tcPr>
          <w:p>
            <w:pPr>
              <w:spacing w:after="0"/>
              <w:rPr>
                <w:sz w:val="24"/>
                <w:szCs w:val="24"/>
                <w:color w:val="auto"/>
              </w:rPr>
            </w:pPr>
          </w:p>
        </w:tc>
      </w:tr>
      <w:tr>
        <w:trPr>
          <w:trHeight w:val="234"/>
        </w:trPr>
        <w:tc>
          <w:tcPr>
            <w:tcW w:w="476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Shawn Munsell</w:t>
            </w:r>
          </w:p>
        </w:tc>
      </w:tr>
      <w:tr>
        <w:trPr>
          <w:trHeight w:val="191"/>
        </w:trPr>
        <w:tc>
          <w:tcPr>
            <w:tcW w:w="4760" w:type="dxa"/>
            <w:vAlign w:val="bottom"/>
          </w:tcPr>
          <w:p>
            <w:pPr>
              <w:spacing w:after="0"/>
              <w:rPr>
                <w:sz w:val="16"/>
                <w:szCs w:val="16"/>
                <w:color w:val="auto"/>
              </w:rPr>
            </w:pPr>
          </w:p>
        </w:tc>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Shawn Munsell</w:t>
            </w:r>
          </w:p>
        </w:tc>
      </w:tr>
      <w:tr>
        <w:trPr>
          <w:trHeight w:val="216"/>
        </w:trPr>
        <w:tc>
          <w:tcPr>
            <w:tcW w:w="47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94"/>
        </w:trPr>
        <w:tc>
          <w:tcPr>
            <w:tcW w:w="47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33</w:t>
            </w:r>
          </w:p>
        </w:tc>
        <w:tc>
          <w:tcPr>
            <w:tcW w:w="4160" w:type="dxa"/>
            <w:vAlign w:val="bottom"/>
          </w:tcPr>
          <w:p>
            <w:pPr>
              <w:spacing w:after="0"/>
              <w:rPr>
                <w:sz w:val="24"/>
                <w:szCs w:val="24"/>
                <w:color w:val="auto"/>
              </w:rPr>
            </w:pPr>
          </w:p>
        </w:tc>
      </w:tr>
      <w:tr>
        <w:trPr>
          <w:trHeight w:val="560"/>
        </w:trPr>
        <w:tc>
          <w:tcPr>
            <w:tcW w:w="47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Lecil E. Cole, certify that:</w:t>
      </w:r>
    </w:p>
    <w:p>
      <w:pPr>
        <w:spacing w:after="0" w:line="235" w:lineRule="exact"/>
        <w:rPr>
          <w:sz w:val="20"/>
          <w:szCs w:val="20"/>
          <w:color w:val="auto"/>
        </w:rPr>
      </w:pPr>
    </w:p>
    <w:p>
      <w:pPr>
        <w:ind w:left="700" w:hanging="656"/>
        <w:spacing w:after="0"/>
        <w:tabs>
          <w:tab w:leader="none" w:pos="7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June 10, 2024</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Lecil E. Cole</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Lecil E. Cole</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U.S.C. § 7241</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SECTION 302 OF THE SARBANES-OXLEY ACT OF 2002</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 Shawn Munsell, certify that:</w:t>
      </w:r>
    </w:p>
    <w:p>
      <w:pPr>
        <w:spacing w:after="0" w:line="235" w:lineRule="exact"/>
        <w:rPr>
          <w:sz w:val="20"/>
          <w:szCs w:val="20"/>
          <w:color w:val="auto"/>
        </w:rPr>
      </w:pPr>
    </w:p>
    <w:p>
      <w:pPr>
        <w:ind w:left="700" w:hanging="656"/>
        <w:spacing w:after="0"/>
        <w:tabs>
          <w:tab w:leader="none" w:pos="7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Calavo Growers, Inc.;</w:t>
      </w:r>
    </w:p>
    <w:p>
      <w:pPr>
        <w:spacing w:after="0" w:line="234" w:lineRule="exact"/>
        <w:rPr>
          <w:rFonts w:ascii="Times New Roman" w:cs="Times New Roman" w:eastAsia="Times New Roman" w:hAnsi="Times New Roman"/>
          <w:sz w:val="16"/>
          <w:szCs w:val="16"/>
          <w:color w:val="auto"/>
        </w:rPr>
      </w:pPr>
    </w:p>
    <w:p>
      <w:pPr>
        <w:ind w:left="700" w:right="179" w:hanging="656"/>
        <w:spacing w:after="0" w:line="281" w:lineRule="auto"/>
        <w:tabs>
          <w:tab w:leader="none" w:pos="7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700" w:right="239" w:hanging="656"/>
        <w:spacing w:after="0" w:line="281" w:lineRule="auto"/>
        <w:tabs>
          <w:tab w:leader="none" w:pos="7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700" w:right="539" w:hanging="656"/>
        <w:spacing w:after="0" w:line="281" w:lineRule="auto"/>
        <w:tabs>
          <w:tab w:leader="none" w:pos="7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6"/>
          <w:szCs w:val="16"/>
          <w:color w:val="auto"/>
        </w:rPr>
      </w:pPr>
    </w:p>
    <w:p>
      <w:pPr>
        <w:ind w:left="1340" w:right="79" w:hanging="648"/>
        <w:spacing w:after="0" w:line="275" w:lineRule="auto"/>
        <w:tabs>
          <w:tab w:leader="none" w:pos="13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6"/>
          <w:szCs w:val="16"/>
          <w:color w:val="auto"/>
        </w:rPr>
      </w:pPr>
    </w:p>
    <w:p>
      <w:pPr>
        <w:ind w:left="1340" w:right="119" w:hanging="648"/>
        <w:spacing w:after="0" w:line="275" w:lineRule="auto"/>
        <w:tabs>
          <w:tab w:leader="none" w:pos="13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2" w:lineRule="exact"/>
        <w:rPr>
          <w:rFonts w:ascii="Times New Roman" w:cs="Times New Roman" w:eastAsia="Times New Roman" w:hAnsi="Times New Roman"/>
          <w:sz w:val="16"/>
          <w:szCs w:val="16"/>
          <w:color w:val="auto"/>
        </w:rPr>
      </w:pPr>
    </w:p>
    <w:p>
      <w:pPr>
        <w:ind w:left="1340" w:right="159" w:hanging="648"/>
        <w:spacing w:after="0" w:line="281" w:lineRule="auto"/>
        <w:tabs>
          <w:tab w:leader="none" w:pos="13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6"/>
          <w:szCs w:val="16"/>
          <w:color w:val="auto"/>
        </w:rPr>
      </w:pPr>
    </w:p>
    <w:p>
      <w:pPr>
        <w:ind w:left="1340" w:right="179" w:hanging="648"/>
        <w:spacing w:after="0" w:line="281" w:lineRule="auto"/>
        <w:tabs>
          <w:tab w:leader="none" w:pos="13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6"/>
          <w:szCs w:val="16"/>
          <w:color w:val="auto"/>
        </w:rPr>
      </w:pPr>
    </w:p>
    <w:p>
      <w:pPr>
        <w:ind w:left="700" w:right="479" w:hanging="656"/>
        <w:spacing w:after="0" w:line="298" w:lineRule="auto"/>
        <w:tabs>
          <w:tab w:leader="none" w:pos="7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4" w:lineRule="exact"/>
        <w:rPr>
          <w:rFonts w:ascii="Times New Roman" w:cs="Times New Roman" w:eastAsia="Times New Roman" w:hAnsi="Times New Roman"/>
          <w:sz w:val="16"/>
          <w:szCs w:val="16"/>
          <w:color w:val="auto"/>
        </w:rPr>
      </w:pPr>
    </w:p>
    <w:p>
      <w:pPr>
        <w:ind w:left="1340" w:right="279" w:hanging="648"/>
        <w:spacing w:after="0" w:line="281" w:lineRule="auto"/>
        <w:tabs>
          <w:tab w:leader="none" w:pos="13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1340" w:right="159" w:hanging="648"/>
        <w:spacing w:after="0" w:line="298" w:lineRule="auto"/>
        <w:tabs>
          <w:tab w:leader="none" w:pos="134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 June 10, 2024</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Shawn Munsell</w:t>
            </w:r>
          </w:p>
        </w:tc>
      </w:tr>
      <w:tr>
        <w:trPr>
          <w:trHeight w:val="185"/>
        </w:trPr>
        <w:tc>
          <w:tcPr>
            <w:tcW w:w="446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Shawn Munsell</w:t>
            </w:r>
          </w:p>
        </w:tc>
      </w:tr>
      <w:tr>
        <w:trPr>
          <w:trHeight w:val="210"/>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958"/>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25"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WRITTEN STATEMENT OF CHIEF EXECUTIVE OFFICER AND CHIEF FINANCIAL OFFICER</w:t>
      </w:r>
    </w:p>
    <w:p>
      <w:pPr>
        <w:spacing w:after="0" w:line="212"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The undersigned, the Chief Executive Officer, and our Interim Chief Financial Officer of Calavo Growers, Inc. (the Company), hereby certifies, pursuant to 18 U.S.C. Section 1350, as adopted pursuant to Section 906 of the Sarbanes-Oxley Act of 2002, that, to his knowledge, the Company’s Quarterly Report on Form 10-Q for the quarter ended April 30, 2024,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June 10, 2024</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Lecil E. Cole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28289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Shawn Munsell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1171575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4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7"/>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6"/>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
      <w:numFmt w:val="bullet"/>
      <w:start w:val="1"/>
    </w:lvl>
    <w:lvl w:ilvl="1">
      <w:lvlJc w:val="left"/>
      <w:lvlText w:val="%2"/>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2024-06-10T16:00:57Z</dcterms:created>
  <dcterms:modified xsi:type="dcterms:W3CDTF">2024-06-10T16:00:57Z</dcterms:modified>
</cp:coreProperties>
</file>